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华文中宋" w:hAnsi="华文中宋" w:eastAsia="楷体_GB2312"/>
          <w:sz w:val="48"/>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val="en-US" w:eastAsia="zh-CN"/>
        </w:rPr>
      </w:pPr>
      <w:bookmarkStart w:id="0" w:name="OLE_LINK5"/>
      <w:r>
        <w:rPr>
          <w:rFonts w:hint="eastAsia" w:ascii="方正小标宋简体" w:hAnsi="方正小标宋简体" w:eastAsia="方正小标宋简体" w:cs="方正小标宋简体"/>
          <w:b w:val="0"/>
          <w:bCs/>
          <w:color w:val="auto"/>
          <w:sz w:val="44"/>
          <w:szCs w:val="44"/>
          <w:highlight w:val="none"/>
          <w:lang w:val="en-US" w:eastAsia="zh-CN"/>
        </w:rPr>
        <w:t>北京市通州区发展和改革委员会</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关于提前核准于家务乡富各庄村、</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前伏及后伏村美丽乡村配套污水处理设施</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工程勘察设计招标方案</w:t>
      </w:r>
      <w:r>
        <w:rPr>
          <w:rFonts w:hint="eastAsia" w:ascii="方正小标宋简体" w:hAnsi="方正小标宋简体" w:eastAsia="方正小标宋简体" w:cs="方正小标宋简体"/>
          <w:b w:val="0"/>
          <w:bCs/>
          <w:color w:val="auto"/>
          <w:sz w:val="44"/>
          <w:szCs w:val="44"/>
          <w:highlight w:val="none"/>
          <w:lang w:eastAsia="zh-CN"/>
        </w:rPr>
        <w:t>撤销</w:t>
      </w:r>
      <w:r>
        <w:rPr>
          <w:rFonts w:hint="eastAsia" w:ascii="方正小标宋简体" w:hAnsi="方正小标宋简体" w:eastAsia="方正小标宋简体" w:cs="方正小标宋简体"/>
          <w:b w:val="0"/>
          <w:bCs/>
          <w:color w:val="auto"/>
          <w:sz w:val="44"/>
          <w:szCs w:val="44"/>
          <w:highlight w:val="none"/>
        </w:rPr>
        <w:t>的批复</w:t>
      </w:r>
    </w:p>
    <w:bookmarkEnd w:id="0"/>
    <w:p>
      <w:pPr>
        <w:keepNext w:val="0"/>
        <w:keepLines w:val="0"/>
        <w:pageBreakBefore w:val="0"/>
        <w:widowControl w:val="0"/>
        <w:kinsoku/>
        <w:wordWrap/>
        <w:overflowPunct/>
        <w:topLinePunct w:val="0"/>
        <w:autoSpaceDE/>
        <w:autoSpaceDN/>
        <w:bidi w:val="0"/>
        <w:spacing w:line="540" w:lineRule="exact"/>
        <w:jc w:val="center"/>
        <w:rPr>
          <w:rFonts w:hint="eastAsia" w:ascii="仿宋_GB2312" w:hAnsi="仿宋_GB2312" w:eastAsia="仿宋_GB2312" w:cs="仿宋_GB2312"/>
          <w:b w:val="0"/>
          <w:sz w:val="32"/>
          <w:highlight w:val="none"/>
        </w:rPr>
      </w:pPr>
    </w:p>
    <w:p>
      <w:pPr>
        <w:keepNext w:val="0"/>
        <w:keepLines w:val="0"/>
        <w:pageBreakBefore w:val="0"/>
        <w:widowControl w:val="0"/>
        <w:kinsoku/>
        <w:wordWrap/>
        <w:overflowPunct/>
        <w:topLinePunct w:val="0"/>
        <w:autoSpaceDE/>
        <w:autoSpaceDN/>
        <w:bidi w:val="0"/>
        <w:spacing w:line="540" w:lineRule="exact"/>
        <w:jc w:val="center"/>
        <w:rPr>
          <w:rFonts w:eastAsia="仿宋_GB2312"/>
          <w:sz w:val="32"/>
          <w:szCs w:val="32"/>
          <w:highlight w:val="none"/>
        </w:rPr>
      </w:pPr>
      <w:bookmarkStart w:id="1" w:name="_GoBack"/>
      <w:r>
        <w:rPr>
          <w:rFonts w:hint="eastAsia" w:ascii="仿宋_GB2312" w:hAnsi="仿宋_GB2312" w:eastAsia="仿宋_GB2312" w:cs="仿宋_GB2312"/>
          <w:b w:val="0"/>
          <w:sz w:val="32"/>
          <w:highlight w:val="none"/>
        </w:rPr>
        <w:t>京通州发改（</w:t>
      </w:r>
      <w:r>
        <w:rPr>
          <w:rFonts w:hint="eastAsia" w:ascii="仿宋_GB2312" w:eastAsia="仿宋_GB2312"/>
          <w:b w:val="0"/>
          <w:bCs/>
          <w:sz w:val="32"/>
          <w:szCs w:val="32"/>
          <w:highlight w:val="none"/>
          <w:lang w:val="en-US" w:eastAsia="zh-CN"/>
        </w:rPr>
        <w:t>核</w:t>
      </w:r>
      <w:r>
        <w:rPr>
          <w:rFonts w:hint="eastAsia" w:ascii="仿宋_GB2312" w:hAnsi="仿宋_GB2312" w:eastAsia="仿宋_GB2312" w:cs="仿宋_GB2312"/>
          <w:b w:val="0"/>
          <w:sz w:val="32"/>
          <w:highlight w:val="none"/>
        </w:rPr>
        <w:t>）〔</w:t>
      </w:r>
      <w:r>
        <w:rPr>
          <w:rFonts w:hint="eastAsia" w:ascii="仿宋_GB2312" w:hAnsi="仿宋_GB2312" w:eastAsia="仿宋_GB2312" w:cs="仿宋_GB2312"/>
          <w:b w:val="0"/>
          <w:sz w:val="32"/>
          <w:highlight w:val="none"/>
          <w:lang w:val="en-US" w:eastAsia="zh-CN"/>
        </w:rPr>
        <w:t>2024</w:t>
      </w:r>
      <w:r>
        <w:rPr>
          <w:rFonts w:hint="eastAsia" w:ascii="仿宋_GB2312" w:hAnsi="仿宋_GB2312" w:eastAsia="仿宋_GB2312" w:cs="仿宋_GB2312"/>
          <w:b w:val="0"/>
          <w:sz w:val="32"/>
          <w:highlight w:val="none"/>
        </w:rPr>
        <w:t>〕</w:t>
      </w:r>
      <w:r>
        <w:rPr>
          <w:rFonts w:hint="eastAsia" w:ascii="仿宋_GB2312" w:hAnsi="仿宋_GB2312" w:eastAsia="仿宋_GB2312" w:cs="仿宋_GB2312"/>
          <w:b w:val="0"/>
          <w:sz w:val="32"/>
          <w:highlight w:val="none"/>
          <w:lang w:val="en-US" w:eastAsia="zh-CN"/>
        </w:rPr>
        <w:t>108</w:t>
      </w:r>
      <w:r>
        <w:rPr>
          <w:rFonts w:hint="eastAsia" w:ascii="仿宋_GB2312" w:hAnsi="仿宋_GB2312" w:eastAsia="仿宋_GB2312" w:cs="仿宋_GB2312"/>
          <w:b w:val="0"/>
          <w:sz w:val="32"/>
          <w:highlight w:val="none"/>
        </w:rPr>
        <w:t>号</w:t>
      </w:r>
      <w:bookmarkEnd w:id="1"/>
    </w:p>
    <w:p>
      <w:pPr>
        <w:keepNext w:val="0"/>
        <w:keepLines w:val="0"/>
        <w:pageBreakBefore w:val="0"/>
        <w:widowControl w:val="0"/>
        <w:kinsoku/>
        <w:wordWrap/>
        <w:overflowPunct/>
        <w:topLinePunct w:val="0"/>
        <w:autoSpaceDE/>
        <w:autoSpaceDN/>
        <w:bidi w:val="0"/>
        <w:spacing w:line="520" w:lineRule="exact"/>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北京市</w:t>
      </w:r>
      <w:r>
        <w:rPr>
          <w:rFonts w:hint="eastAsia" w:ascii="仿宋_GB2312" w:hAnsi="仿宋_GB2312" w:eastAsia="仿宋_GB2312" w:cs="仿宋_GB2312"/>
          <w:sz w:val="32"/>
          <w:szCs w:val="32"/>
          <w:highlight w:val="none"/>
        </w:rPr>
        <w:t>通州区</w:t>
      </w:r>
      <w:r>
        <w:rPr>
          <w:rFonts w:hint="eastAsia" w:ascii="仿宋_GB2312" w:hAnsi="仿宋_GB2312" w:eastAsia="仿宋_GB2312" w:cs="仿宋_GB2312"/>
          <w:sz w:val="32"/>
          <w:szCs w:val="32"/>
          <w:highlight w:val="none"/>
          <w:lang w:val="en-US" w:eastAsia="zh-CN"/>
        </w:rPr>
        <w:t>于家务回族乡人民政府</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4680"/>
        </w:tabs>
        <w:kinsoku/>
        <w:wordWrap/>
        <w:overflowPunct/>
        <w:topLinePunct w:val="0"/>
        <w:autoSpaceDE/>
        <w:autoSpaceDN/>
        <w:bidi w:val="0"/>
        <w:adjustRightInd w:val="0"/>
        <w:snapToGrid w:val="0"/>
        <w:spacing w:line="520" w:lineRule="exact"/>
        <w:ind w:firstLine="640" w:firstLineChars="200"/>
        <w:textAlignment w:val="baseline"/>
        <w:outlineLvl w:val="9"/>
        <w:rPr>
          <w:rFonts w:hint="eastAsia"/>
        </w:rPr>
      </w:pPr>
      <w:r>
        <w:rPr>
          <w:rFonts w:hint="eastAsia" w:ascii="仿宋_GB2312" w:eastAsia="仿宋_GB2312"/>
          <w:color w:val="auto"/>
          <w:sz w:val="32"/>
          <w:highlight w:val="none"/>
        </w:rPr>
        <w:t>你单位《关于申请</w:t>
      </w:r>
      <w:r>
        <w:rPr>
          <w:rFonts w:hint="eastAsia" w:ascii="仿宋_GB2312" w:eastAsia="仿宋_GB2312"/>
          <w:color w:val="auto"/>
          <w:sz w:val="32"/>
          <w:highlight w:val="none"/>
          <w:lang w:eastAsia="zh-CN"/>
        </w:rPr>
        <w:t>撤销</w:t>
      </w:r>
      <w:r>
        <w:rPr>
          <w:rFonts w:hint="eastAsia" w:ascii="仿宋_GB2312" w:eastAsia="仿宋_GB2312"/>
          <w:color w:val="auto"/>
          <w:sz w:val="32"/>
          <w:highlight w:val="none"/>
          <w:lang w:val="en-US" w:eastAsia="zh-CN"/>
        </w:rPr>
        <w:t>&lt;关于提前核准于家务乡富各庄村、前伏及后伏村美丽乡村配套污水处</w:t>
      </w:r>
      <w:r>
        <w:rPr>
          <w:rFonts w:hint="eastAsia" w:ascii="仿宋_GB2312" w:eastAsia="仿宋_GB2312"/>
          <w:color w:val="auto"/>
          <w:sz w:val="32"/>
          <w:highlight w:val="none"/>
          <w:lang w:val="en-US" w:eastAsia="zh-CN"/>
        </w:rPr>
        <w:tab/>
      </w:r>
      <w:r>
        <w:rPr>
          <w:rFonts w:hint="eastAsia" w:ascii="仿宋_GB2312" w:eastAsia="仿宋_GB2312"/>
          <w:color w:val="auto"/>
          <w:sz w:val="32"/>
          <w:highlight w:val="none"/>
          <w:lang w:val="en-US" w:eastAsia="zh-CN"/>
        </w:rPr>
        <w:t>理设施工程勘察设计招标方案的批复&gt;</w:t>
      </w:r>
      <w:r>
        <w:rPr>
          <w:rFonts w:hint="eastAsia" w:ascii="仿宋_GB2312" w:eastAsia="仿宋_GB2312"/>
          <w:color w:val="auto"/>
          <w:sz w:val="32"/>
          <w:highlight w:val="none"/>
        </w:rPr>
        <w:t>的</w:t>
      </w:r>
      <w:r>
        <w:rPr>
          <w:rFonts w:hint="eastAsia" w:ascii="仿宋_GB2312" w:eastAsia="仿宋_GB2312"/>
          <w:color w:val="auto"/>
          <w:sz w:val="32"/>
          <w:highlight w:val="none"/>
          <w:lang w:eastAsia="zh-CN"/>
        </w:rPr>
        <w:t>函</w:t>
      </w:r>
      <w:r>
        <w:rPr>
          <w:rFonts w:hint="eastAsia" w:ascii="仿宋_GB2312" w:eastAsia="仿宋_GB2312"/>
          <w:color w:val="auto"/>
          <w:sz w:val="32"/>
          <w:highlight w:val="none"/>
        </w:rPr>
        <w:t>》（于政文〔2024〕</w:t>
      </w:r>
      <w:r>
        <w:rPr>
          <w:rFonts w:hint="eastAsia" w:ascii="仿宋_GB2312" w:eastAsia="仿宋_GB2312"/>
          <w:color w:val="auto"/>
          <w:sz w:val="32"/>
          <w:highlight w:val="none"/>
          <w:lang w:val="en-US" w:eastAsia="zh-CN"/>
        </w:rPr>
        <w:t>290</w:t>
      </w:r>
      <w:r>
        <w:rPr>
          <w:rFonts w:hint="eastAsia" w:ascii="仿宋_GB2312" w:eastAsia="仿宋_GB2312"/>
          <w:color w:val="auto"/>
          <w:sz w:val="32"/>
          <w:highlight w:val="none"/>
        </w:rPr>
        <w:t>号）收悉。</w:t>
      </w:r>
      <w:r>
        <w:rPr>
          <w:rFonts w:hint="eastAsia" w:ascii="仿宋_GB2312" w:eastAsia="仿宋_GB2312"/>
          <w:color w:val="auto"/>
          <w:sz w:val="32"/>
          <w:highlight w:val="none"/>
          <w:lang w:eastAsia="zh-CN"/>
        </w:rPr>
        <w:t>经研究</w:t>
      </w:r>
      <w:r>
        <w:rPr>
          <w:rFonts w:hint="eastAsia" w:ascii="仿宋_GB2312" w:eastAsia="仿宋_GB2312"/>
          <w:color w:val="auto"/>
          <w:sz w:val="32"/>
          <w:highlight w:val="none"/>
        </w:rPr>
        <w:t>，</w:t>
      </w:r>
      <w:r>
        <w:rPr>
          <w:rFonts w:hint="eastAsia" w:ascii="仿宋_GB2312" w:eastAsia="仿宋_GB2312"/>
          <w:color w:val="auto"/>
          <w:sz w:val="32"/>
          <w:highlight w:val="none"/>
          <w:lang w:eastAsia="zh-CN"/>
        </w:rPr>
        <w:t>同意撤销我委《关于提前核准于家务乡富各庄村、前伏及后伏村美丽乡村配套污水处理设施工程勘察设计招标方案的批复》（京通州发改</w:t>
      </w:r>
      <w:r>
        <w:rPr>
          <w:rFonts w:hint="eastAsia" w:ascii="仿宋_GB2312" w:eastAsia="仿宋_GB2312"/>
          <w:color w:val="auto"/>
          <w:sz w:val="32"/>
          <w:highlight w:val="none"/>
          <w:lang w:val="en-US" w:eastAsia="zh-CN"/>
        </w:rPr>
        <w:t>[</w:t>
      </w:r>
      <w:r>
        <w:rPr>
          <w:rFonts w:hint="eastAsia" w:ascii="仿宋_GB2312" w:eastAsia="仿宋_GB2312"/>
          <w:color w:val="auto"/>
          <w:sz w:val="32"/>
          <w:highlight w:val="none"/>
          <w:lang w:eastAsia="zh-CN"/>
        </w:rPr>
        <w:t>核</w:t>
      </w:r>
      <w:r>
        <w:rPr>
          <w:rFonts w:hint="eastAsia" w:ascii="仿宋_GB2312" w:eastAsia="仿宋_GB2312"/>
          <w:color w:val="auto"/>
          <w:sz w:val="32"/>
          <w:highlight w:val="none"/>
          <w:lang w:val="en-US" w:eastAsia="zh-CN"/>
        </w:rPr>
        <w:t>]</w:t>
      </w:r>
      <w:r>
        <w:rPr>
          <w:rFonts w:hint="eastAsia" w:ascii="仿宋_GB2312" w:eastAsia="仿宋_GB2312"/>
          <w:color w:val="auto"/>
          <w:sz w:val="32"/>
          <w:highlight w:val="none"/>
          <w:lang w:eastAsia="zh-CN"/>
        </w:rPr>
        <w:t>〔2024〕</w:t>
      </w:r>
      <w:r>
        <w:rPr>
          <w:rFonts w:hint="eastAsia" w:ascii="仿宋_GB2312" w:eastAsia="仿宋_GB2312"/>
          <w:color w:val="auto"/>
          <w:sz w:val="32"/>
          <w:highlight w:val="none"/>
          <w:lang w:val="en-US" w:eastAsia="zh-CN"/>
        </w:rPr>
        <w:t>59</w:t>
      </w:r>
      <w:r>
        <w:rPr>
          <w:rFonts w:hint="eastAsia" w:ascii="仿宋_GB2312" w:eastAsia="仿宋_GB2312"/>
          <w:color w:val="auto"/>
          <w:sz w:val="32"/>
          <w:highlight w:val="none"/>
          <w:lang w:eastAsia="zh-CN"/>
        </w:rPr>
        <w:t>号）。</w:t>
      </w:r>
    </w:p>
    <w:p>
      <w:pPr>
        <w:keepNext w:val="0"/>
        <w:keepLines w:val="0"/>
        <w:pageBreakBefore w:val="0"/>
        <w:widowControl w:val="0"/>
        <w:tabs>
          <w:tab w:val="left" w:pos="4680"/>
        </w:tabs>
        <w:kinsoku/>
        <w:wordWrap/>
        <w:overflowPunct/>
        <w:topLinePunct w:val="0"/>
        <w:autoSpaceDE/>
        <w:autoSpaceDN/>
        <w:bidi w:val="0"/>
        <w:adjustRightInd w:val="0"/>
        <w:snapToGrid w:val="0"/>
        <w:spacing w:before="251" w:beforeLines="80" w:line="520" w:lineRule="exact"/>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北京市通州区发展和改革委员会</w:t>
      </w:r>
    </w:p>
    <w:p>
      <w:pPr>
        <w:keepNext w:val="0"/>
        <w:keepLines w:val="0"/>
        <w:pageBreakBefore w:val="0"/>
        <w:widowControl w:val="0"/>
        <w:tabs>
          <w:tab w:val="left" w:pos="4680"/>
        </w:tabs>
        <w:kinsoku/>
        <w:wordWrap/>
        <w:overflowPunct/>
        <w:topLinePunct w:val="0"/>
        <w:autoSpaceDE/>
        <w:autoSpaceDN/>
        <w:bidi w:val="0"/>
        <w:adjustRightInd w:val="0"/>
        <w:snapToGrid w:val="0"/>
        <w:spacing w:line="520" w:lineRule="exact"/>
        <w:ind w:firstLine="640" w:firstLineChars="200"/>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648D8"/>
    <w:rsid w:val="6736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Body Text 2"/>
    <w:basedOn w:val="1"/>
    <w:qFormat/>
    <w:uiPriority w:val="0"/>
    <w:pPr>
      <w:jc w:val="center"/>
    </w:pPr>
    <w:rPr>
      <w:b/>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2024-11-15T08:01:00Z</dcterms:created>
  <dc:creator>Win7</dc:creator>
  <cp:lastModifiedBy>Win7</cp:lastModifiedBy>
  <dcterms:modified xsi:type="dcterms:W3CDTF">2024-11-15T08:06:08Z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