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通州区财政局202</w:t>
      </w:r>
      <w:r>
        <w:rPr>
          <w:rFonts w:hint="eastAsia" w:ascii="方正小标宋简体" w:hAnsi="方正小标宋简体" w:eastAsia="方正小标宋简体" w:cs="方正小标宋简体"/>
          <w:sz w:val="52"/>
          <w:szCs w:val="52"/>
          <w:lang w:val="en-US" w:eastAsia="zh-CN"/>
        </w:rPr>
        <w:t>3</w:t>
      </w:r>
      <w:r>
        <w:rPr>
          <w:rFonts w:hint="eastAsia" w:ascii="方正小标宋简体" w:hAnsi="方正小标宋简体" w:eastAsia="方正小标宋简体" w:cs="方正小标宋简体"/>
          <w:sz w:val="52"/>
          <w:szCs w:val="52"/>
        </w:rPr>
        <w:t>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通州区财政局</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val="en-US" w:eastAsia="zh-CN"/>
        </w:rPr>
        <w:t>9</w:t>
      </w:r>
      <w:r>
        <w:rPr>
          <w:rFonts w:hint="eastAsia" w:ascii="方正小标宋简体" w:hAnsi="方正小标宋简体" w:eastAsia="方正小标宋简体" w:cs="方正小标宋简体"/>
          <w:sz w:val="44"/>
          <w:szCs w:val="44"/>
        </w:rPr>
        <w:t>月</w:t>
      </w: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sectPr>
          <w:footerReference r:id="rId3" w:type="default"/>
          <w:pgSz w:w="11906" w:h="16838"/>
          <w:pgMar w:top="1440" w:right="1800" w:bottom="1440" w:left="1800"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仿宋_GB2312"/>
          <w:szCs w:val="30"/>
        </w:rPr>
      </w:pPr>
      <w:r>
        <w:rPr>
          <w:rFonts w:hint="eastAsia" w:ascii="方正小标宋简体" w:eastAsia="方正小标宋简体"/>
          <w:sz w:val="44"/>
          <w:szCs w:val="44"/>
        </w:rPr>
        <w:t>通州区财政局部门整体绩效评价报告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仿宋_GB2312"/>
          <w:szCs w:val="30"/>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outlineLvl w:val="1"/>
        <w:rPr>
          <w:rFonts w:ascii="仿宋_GB2312" w:hAnsi="仿宋_GB2312" w:eastAsia="仿宋_GB2312" w:cs="仿宋_GB2312"/>
          <w:b/>
          <w:bCs/>
          <w:sz w:val="32"/>
          <w:szCs w:val="22"/>
        </w:rPr>
      </w:pPr>
      <w:r>
        <w:rPr>
          <w:rFonts w:hint="eastAsia" w:ascii="仿宋_GB2312" w:hAnsi="仿宋_GB2312" w:eastAsia="仿宋_GB2312" w:cs="仿宋_GB2312"/>
          <w:b/>
          <w:bCs/>
          <w:sz w:val="32"/>
          <w:szCs w:val="22"/>
        </w:rPr>
        <w:t>1.部门机构设置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根据《北京市通州区人民政府办公室关于印发北京市通州区财政局主要职责内设机构和人员编制规定的通知》（通政发[2009]053号），</w:t>
      </w:r>
      <w:r>
        <w:rPr>
          <w:rFonts w:hint="eastAsia" w:ascii="仿宋_GB2312" w:eastAsia="仿宋_GB2312"/>
          <w:sz w:val="32"/>
          <w:szCs w:val="32"/>
          <w:lang w:eastAsia="zh-CN"/>
        </w:rPr>
        <w:t>通州区财政局</w:t>
      </w:r>
      <w:r>
        <w:rPr>
          <w:rFonts w:hint="eastAsia" w:ascii="仿宋_GB2312" w:eastAsia="仿宋_GB2312"/>
          <w:sz w:val="32"/>
          <w:szCs w:val="32"/>
        </w:rPr>
        <w:t>包含行政单位1个</w:t>
      </w:r>
      <w:r>
        <w:rPr>
          <w:rFonts w:hint="eastAsia" w:ascii="仿宋_GB2312" w:eastAsia="仿宋_GB2312"/>
          <w:sz w:val="32"/>
          <w:szCs w:val="32"/>
          <w:lang w:eastAsia="zh-CN"/>
        </w:rPr>
        <w:t>（</w:t>
      </w:r>
      <w:r>
        <w:rPr>
          <w:rFonts w:hint="eastAsia" w:ascii="仿宋_GB2312" w:eastAsia="仿宋_GB2312"/>
          <w:sz w:val="32"/>
          <w:szCs w:val="32"/>
        </w:rPr>
        <w:t>设有16个职能科室,分别是:办公室、人事教育科、预算科、国库科、行政政法科、经济建设科、农业科、教科文科、社会保障科、企业科、会计科、政府采购管理科、法制监督科、绩效评价科、政府债务管理科、财源建设和收入管理科</w:t>
      </w:r>
      <w:r>
        <w:rPr>
          <w:rFonts w:hint="eastAsia" w:ascii="仿宋_GB2312" w:eastAsia="仿宋_GB2312"/>
          <w:sz w:val="32"/>
          <w:szCs w:val="32"/>
          <w:lang w:eastAsia="zh-CN"/>
        </w:rPr>
        <w:t>），</w:t>
      </w:r>
      <w:r>
        <w:rPr>
          <w:rFonts w:hint="eastAsia" w:ascii="仿宋_GB2312" w:eastAsia="仿宋_GB2312"/>
          <w:sz w:val="32"/>
          <w:szCs w:val="32"/>
        </w:rPr>
        <w:t>事业单位9个</w:t>
      </w:r>
      <w:r>
        <w:rPr>
          <w:rFonts w:hint="eastAsia" w:ascii="仿宋_GB2312" w:eastAsia="仿宋_GB2312"/>
          <w:sz w:val="32"/>
          <w:szCs w:val="32"/>
          <w:lang w:eastAsia="zh-CN"/>
        </w:rPr>
        <w:t>（</w:t>
      </w:r>
      <w:r>
        <w:rPr>
          <w:rFonts w:hint="eastAsia" w:ascii="仿宋_GB2312" w:eastAsia="仿宋_GB2312"/>
          <w:sz w:val="32"/>
          <w:szCs w:val="32"/>
        </w:rPr>
        <w:t>其中：参公事业单位4个：预算编审中心、国库支付中心、财政监督检查所、绩效考评中心</w:t>
      </w:r>
      <w:r>
        <w:rPr>
          <w:rFonts w:hint="eastAsia" w:ascii="仿宋_GB2312" w:eastAsia="仿宋_GB2312"/>
          <w:sz w:val="32"/>
          <w:szCs w:val="32"/>
          <w:lang w:eastAsia="zh-CN"/>
        </w:rPr>
        <w:t>。</w:t>
      </w:r>
      <w:r>
        <w:rPr>
          <w:rFonts w:hint="eastAsia" w:ascii="仿宋_GB2312" w:eastAsia="仿宋_GB2312"/>
          <w:sz w:val="32"/>
          <w:szCs w:val="32"/>
        </w:rPr>
        <w:t>纳入规范事业单位5个：财政金融与建设发展中心、财源建设中心、财政投资评审中心、行政事业资产事务中心、财政综合事务中心</w:t>
      </w:r>
      <w:r>
        <w:rPr>
          <w:rFonts w:hint="eastAsia" w:ascii="仿宋_GB2312" w:eastAsia="仿宋_GB2312"/>
          <w:sz w:val="32"/>
          <w:szCs w:val="32"/>
          <w:lang w:eastAsia="zh-CN"/>
        </w:rPr>
        <w:t>）</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仿宋" w:eastAsia="仿宋_GB2312"/>
          <w:b/>
          <w:bCs/>
          <w:sz w:val="32"/>
          <w:szCs w:val="32"/>
        </w:rPr>
      </w:pPr>
      <w:r>
        <w:rPr>
          <w:rFonts w:hint="eastAsia" w:ascii="仿宋_GB2312" w:hAnsi="仿宋" w:eastAsia="仿宋_GB2312"/>
          <w:b/>
          <w:bCs/>
          <w:sz w:val="32"/>
          <w:szCs w:val="32"/>
        </w:rPr>
        <w:t>2.</w:t>
      </w:r>
      <w:r>
        <w:rPr>
          <w:rFonts w:ascii="仿宋_GB2312" w:hAnsi="仿宋" w:eastAsia="仿宋_GB2312"/>
          <w:b/>
          <w:bCs/>
          <w:sz w:val="32"/>
          <w:szCs w:val="32"/>
        </w:rPr>
        <w:t>职责</w:t>
      </w:r>
      <w:r>
        <w:rPr>
          <w:rFonts w:hint="eastAsia" w:ascii="仿宋_GB2312" w:hAnsi="仿宋" w:eastAsia="仿宋_GB2312"/>
          <w:b/>
          <w:bCs/>
          <w:sz w:val="32"/>
          <w:szCs w:val="32"/>
        </w:rPr>
        <w:t>工作任务情况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贯彻落实国家和本市关于财政、财务、会计管理方面的法律、法规、规章和政策；编制并组织实施本区中长期财政计划；参与拟订本区重大经济决策</w:t>
      </w:r>
      <w:r>
        <w:rPr>
          <w:rFonts w:hint="eastAsia" w:ascii="仿宋_GB2312" w:eastAsia="仿宋_GB2312"/>
          <w:sz w:val="32"/>
          <w:szCs w:val="32"/>
          <w:lang w:eastAsia="zh-CN"/>
        </w:rPr>
        <w:t>、</w:t>
      </w:r>
      <w:r>
        <w:rPr>
          <w:rFonts w:hint="eastAsia" w:ascii="仿宋_GB2312" w:eastAsia="仿宋_GB2312"/>
          <w:sz w:val="32"/>
          <w:szCs w:val="32"/>
        </w:rPr>
        <w:t>措施</w:t>
      </w:r>
      <w:r>
        <w:rPr>
          <w:rFonts w:hint="eastAsia" w:ascii="仿宋_GB2312" w:eastAsia="仿宋_GB2312"/>
          <w:sz w:val="32"/>
          <w:szCs w:val="32"/>
          <w:lang w:eastAsia="zh-CN"/>
        </w:rPr>
        <w:t>和</w:t>
      </w:r>
      <w:r>
        <w:rPr>
          <w:rFonts w:hint="eastAsia" w:ascii="仿宋_GB2312" w:eastAsia="仿宋_GB2312"/>
          <w:sz w:val="32"/>
          <w:szCs w:val="32"/>
        </w:rPr>
        <w:t>办法，研究提出运用财税政策对经济运行实施调控和综合平衡本区财力的建议；执行市与区县、国家与企业的分配政策；拟订完善鼓励公益事业发展的财税相关措施、办法。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承担本区各项财政收支管理的责任，编制年度预决算草案并组织执行；受区政府委托，向区人民代表大会报告预算及其执行情况，向区人大常委会报告决算</w:t>
      </w:r>
      <w:r>
        <w:rPr>
          <w:rFonts w:hint="eastAsia" w:ascii="仿宋_GB2312" w:eastAsia="仿宋_GB2312"/>
          <w:sz w:val="32"/>
          <w:szCs w:val="32"/>
          <w:lang w:eastAsia="zh-CN"/>
        </w:rPr>
        <w:t>情况</w:t>
      </w:r>
      <w:r>
        <w:rPr>
          <w:rFonts w:hint="eastAsia" w:ascii="仿宋_GB2312" w:eastAsia="仿宋_GB2312"/>
          <w:sz w:val="32"/>
          <w:szCs w:val="32"/>
        </w:rPr>
        <w:t>；组织制定行政机关、事业单位经费开支标准、定额；负责审批部门和单位的年度预决算，完善转移支付制度；研究拟订区与乡镇财政管理体制。</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负责本区政府非税收入</w:t>
      </w:r>
      <w:r>
        <w:rPr>
          <w:rFonts w:hint="eastAsia" w:ascii="仿宋_GB2312" w:eastAsia="仿宋_GB2312"/>
          <w:sz w:val="32"/>
          <w:szCs w:val="32"/>
          <w:lang w:eastAsia="zh-CN"/>
        </w:rPr>
        <w:t>、</w:t>
      </w:r>
      <w:r>
        <w:rPr>
          <w:rFonts w:hint="eastAsia" w:ascii="仿宋_GB2312" w:eastAsia="仿宋_GB2312"/>
          <w:sz w:val="32"/>
          <w:szCs w:val="32"/>
        </w:rPr>
        <w:t>政府性基金</w:t>
      </w:r>
      <w:r>
        <w:rPr>
          <w:rFonts w:hint="eastAsia" w:ascii="仿宋_GB2312" w:eastAsia="仿宋_GB2312"/>
          <w:sz w:val="32"/>
          <w:szCs w:val="32"/>
          <w:lang w:eastAsia="zh-CN"/>
        </w:rPr>
        <w:t>、行</w:t>
      </w:r>
      <w:r>
        <w:rPr>
          <w:rFonts w:hint="eastAsia" w:ascii="仿宋_GB2312" w:eastAsia="仿宋_GB2312"/>
          <w:sz w:val="32"/>
          <w:szCs w:val="32"/>
        </w:rPr>
        <w:t>政事业性收费</w:t>
      </w:r>
      <w:r>
        <w:rPr>
          <w:rFonts w:hint="eastAsia" w:ascii="仿宋_GB2312" w:eastAsia="仿宋_GB2312"/>
          <w:sz w:val="32"/>
          <w:szCs w:val="32"/>
          <w:lang w:eastAsia="zh-CN"/>
        </w:rPr>
        <w:t>、</w:t>
      </w:r>
      <w:r>
        <w:rPr>
          <w:rFonts w:hint="eastAsia" w:ascii="仿宋_GB2312" w:eastAsia="仿宋_GB2312"/>
          <w:sz w:val="32"/>
          <w:szCs w:val="32"/>
        </w:rPr>
        <w:t>财政票据</w:t>
      </w:r>
      <w:r>
        <w:rPr>
          <w:rFonts w:hint="eastAsia" w:ascii="仿宋_GB2312" w:eastAsia="仿宋_GB2312"/>
          <w:sz w:val="32"/>
          <w:szCs w:val="32"/>
          <w:lang w:eastAsia="zh-CN"/>
        </w:rPr>
        <w:t>、</w:t>
      </w:r>
      <w:r>
        <w:rPr>
          <w:rFonts w:hint="eastAsia" w:ascii="仿宋_GB2312" w:eastAsia="仿宋_GB2312"/>
          <w:sz w:val="32"/>
          <w:szCs w:val="32"/>
        </w:rPr>
        <w:t>彩票资金</w:t>
      </w:r>
      <w:r>
        <w:rPr>
          <w:rFonts w:hint="eastAsia" w:ascii="仿宋_GB2312" w:eastAsia="仿宋_GB2312"/>
          <w:sz w:val="32"/>
          <w:szCs w:val="32"/>
          <w:lang w:eastAsia="zh-CN"/>
        </w:rPr>
        <w:t>等</w:t>
      </w:r>
      <w:r>
        <w:rPr>
          <w:rFonts w:hint="eastAsia" w:ascii="仿宋_GB2312" w:eastAsia="仿宋_GB2312"/>
          <w:sz w:val="32"/>
          <w:szCs w:val="32"/>
        </w:rPr>
        <w:t>管理工作。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组织制定本区国库管理制度、国库集中收付制度，指导和监督本区国库业务，负责本区国库现金、各项财政收入、预算外资金和财政专户管理有关工作。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拟订本区政府采购的有关规定并进行监督管理；负责本区党政机关、财政拨款事业单位汽车定编工</w:t>
      </w:r>
      <w:bookmarkStart w:id="0" w:name="_GoBack"/>
      <w:bookmarkEnd w:id="0"/>
      <w:r>
        <w:rPr>
          <w:rFonts w:hint="eastAsia" w:ascii="仿宋_GB2312" w:eastAsia="仿宋_GB2312"/>
          <w:sz w:val="32"/>
          <w:szCs w:val="32"/>
        </w:rPr>
        <w:t>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负责承办和监督本区财政的经济发展支出、政府性投资项目的财政拨款，参与拟订建设投资的有关制度、办法，负责落实基本建设财务管理制度；负责有关政策性补贴和专项储备资金财政管理工作；负责农业综合开发管理工作；承担财政投资评审管理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7</w:t>
      </w:r>
      <w:r>
        <w:rPr>
          <w:rFonts w:hint="eastAsia" w:ascii="仿宋_GB2312" w:eastAsia="仿宋_GB2312"/>
          <w:sz w:val="32"/>
          <w:szCs w:val="32"/>
          <w:lang w:eastAsia="zh-CN"/>
        </w:rPr>
        <w:t>）</w:t>
      </w:r>
      <w:r>
        <w:rPr>
          <w:rFonts w:hint="eastAsia" w:ascii="仿宋_GB2312" w:eastAsia="仿宋_GB2312"/>
          <w:sz w:val="32"/>
          <w:szCs w:val="32"/>
        </w:rPr>
        <w:t>会同有关部门管理本区财政社会保障</w:t>
      </w:r>
      <w:r>
        <w:rPr>
          <w:rFonts w:hint="eastAsia" w:ascii="仿宋_GB2312" w:eastAsia="仿宋_GB2312"/>
          <w:sz w:val="32"/>
          <w:szCs w:val="32"/>
          <w:lang w:eastAsia="zh-CN"/>
        </w:rPr>
        <w:t>、</w:t>
      </w:r>
      <w:r>
        <w:rPr>
          <w:rFonts w:hint="eastAsia" w:ascii="仿宋_GB2312" w:eastAsia="仿宋_GB2312"/>
          <w:sz w:val="32"/>
          <w:szCs w:val="32"/>
        </w:rPr>
        <w:t>就业及医疗卫生支出，贯彻执行社会保障资金的财务管理制度，编制本区社会保障预决算草案，组织实施对社会保障资金使用的财政监督。</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8</w:t>
      </w:r>
      <w:r>
        <w:rPr>
          <w:rFonts w:hint="eastAsia" w:ascii="仿宋_GB2312" w:eastAsia="仿宋_GB2312"/>
          <w:sz w:val="32"/>
          <w:szCs w:val="32"/>
          <w:lang w:eastAsia="zh-CN"/>
        </w:rPr>
        <w:t>）</w:t>
      </w:r>
      <w:r>
        <w:rPr>
          <w:rFonts w:hint="eastAsia" w:ascii="仿宋_GB2312" w:eastAsia="仿宋_GB2312"/>
          <w:sz w:val="32"/>
          <w:szCs w:val="32"/>
        </w:rPr>
        <w:t>负责管理本区的会计工作，监督和规范会计行为，执行国家统一的会计制度。</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9</w:t>
      </w:r>
      <w:r>
        <w:rPr>
          <w:rFonts w:hint="eastAsia" w:ascii="仿宋_GB2312" w:eastAsia="仿宋_GB2312"/>
          <w:sz w:val="32"/>
          <w:szCs w:val="32"/>
          <w:lang w:eastAsia="zh-CN"/>
        </w:rPr>
        <w:t>）</w:t>
      </w:r>
      <w:r>
        <w:rPr>
          <w:rFonts w:hint="eastAsia" w:ascii="仿宋_GB2312" w:eastAsia="仿宋_GB2312"/>
          <w:sz w:val="32"/>
          <w:szCs w:val="32"/>
        </w:rPr>
        <w:t>负责制定本区行政事业单位国有资产管理制度和办法，按照规定管理本区行政事业单位国有资产，制定全区统一的开支标准和支出管理办法。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10</w:t>
      </w:r>
      <w:r>
        <w:rPr>
          <w:rFonts w:hint="eastAsia" w:ascii="仿宋_GB2312" w:eastAsia="仿宋_GB2312"/>
          <w:sz w:val="32"/>
          <w:szCs w:val="32"/>
          <w:lang w:eastAsia="zh-CN"/>
        </w:rPr>
        <w:t>）</w:t>
      </w:r>
      <w:r>
        <w:rPr>
          <w:rFonts w:hint="eastAsia" w:ascii="仿宋_GB2312" w:eastAsia="仿宋_GB2312"/>
          <w:sz w:val="32"/>
          <w:szCs w:val="32"/>
        </w:rPr>
        <w:t>依法负责本区国有资本经营预算相关工作，收取区本级企业国有资本收益，组织实施企业财务制度，参与拟订企业国有资产管理相关制度，负责资产评估的有关管理工作。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11</w:t>
      </w:r>
      <w:r>
        <w:rPr>
          <w:rFonts w:hint="eastAsia" w:ascii="仿宋_GB2312" w:eastAsia="仿宋_GB2312"/>
          <w:sz w:val="32"/>
          <w:szCs w:val="32"/>
          <w:lang w:eastAsia="zh-CN"/>
        </w:rPr>
        <w:t>）</w:t>
      </w:r>
      <w:r>
        <w:rPr>
          <w:rFonts w:hint="eastAsia" w:ascii="仿宋_GB2312" w:eastAsia="仿宋_GB2312"/>
          <w:sz w:val="32"/>
          <w:szCs w:val="32"/>
        </w:rPr>
        <w:t>研究建立本区财政支出绩效评价制度和评价体系；监督检查财税法律、法规政策的执行情况；反映财政收支管理中的重大问题；研究提出加强财政管理的政策性建议。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12</w:t>
      </w:r>
      <w:r>
        <w:rPr>
          <w:rFonts w:hint="eastAsia" w:ascii="仿宋_GB2312" w:eastAsia="仿宋_GB2312"/>
          <w:sz w:val="32"/>
          <w:szCs w:val="32"/>
          <w:lang w:eastAsia="zh-CN"/>
        </w:rPr>
        <w:t>）</w:t>
      </w:r>
      <w:r>
        <w:rPr>
          <w:rFonts w:hint="eastAsia" w:ascii="仿宋_GB2312" w:eastAsia="仿宋_GB2312"/>
          <w:sz w:val="32"/>
          <w:szCs w:val="32"/>
        </w:rPr>
        <w:t>负责管理外国政府和国际金融组织对本区的贷款业务；贯彻执行政府国内债务管理的制度和政策；参与制定政府性债务管理办法；参与拟定政府防范债务风险的措施。</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13</w:t>
      </w:r>
      <w:r>
        <w:rPr>
          <w:rFonts w:hint="eastAsia" w:ascii="仿宋_GB2312" w:eastAsia="仿宋_GB2312"/>
          <w:sz w:val="32"/>
          <w:szCs w:val="32"/>
          <w:lang w:eastAsia="zh-CN"/>
        </w:rPr>
        <w:t>）</w:t>
      </w:r>
      <w:r>
        <w:rPr>
          <w:rFonts w:hint="eastAsia" w:ascii="仿宋_GB2312" w:eastAsia="仿宋_GB2312"/>
          <w:sz w:val="32"/>
          <w:szCs w:val="32"/>
        </w:rPr>
        <w:t>承办区政府交办的其他事项。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（二）部门整体绩效目标设立情况</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根据《北京市通州区人民政府办公室关于印发北京市通州区财政局主要职责内设机构和人员编制规定的通知》（通政发[2009]053号）确定的机构设置及主要职责，</w:t>
      </w:r>
      <w:r>
        <w:rPr>
          <w:rFonts w:hint="eastAsia" w:ascii="仿宋_GB2312" w:eastAsia="仿宋_GB2312"/>
          <w:sz w:val="32"/>
          <w:szCs w:val="32"/>
          <w:lang w:eastAsia="zh-CN"/>
        </w:rPr>
        <w:t>并</w:t>
      </w:r>
      <w:r>
        <w:rPr>
          <w:rFonts w:hint="eastAsia" w:ascii="仿宋_GB2312" w:eastAsia="仿宋_GB2312"/>
          <w:sz w:val="32"/>
          <w:szCs w:val="32"/>
        </w:rPr>
        <w:t>结合局内中长期规划、年度工作计划、政策要求以及年度主要工作任务设立，反映区财政局使用部门预算资金在年度履职中预期达到的总体产出和效果。</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根据本单位</w:t>
      </w:r>
      <w:r>
        <w:rPr>
          <w:rFonts w:hint="eastAsia" w:ascii="仿宋_GB2312" w:eastAsia="仿宋_GB2312"/>
          <w:sz w:val="32"/>
          <w:szCs w:val="32"/>
          <w:lang w:eastAsia="zh-CN"/>
        </w:rPr>
        <w:t>职能</w:t>
      </w:r>
      <w:r>
        <w:rPr>
          <w:rFonts w:hint="eastAsia" w:ascii="仿宋_GB2312" w:eastAsia="仿宋_GB2312"/>
          <w:sz w:val="32"/>
          <w:szCs w:val="32"/>
        </w:rPr>
        <w:t>职责合理设置绩效目标：编制并组织实施本区中长期财政发展规划；研究提出经济运行调控和综合平衡本区财力的建议；编制年度财政预算决算草案；批复年度部门预决算；组织落实年度区级财政税收收入计划；拨付与调度本区财政资金；监督财政性投资项目资金使用；开展财政投资评审工作；分析研究政府债务状况；指导、监督本区政府采购工作；开展会计人员培训；组织会计专业技术资格考试；开展本区行政事业单位财政预算支出绩效考评；管理本区行政事业单位国有资产；组织收缴区属国有企业的资本收益。</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年</w:t>
      </w:r>
      <w:r>
        <w:rPr>
          <w:rFonts w:ascii="仿宋_GB2312" w:hAnsi="宋体" w:eastAsia="仿宋_GB2312" w:cs="宋体"/>
          <w:color w:val="auto"/>
          <w:kern w:val="0"/>
          <w:sz w:val="32"/>
          <w:szCs w:val="32"/>
        </w:rPr>
        <w:t>全年</w:t>
      </w:r>
      <w:r>
        <w:rPr>
          <w:rFonts w:hint="eastAsia" w:ascii="仿宋_GB2312" w:hAnsi="宋体" w:eastAsia="仿宋_GB2312" w:cs="宋体"/>
          <w:color w:val="auto"/>
          <w:kern w:val="0"/>
          <w:sz w:val="32"/>
          <w:szCs w:val="32"/>
        </w:rPr>
        <w:t>预算数为</w:t>
      </w:r>
      <w:r>
        <w:rPr>
          <w:rFonts w:hint="eastAsia" w:ascii="仿宋_GB2312" w:hAnsi="宋体" w:eastAsia="仿宋_GB2312" w:cs="宋体"/>
          <w:color w:val="auto"/>
          <w:kern w:val="0"/>
          <w:sz w:val="32"/>
          <w:szCs w:val="32"/>
          <w:lang w:val="en-US" w:eastAsia="zh-CN"/>
        </w:rPr>
        <w:t>11765.13</w:t>
      </w:r>
      <w:r>
        <w:rPr>
          <w:rFonts w:hint="eastAsia" w:ascii="仿宋_GB2312" w:hAnsi="宋体" w:eastAsia="仿宋_GB2312" w:cs="宋体"/>
          <w:color w:val="auto"/>
          <w:kern w:val="0"/>
          <w:sz w:val="32"/>
          <w:szCs w:val="32"/>
        </w:rPr>
        <w:t>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预算数</w:t>
      </w:r>
      <w:r>
        <w:rPr>
          <w:rFonts w:hint="eastAsia" w:ascii="仿宋_GB2312" w:hAnsi="宋体" w:eastAsia="仿宋_GB2312" w:cs="宋体"/>
          <w:color w:val="auto"/>
          <w:kern w:val="0"/>
          <w:sz w:val="32"/>
          <w:szCs w:val="32"/>
        </w:rPr>
        <w:t>为</w:t>
      </w:r>
      <w:r>
        <w:rPr>
          <w:rFonts w:hint="eastAsia" w:ascii="仿宋_GB2312" w:hAnsi="宋体" w:eastAsia="仿宋_GB2312" w:cs="宋体"/>
          <w:color w:val="auto"/>
          <w:kern w:val="0"/>
          <w:sz w:val="32"/>
          <w:szCs w:val="32"/>
          <w:lang w:val="en-US" w:eastAsia="zh-CN"/>
        </w:rPr>
        <w:t>7144.52</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项目支出预算数</w:t>
      </w:r>
      <w:r>
        <w:rPr>
          <w:rFonts w:hint="eastAsia" w:ascii="仿宋_GB2312" w:hAnsi="宋体" w:eastAsia="仿宋_GB2312" w:cs="宋体"/>
          <w:color w:val="auto"/>
          <w:kern w:val="0"/>
          <w:sz w:val="32"/>
          <w:szCs w:val="32"/>
          <w:lang w:val="en-US" w:eastAsia="zh-CN"/>
        </w:rPr>
        <w:t>4620.61</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资金总体</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11765.13</w:t>
      </w:r>
      <w:r>
        <w:rPr>
          <w:rFonts w:ascii="仿宋_GB2312" w:hAnsi="宋体" w:eastAsia="仿宋_GB2312" w:cs="宋体"/>
          <w:color w:val="auto"/>
          <w:kern w:val="0"/>
          <w:sz w:val="32"/>
          <w:szCs w:val="32"/>
        </w:rPr>
        <w:t>万元，其中，基本支出</w:t>
      </w:r>
      <w:r>
        <w:rPr>
          <w:rFonts w:hint="eastAsia" w:ascii="仿宋_GB2312" w:hAnsi="宋体" w:eastAsia="仿宋_GB2312" w:cs="宋体"/>
          <w:color w:val="auto"/>
          <w:kern w:val="0"/>
          <w:sz w:val="32"/>
          <w:szCs w:val="32"/>
          <w:lang w:val="en-US" w:eastAsia="zh-CN"/>
        </w:rPr>
        <w:t>7144.52</w:t>
      </w:r>
      <w:r>
        <w:rPr>
          <w:rFonts w:ascii="仿宋_GB2312" w:hAnsi="宋体" w:eastAsia="仿宋_GB2312" w:cs="宋体"/>
          <w:color w:val="auto"/>
          <w:kern w:val="0"/>
          <w:sz w:val="32"/>
          <w:szCs w:val="32"/>
        </w:rPr>
        <w:t>万元，项目</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4620.61</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预算</w:t>
      </w:r>
      <w:r>
        <w:rPr>
          <w:rFonts w:ascii="仿宋_GB2312" w:hAnsi="宋体" w:eastAsia="仿宋_GB2312" w:cs="宋体"/>
          <w:color w:val="auto"/>
          <w:kern w:val="0"/>
          <w:sz w:val="32"/>
          <w:szCs w:val="32"/>
        </w:rPr>
        <w:t>执行率</w:t>
      </w:r>
      <w:r>
        <w:rPr>
          <w:rFonts w:hint="eastAsia" w:ascii="仿宋_GB2312" w:hAnsi="宋体" w:eastAsia="仿宋_GB2312" w:cs="宋体"/>
          <w:color w:val="auto"/>
          <w:kern w:val="0"/>
          <w:sz w:val="32"/>
          <w:szCs w:val="32"/>
          <w:lang w:val="en"/>
        </w:rPr>
        <w:t>1</w:t>
      </w:r>
      <w:r>
        <w:rPr>
          <w:rFonts w:hint="eastAsia" w:ascii="仿宋_GB2312" w:hAnsi="宋体" w:eastAsia="仿宋_GB2312" w:cs="宋体"/>
          <w:color w:val="auto"/>
          <w:kern w:val="0"/>
          <w:sz w:val="32"/>
          <w:szCs w:val="32"/>
          <w:lang w:val="en-US" w:eastAsia="zh-CN"/>
        </w:rPr>
        <w:t>00</w:t>
      </w:r>
      <w:r>
        <w:rPr>
          <w:rFonts w:hint="eastAsia" w:ascii="仿宋_GB2312" w:hAnsi="宋体" w:eastAsia="仿宋_GB2312" w:cs="宋体"/>
          <w:color w:val="auto"/>
          <w:kern w:val="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2023年，区财政局围绕财政收入、财政支出、预算管理、绩效管理、财会监督等方面开展工作，截至2023年底，各项指标均按年初设置指标值完成。</w:t>
      </w:r>
    </w:p>
    <w:p>
      <w:pPr>
        <w:pStyle w:val="4"/>
        <w:keepNext w:val="0"/>
        <w:keepLines w:val="0"/>
        <w:pageBreakBefore w:val="0"/>
        <w:widowControl w:val="0"/>
        <w:kinsoku/>
        <w:wordWrap/>
        <w:overflowPunct/>
        <w:topLinePunct w:val="0"/>
        <w:autoSpaceDE/>
        <w:autoSpaceDN/>
        <w:bidi w:val="0"/>
        <w:spacing w:line="560" w:lineRule="exact"/>
        <w:ind w:firstLine="560"/>
        <w:textAlignment w:val="auto"/>
        <w:rPr>
          <w:rFonts w:hint="eastAsia" w:eastAsia="仿宋_GB2312"/>
          <w:bCs/>
          <w:color w:val="auto"/>
          <w:sz w:val="32"/>
          <w:szCs w:val="22"/>
        </w:rPr>
      </w:pPr>
      <w:r>
        <w:rPr>
          <w:rFonts w:hint="eastAsia" w:ascii="仿宋_GB2312" w:hAnsi="宋体" w:eastAsia="仿宋_GB2312" w:cs="宋体"/>
          <w:b/>
          <w:bCs/>
          <w:color w:val="auto"/>
          <w:kern w:val="0"/>
          <w:sz w:val="32"/>
          <w:szCs w:val="32"/>
        </w:rPr>
        <w:t>财政收入方面。</w:t>
      </w:r>
      <w:r>
        <w:rPr>
          <w:rFonts w:hint="eastAsia" w:ascii="仿宋_GB2312" w:hAnsi="宋体" w:eastAsia="仿宋_GB2312" w:cs="宋体"/>
          <w:color w:val="auto"/>
          <w:kern w:val="0"/>
          <w:sz w:val="32"/>
          <w:szCs w:val="32"/>
          <w:lang w:val="en-US" w:eastAsia="zh-CN" w:bidi="ar-SA"/>
        </w:rPr>
        <w:t>2023年，区级一般公共预算收入完成94.11亿元，同比增长5.2%。</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财政支出方面。</w:t>
      </w:r>
      <w:r>
        <w:rPr>
          <w:rFonts w:hint="eastAsia" w:ascii="仿宋_GB2312" w:hAnsi="仿宋_GB2312" w:eastAsia="仿宋_GB2312" w:cs="仿宋_GB2312"/>
          <w:b w:val="0"/>
          <w:bCs w:val="0"/>
          <w:color w:val="auto"/>
          <w:kern w:val="2"/>
          <w:sz w:val="32"/>
          <w:szCs w:val="32"/>
          <w:highlight w:val="none"/>
          <w:lang w:val="en-US" w:eastAsia="zh-CN" w:bidi="ar-SA"/>
        </w:rPr>
        <w:t>牢固树立习惯“过紧日子”思想，积极应对日益加剧的财政收支矛盾，摸清底数、形成台账，动态调整“预算账”和“缺口账”，不断调整和优化支出结构，做到有保有压。逐项打开支出结构，仔细审核，大力压减三方服务费。加大年初预算资金、债券资金、土地收入、存量资金、转移支付等各项资金统筹力度，精打细算，把有限的资金用在“刀刃”上。</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pacing w:before="0" w:beforeAutospacing="0" w:after="0" w:afterAutospacing="0" w:line="560" w:lineRule="exact"/>
        <w:ind w:right="0" w:rightChars="0" w:firstLine="643" w:firstLineChars="200"/>
        <w:jc w:val="both"/>
        <w:textAlignment w:val="auto"/>
        <w:rPr>
          <w:rFonts w:hint="eastAsia" w:ascii="仿宋_GB2312" w:hAnsi="Times New Roman" w:eastAsia="仿宋_GB2312" w:cs="仿宋_GB2312"/>
          <w:b/>
          <w:bCs/>
          <w:color w:val="auto"/>
          <w:kern w:val="2"/>
          <w:sz w:val="32"/>
          <w:szCs w:val="32"/>
          <w:highlight w:val="none"/>
          <w:lang w:val="en-US" w:eastAsia="zh-CN" w:bidi="ar"/>
        </w:rPr>
      </w:pPr>
      <w:r>
        <w:rPr>
          <w:rFonts w:hint="eastAsia" w:ascii="仿宋_GB2312" w:eastAsia="仿宋_GB2312" w:cs="仿宋_GB2312"/>
          <w:b/>
          <w:bCs/>
          <w:color w:val="auto"/>
          <w:kern w:val="2"/>
          <w:sz w:val="32"/>
          <w:szCs w:val="32"/>
          <w:highlight w:val="none"/>
          <w:lang w:val="en-US" w:eastAsia="zh-CN" w:bidi="ar"/>
        </w:rPr>
        <w:t>预算管理方面。</w:t>
      </w:r>
      <w:r>
        <w:rPr>
          <w:rFonts w:hint="eastAsia" w:ascii="仿宋_GB2312" w:hAnsi="Times New Roman" w:eastAsia="仿宋_GB2312" w:cs="仿宋_GB2312"/>
          <w:b w:val="0"/>
          <w:bCs w:val="0"/>
          <w:color w:val="auto"/>
          <w:kern w:val="2"/>
          <w:sz w:val="32"/>
          <w:szCs w:val="32"/>
          <w:highlight w:val="none"/>
          <w:lang w:val="en-US" w:eastAsia="zh-CN" w:bidi="ar"/>
        </w:rPr>
        <w:t>严格落实政府习惯过“紧日子”要求，把严把紧预算支出关口。深入挖掘节支潜力，压减一般性支出。巩固三方服务专项清理规范行动成果，控制编外人员规模及支出，腾出财力空间确保重大项目、重点领域支出需要。</w:t>
      </w:r>
    </w:p>
    <w:p>
      <w:pPr>
        <w:pStyle w:val="6"/>
        <w:keepNext w:val="0"/>
        <w:keepLines w:val="0"/>
        <w:pageBreakBefore w:val="0"/>
        <w:widowControl w:val="0"/>
        <w:numPr>
          <w:ilvl w:val="0"/>
          <w:numId w:val="0"/>
        </w:numPr>
        <w:shd w:val="clear" w:color="auto" w:fill="auto"/>
        <w:kinsoku/>
        <w:wordWrap/>
        <w:overflowPunct/>
        <w:topLinePunct w:val="0"/>
        <w:autoSpaceDE/>
        <w:autoSpaceDN/>
        <w:bidi w:val="0"/>
        <w:spacing w:after="0" w:line="560" w:lineRule="exact"/>
        <w:ind w:firstLine="643"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绩效管理方面。</w:t>
      </w:r>
      <w:r>
        <w:rPr>
          <w:rFonts w:hint="eastAsia" w:ascii="仿宋_GB2312" w:hAnsi="仿宋_GB2312" w:eastAsia="仿宋_GB2312" w:cs="仿宋_GB2312"/>
          <w:color w:val="auto"/>
          <w:kern w:val="2"/>
          <w:sz w:val="32"/>
          <w:szCs w:val="32"/>
          <w:highlight w:val="none"/>
          <w:lang w:val="en-US" w:eastAsia="zh-CN" w:bidi="ar-SA"/>
        </w:rPr>
        <w:t>继续推进预算绩效管理改革，充分运用绩效分析，进一步促进财政资金降本增效。对66个项目开展事前绩效评估，对100个项目开展事后绩效评价。新设支出标准23个，调整优化支出标准8个。合理压降低效无效成本，逐步推进各重点领域项目降本增效。</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宋体" w:eastAsia="仿宋_GB2312" w:cs="宋体"/>
          <w:kern w:val="0"/>
          <w:sz w:val="32"/>
          <w:szCs w:val="32"/>
        </w:rPr>
      </w:pPr>
      <w:r>
        <w:rPr>
          <w:rFonts w:hint="eastAsia" w:ascii="仿宋_GB2312" w:hAnsi="宋体" w:eastAsia="仿宋_GB2312" w:cs="宋体"/>
          <w:b/>
          <w:bCs/>
          <w:color w:val="auto"/>
          <w:kern w:val="0"/>
          <w:sz w:val="32"/>
          <w:szCs w:val="32"/>
          <w:lang w:eastAsia="zh-CN"/>
        </w:rPr>
        <w:t>财会监督</w:t>
      </w:r>
      <w:r>
        <w:rPr>
          <w:rFonts w:hint="eastAsia" w:ascii="仿宋_GB2312" w:hAnsi="宋体" w:eastAsia="仿宋_GB2312" w:cs="宋体"/>
          <w:b/>
          <w:bCs/>
          <w:color w:val="auto"/>
          <w:kern w:val="0"/>
          <w:sz w:val="32"/>
          <w:szCs w:val="32"/>
        </w:rPr>
        <w:t>方面。</w:t>
      </w:r>
      <w:r>
        <w:rPr>
          <w:rFonts w:hint="eastAsia" w:ascii="仿宋_GB2312" w:hAnsi="仿宋_GB2312" w:eastAsia="仿宋_GB2312" w:cs="仿宋_GB2312"/>
          <w:b w:val="0"/>
          <w:bCs w:val="0"/>
          <w:color w:val="auto"/>
          <w:kern w:val="2"/>
          <w:sz w:val="32"/>
          <w:szCs w:val="32"/>
          <w:highlight w:val="none"/>
          <w:lang w:val="en-US" w:eastAsia="zh-CN" w:bidi="ar-SA"/>
        </w:rPr>
        <w:t>积极发挥财会监督作用，推进全区内控管理信息化改革，促进从源头预防和治理腐败。加强对预算编制、预算执行、绩效管理等7个内控管理环节的重点监督，在127家预算单位部署并试运行“业务财务一体化内控管理系统”，实现财政资金全过程闭环监督管理。</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kern w:val="0"/>
          <w:sz w:val="32"/>
          <w:szCs w:val="32"/>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区财政局2023年部门整体支出坚持稳中求进总基调，积极财政政策加力提效促经济稳增长，实现了财政平稳运行和可持续发展；统筹优化财政支出结构，做好民生经费保障，完善了大事要事综合保障机制；坚持艰苦奋斗勤俭干事业，持续推进降本增效，强化了节约型效益型导向的财政支出管理；坚持把守住底线红线作为重要责任，持续加强政府债务管理，积极防范化解财政风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1.财务</w:t>
      </w:r>
      <w:r>
        <w:rPr>
          <w:rFonts w:ascii="仿宋_GB2312" w:hAnsi="宋体" w:eastAsia="仿宋_GB2312" w:cs="宋体"/>
          <w:b/>
          <w:bCs/>
          <w:kern w:val="0"/>
          <w:sz w:val="32"/>
          <w:szCs w:val="32"/>
        </w:rPr>
        <w:t>管理制度健全性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区财政局根据自身业务开展情况制定了财务管理、资产管理、采购管理、合同管理等管理制度，实施内部控制管理，各项制度相对健全，为部门资金使用管理提供有效制度保障</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2.资金使用合规性</w:t>
      </w:r>
      <w:r>
        <w:rPr>
          <w:rFonts w:ascii="仿宋_GB2312" w:hAnsi="宋体" w:eastAsia="仿宋_GB2312" w:cs="宋体"/>
          <w:b/>
          <w:bCs/>
          <w:kern w:val="0"/>
          <w:sz w:val="32"/>
          <w:szCs w:val="32"/>
        </w:rPr>
        <w:t>和安全性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区财政局资金使用严格按照国家财经</w:t>
      </w:r>
      <w:r>
        <w:rPr>
          <w:rFonts w:hint="eastAsia" w:ascii="仿宋_GB2312" w:hAnsi="仿宋" w:eastAsia="仿宋_GB2312"/>
          <w:sz w:val="32"/>
          <w:szCs w:val="32"/>
          <w:lang w:eastAsia="zh-CN"/>
        </w:rPr>
        <w:t>纪律</w:t>
      </w:r>
      <w:r>
        <w:rPr>
          <w:rFonts w:hint="eastAsia" w:ascii="仿宋_GB2312" w:hAnsi="仿宋" w:eastAsia="仿宋_GB2312"/>
          <w:sz w:val="32"/>
          <w:szCs w:val="32"/>
        </w:rPr>
        <w:t>和局内财务管理制度、资金支出管理办法规定以及有关专项资金管理办法的规定执行。不存在截留、挤占、挪用、虚列支出等情况，资金使用</w:t>
      </w:r>
      <w:r>
        <w:rPr>
          <w:rFonts w:hint="eastAsia" w:ascii="仿宋_GB2312" w:hAnsi="仿宋" w:eastAsia="仿宋_GB2312"/>
          <w:sz w:val="32"/>
          <w:szCs w:val="32"/>
          <w:lang w:eastAsia="zh-CN"/>
        </w:rPr>
        <w:t>合法、</w:t>
      </w:r>
      <w:r>
        <w:rPr>
          <w:rFonts w:hint="eastAsia" w:ascii="仿宋_GB2312" w:hAnsi="仿宋" w:eastAsia="仿宋_GB2312"/>
          <w:sz w:val="32"/>
          <w:szCs w:val="32"/>
        </w:rPr>
        <w:t>合规。在资金使用监管上，能够落实重大支出集体研究制度。预算执行中，严格按照政府采购及局内采购管理制度和流程执行。会计核算方面，专款专用，项目资金在统一会计账簿中按照项目明细单独核算，会计凭证资料保存完整、装订规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仿宋_GB2312" w:hAnsi="宋体" w:eastAsia="仿宋_GB2312" w:cs="宋体"/>
          <w:kern w:val="0"/>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根据《行政单位国有资产管理暂行办法》《事业单位国有资产管理暂行办法》和《行政事业单位固定资产管理暂行办法》及财政部相关规定，结合单位实际情况，区财政局制定了《通州区财政局固定资产管理办法》，明确了资产管理部门及职责、资产配置、资产管理、资产处置、资产出租出借等相关要求，规范和加强了局机关各部门的资产管理工作，维护了国有资产的安全完整、合理配置和有效利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hint="eastAsia" w:ascii="楷体_GB2312" w:eastAsia="楷体_GB2312"/>
          <w:sz w:val="32"/>
          <w:szCs w:val="32"/>
        </w:rPr>
      </w:pPr>
      <w:r>
        <w:rPr>
          <w:rFonts w:hint="eastAsia" w:ascii="楷体_GB2312" w:eastAsia="楷体_GB2312"/>
          <w:sz w:val="32"/>
          <w:szCs w:val="32"/>
        </w:rPr>
        <w:t>（三）绩效管理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我</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严格执行各项政策制度，稳步推进绩效管理工作</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一是对纳入2023年部门预算管理的所有预算项目开展绩效自评工作，实现绩效自评“全覆盖”。二是组织对部门预算所有项目上半年执行情况实施绩效跟踪，对偏离绩效目标项目和预期无效项目及时采取措施予以纠正。三是继续提升绩效目标编报质量，从而提高预算编制的科学性、预算执行的约束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lang w:eastAsia="zh-CN"/>
        </w:rPr>
        <w:t>（四）</w:t>
      </w:r>
      <w:r>
        <w:rPr>
          <w:rFonts w:hint="eastAsia" w:ascii="楷体_GB2312" w:eastAsia="楷体_GB2312"/>
          <w:sz w:val="32"/>
          <w:szCs w:val="32"/>
        </w:rPr>
        <w:t>结转结余率</w:t>
      </w:r>
    </w:p>
    <w:p>
      <w:pPr>
        <w:pStyle w:val="4"/>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2023年末无结转结余，结转结余率为0。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Style w:val="4"/>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2023年部门预决算收入数及支出数相同，差异率为0。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宋体" w:eastAsia="仿宋_GB2312" w:cs="宋体"/>
          <w:b/>
          <w:bCs/>
          <w:kern w:val="0"/>
          <w:sz w:val="32"/>
          <w:szCs w:val="32"/>
          <w:lang w:eastAsia="zh-CN"/>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年度</w:t>
      </w:r>
      <w:r>
        <w:rPr>
          <w:rFonts w:hint="eastAsia" w:ascii="仿宋_GB2312" w:hAnsi="仿宋" w:eastAsia="仿宋_GB2312"/>
          <w:color w:val="auto"/>
          <w:sz w:val="32"/>
          <w:szCs w:val="32"/>
        </w:rPr>
        <w:t>区财政局</w:t>
      </w:r>
      <w:r>
        <w:rPr>
          <w:rFonts w:hint="eastAsia" w:ascii="仿宋_GB2312" w:hAnsi="宋体" w:eastAsia="仿宋_GB2312" w:cs="宋体"/>
          <w:color w:val="auto"/>
          <w:kern w:val="0"/>
          <w:sz w:val="32"/>
          <w:szCs w:val="32"/>
        </w:rPr>
        <w:t>整体支出绩效评价综合得分</w:t>
      </w:r>
      <w:r>
        <w:rPr>
          <w:rFonts w:hint="eastAsia" w:ascii="仿宋_GB2312" w:hAnsi="宋体" w:eastAsia="仿宋_GB2312" w:cs="宋体"/>
          <w:color w:val="auto"/>
          <w:kern w:val="0"/>
          <w:sz w:val="32"/>
          <w:szCs w:val="32"/>
          <w:lang w:val="en-US" w:eastAsia="zh-CN"/>
        </w:rPr>
        <w:t>92</w:t>
      </w:r>
      <w:r>
        <w:rPr>
          <w:rFonts w:hint="eastAsia" w:ascii="仿宋_GB2312" w:hAnsi="宋体" w:eastAsia="仿宋_GB2312" w:cs="宋体"/>
          <w:color w:val="auto"/>
          <w:kern w:val="0"/>
          <w:sz w:val="32"/>
          <w:szCs w:val="32"/>
        </w:rPr>
        <w:t>分，</w:t>
      </w:r>
      <w:r>
        <w:rPr>
          <w:rFonts w:hint="eastAsia" w:ascii="仿宋_GB2312" w:hAnsi="宋体" w:eastAsia="仿宋_GB2312" w:cs="宋体"/>
          <w:kern w:val="0"/>
          <w:sz w:val="32"/>
          <w:szCs w:val="32"/>
        </w:rPr>
        <w:t>其中当年预算执行情况</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分、整体绩效目标实现情况5</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分、预算管理情况1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分，绩效评定结论为“优”。具体情况详见下表</w:t>
      </w:r>
      <w:r>
        <w:rPr>
          <w:rFonts w:hint="eastAsia" w:ascii="仿宋_GB2312" w:hAnsi="宋体" w:eastAsia="仿宋_GB2312" w:cs="宋体"/>
          <w:kern w:val="0"/>
          <w:sz w:val="32"/>
          <w:szCs w:val="32"/>
          <w:lang w:eastAsia="zh-CN"/>
        </w:rPr>
        <w:t>：</w:t>
      </w:r>
    </w:p>
    <w:p>
      <w:pPr>
        <w:rPr>
          <w:rFonts w:hint="eastAsia"/>
        </w:rPr>
      </w:pPr>
    </w:p>
    <w:p>
      <w:pPr>
        <w:keepNext w:val="0"/>
        <w:keepLines w:val="0"/>
        <w:pageBreakBefore w:val="0"/>
        <w:widowControl w:val="0"/>
        <w:kinsoku/>
        <w:wordWrap/>
        <w:overflowPunct/>
        <w:topLinePunct w:val="0"/>
        <w:autoSpaceDE/>
        <w:autoSpaceDN/>
        <w:bidi w:val="0"/>
        <w:spacing w:line="560" w:lineRule="exact"/>
        <w:ind w:left="103" w:hanging="103" w:hangingChars="32"/>
        <w:jc w:val="center"/>
        <w:textAlignment w:val="auto"/>
        <w:rPr>
          <w:rFonts w:ascii="楷体_GB2312" w:eastAsia="仿宋_GB2312"/>
          <w:b/>
          <w:bCs/>
          <w:sz w:val="32"/>
          <w:szCs w:val="32"/>
        </w:rPr>
      </w:pPr>
      <w:r>
        <w:rPr>
          <w:rFonts w:hint="eastAsia" w:ascii="仿宋_GB2312" w:hAnsi="宋体" w:eastAsia="仿宋_GB2312" w:cs="宋体"/>
          <w:b/>
          <w:bCs/>
          <w:kern w:val="0"/>
          <w:sz w:val="32"/>
          <w:szCs w:val="32"/>
        </w:rPr>
        <w:t>部门整体支出绩效评价结论一览表</w:t>
      </w:r>
    </w:p>
    <w:tbl>
      <w:tblPr>
        <w:tblStyle w:val="10"/>
        <w:tblpPr w:leftFromText="180" w:rightFromText="180" w:vertAnchor="text" w:horzAnchor="page" w:tblpX="1704" w:tblpY="326"/>
        <w:tblOverlap w:val="never"/>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3079"/>
        <w:gridCol w:w="2411"/>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3079" w:type="dxa"/>
            <w:tcBorders>
              <w:top w:val="single" w:color="FFFFFF" w:sz="4"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评价内容</w:t>
            </w:r>
          </w:p>
        </w:tc>
        <w:tc>
          <w:tcPr>
            <w:tcW w:w="2411" w:type="dxa"/>
            <w:tcBorders>
              <w:top w:val="single" w:color="FFFFFF" w:sz="4"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4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4"/>
              <w:keepNext w:val="0"/>
              <w:keepLines w:val="0"/>
              <w:pageBreakBefore w:val="0"/>
              <w:widowControl w:val="0"/>
              <w:kinsoku/>
              <w:wordWrap/>
              <w:overflowPunct/>
              <w:topLinePunct w:val="0"/>
              <w:autoSpaceDE/>
              <w:autoSpaceDN/>
              <w:bidi w:val="0"/>
              <w:adjustRightInd w:val="0"/>
              <w:snapToGrid w:val="0"/>
              <w:spacing w:before="120" w:after="60" w:line="560" w:lineRule="exact"/>
              <w:ind w:firstLine="0"/>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当年预算执行情况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39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整体绩效目标实现情况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60.00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54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368" w:hRule="atLeast"/>
        </w:trPr>
        <w:tc>
          <w:tcPr>
            <w:tcW w:w="3079" w:type="dxa"/>
            <w:tcBorders>
              <w:top w:val="single" w:color="FFFFFF" w:sz="6"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预算管理情况</w:t>
            </w:r>
          </w:p>
        </w:tc>
        <w:tc>
          <w:tcPr>
            <w:tcW w:w="2411" w:type="dxa"/>
            <w:tcBorders>
              <w:top w:val="single" w:color="FFFFFF" w:sz="6"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33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综合得分</w:t>
            </w:r>
          </w:p>
        </w:tc>
        <w:tc>
          <w:tcPr>
            <w:tcW w:w="2411" w:type="dxa"/>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92</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19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绩效评定级别</w:t>
            </w:r>
          </w:p>
        </w:tc>
        <w:tc>
          <w:tcPr>
            <w:tcW w:w="5406"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优</w:t>
            </w:r>
          </w:p>
        </w:tc>
      </w:tr>
    </w:tbl>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个别项目绩效指标设定不够细化，指标科学性有待加强。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宋体" w:eastAsia="仿宋_GB2312" w:cs="宋体"/>
          <w:kern w:val="0"/>
          <w:sz w:val="32"/>
          <w:szCs w:val="32"/>
        </w:rPr>
      </w:pPr>
      <w:r>
        <w:rPr>
          <w:rFonts w:hint="eastAsia" w:ascii="黑体" w:hAnsi="黑体" w:eastAsia="黑体" w:cs="宋体"/>
          <w:kern w:val="0"/>
          <w:sz w:val="32"/>
          <w:szCs w:val="32"/>
        </w:rPr>
        <w:t>六、措施建议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建议</w:t>
      </w:r>
      <w:r>
        <w:rPr>
          <w:rFonts w:hint="eastAsia" w:ascii="仿宋_GB2312" w:hAnsi="宋体" w:eastAsia="仿宋_GB2312" w:cs="宋体"/>
          <w:kern w:val="0"/>
          <w:sz w:val="32"/>
          <w:szCs w:val="32"/>
        </w:rPr>
        <w:t>持续优化绩效目标设置，进一步梳理部门整体绩效指标体系，依托“三定”方案的部门职责，以及年度重点工作安排，细化量化各个项目绩效指标。</w:t>
      </w:r>
    </w:p>
    <w:sectPr>
      <w:footerReference r:id="rId4" w:type="default"/>
      <w:pgSz w:w="11906" w:h="16838"/>
      <w:pgMar w:top="1911" w:right="1474" w:bottom="1882"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zSVju0AAAAAUBAAAPAAAAAAAAAAEAIAAAACIAAABkcnMvZG93&#10;bnJldi54bWxQSwECFAAUAAAACACHTuJAf/p5G88BAACkAwAADgAAAAAAAAABACAAAAAfAQAAZHJz&#10;L2Uyb0RvYy54bWxQSwUGAAAAAAYABgBZAQAAYAUAAAAA&#10;">
              <v:fill on="f" focussize="0,0"/>
              <v:stroke on="f" weight="0.5pt"/>
              <v:imagedata o:title=""/>
              <o:lock v:ext="edit" aspectratio="f"/>
              <v:textbox inset="0mm,0mm,0mm,0mm" style="mso-fit-shape-to-text:t;">
                <w:txbxContent>
                  <w:p>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6F9A18"/>
    <w:rsid w:val="001148C3"/>
    <w:rsid w:val="002B3ECC"/>
    <w:rsid w:val="003B73F2"/>
    <w:rsid w:val="00574EFC"/>
    <w:rsid w:val="007D44F2"/>
    <w:rsid w:val="00847ED7"/>
    <w:rsid w:val="00915AB6"/>
    <w:rsid w:val="00FF2044"/>
    <w:rsid w:val="13FB3EAF"/>
    <w:rsid w:val="1FEF42D1"/>
    <w:rsid w:val="34F74551"/>
    <w:rsid w:val="3BFF733F"/>
    <w:rsid w:val="55CF1C75"/>
    <w:rsid w:val="55DF084D"/>
    <w:rsid w:val="59FF87CE"/>
    <w:rsid w:val="5BEF01CA"/>
    <w:rsid w:val="619D36F9"/>
    <w:rsid w:val="6FEDF74F"/>
    <w:rsid w:val="767F3035"/>
    <w:rsid w:val="77FFBDFC"/>
    <w:rsid w:val="77FFF2D8"/>
    <w:rsid w:val="78BF7056"/>
    <w:rsid w:val="7C77B8D7"/>
    <w:rsid w:val="7EADD508"/>
    <w:rsid w:val="7EB3F0A4"/>
    <w:rsid w:val="7EF6A610"/>
    <w:rsid w:val="7F6754CA"/>
    <w:rsid w:val="7FB78CCF"/>
    <w:rsid w:val="7FBE8907"/>
    <w:rsid w:val="7FEF54A5"/>
    <w:rsid w:val="7FEFB51A"/>
    <w:rsid w:val="7FFD2758"/>
    <w:rsid w:val="9DAE05DE"/>
    <w:rsid w:val="AA3BF02A"/>
    <w:rsid w:val="B76D107F"/>
    <w:rsid w:val="B9FFE08E"/>
    <w:rsid w:val="BBDFDF33"/>
    <w:rsid w:val="BFDD2A33"/>
    <w:rsid w:val="BFDD3452"/>
    <w:rsid w:val="BFFD4EDC"/>
    <w:rsid w:val="BFFF8F89"/>
    <w:rsid w:val="C5B63C33"/>
    <w:rsid w:val="CEFF7995"/>
    <w:rsid w:val="DBFD8AB5"/>
    <w:rsid w:val="DD7EAED2"/>
    <w:rsid w:val="DFD85D31"/>
    <w:rsid w:val="E3773DB9"/>
    <w:rsid w:val="E7D6ED8A"/>
    <w:rsid w:val="EBB4B6C7"/>
    <w:rsid w:val="EDD9A1F6"/>
    <w:rsid w:val="EDDB463A"/>
    <w:rsid w:val="EDFFA5F8"/>
    <w:rsid w:val="EFFD6B28"/>
    <w:rsid w:val="F1DDEACA"/>
    <w:rsid w:val="F3AFC4DF"/>
    <w:rsid w:val="F6FEE71D"/>
    <w:rsid w:val="F7E7A13B"/>
    <w:rsid w:val="FBAB102B"/>
    <w:rsid w:val="FBDE8A1A"/>
    <w:rsid w:val="FDBF6539"/>
    <w:rsid w:val="FE6F9A18"/>
    <w:rsid w:val="FEB3D5CB"/>
    <w:rsid w:val="FFBD8EAF"/>
    <w:rsid w:val="FFE1C8E8"/>
    <w:rsid w:val="FFE6E76A"/>
    <w:rsid w:val="FFFFE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Autospacing="1" w:afterAutospacing="1"/>
      <w:ind w:firstLine="720" w:firstLineChars="200"/>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firstLine="420"/>
      <w:jc w:val="left"/>
    </w:pPr>
    <w:rPr>
      <w:szCs w:val="20"/>
    </w:rPr>
  </w:style>
  <w:style w:type="paragraph" w:styleId="4">
    <w:name w:val="Normal Indent"/>
    <w:basedOn w:val="1"/>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5">
    <w:name w:val="annotation text"/>
    <w:basedOn w:val="1"/>
    <w:qFormat/>
    <w:uiPriority w:val="0"/>
    <w:pPr>
      <w:jc w:val="left"/>
    </w:pPr>
  </w:style>
  <w:style w:type="paragraph" w:styleId="6">
    <w:name w:val="Body Text"/>
    <w:basedOn w:val="1"/>
    <w:next w:val="7"/>
    <w:link w:val="12"/>
    <w:qFormat/>
    <w:uiPriority w:val="0"/>
    <w:pPr>
      <w:ind w:firstLine="640" w:firstLineChars="200"/>
    </w:pPr>
    <w:rPr>
      <w:szCs w:val="22"/>
    </w:rPr>
  </w:style>
  <w:style w:type="paragraph" w:customStyle="1" w:styleId="7">
    <w:name w:val="目录 11"/>
    <w:next w:val="1"/>
    <w:qFormat/>
    <w:uiPriority w:val="0"/>
    <w:pPr>
      <w:wordWrap w:val="0"/>
      <w:snapToGrid w:val="0"/>
      <w:spacing w:line="560" w:lineRule="exact"/>
      <w:ind w:firstLine="880" w:firstLineChars="200"/>
      <w:jc w:val="both"/>
    </w:pPr>
    <w:rPr>
      <w:rFonts w:ascii="Times New Roman" w:hAnsi="Times New Roman" w:eastAsia="宋体" w:cs="Times New Roman"/>
      <w:sz w:val="32"/>
      <w:szCs w:val="21"/>
      <w:lang w:val="en-US" w:eastAsia="zh-CN" w:bidi="ar-SA"/>
    </w:rPr>
  </w:style>
  <w:style w:type="paragraph" w:styleId="8">
    <w:name w:val="footer"/>
    <w:qFormat/>
    <w:uiPriority w:val="99"/>
    <w:pPr>
      <w:widowControl w:val="0"/>
      <w:tabs>
        <w:tab w:val="center" w:pos="4153"/>
        <w:tab w:val="right" w:pos="8306"/>
      </w:tabs>
      <w:snapToGrid w:val="0"/>
    </w:pPr>
    <w:rPr>
      <w:rFonts w:ascii="Times New Roman" w:hAnsi="Times New Roman" w:eastAsia="宋体" w:cs="Times New Roman"/>
      <w:kern w:val="2"/>
      <w:sz w:val="18"/>
      <w:lang w:val="en-US" w:eastAsia="zh-CN" w:bidi="ar-SA"/>
    </w:rPr>
  </w:style>
  <w:style w:type="paragraph" w:styleId="9">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customStyle="1" w:styleId="12">
    <w:name w:val="正文文本 Char"/>
    <w:link w:val="6"/>
    <w:qFormat/>
    <w:uiPriority w:val="0"/>
    <w:rPr>
      <w:rFonts w:ascii="仿宋_GB2312" w:hAnsi="仿宋_GB2312" w:eastAsia="仿宋_GB2312" w:cs="Times New Roman"/>
      <w:kern w:val="2"/>
      <w:sz w:val="36"/>
      <w:szCs w:val="22"/>
      <w:lang w:val="en-US" w:eastAsia="zh-CN" w:bidi="ar-SA"/>
    </w:rPr>
  </w:style>
  <w:style w:type="character" w:customStyle="1" w:styleId="13">
    <w:name w:val="页眉 Char"/>
    <w:basedOn w:val="11"/>
    <w:link w:val="9"/>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3503</Words>
  <Characters>352</Characters>
  <Lines>2</Lines>
  <Paragraphs>7</Paragraphs>
  <TotalTime>87</TotalTime>
  <ScaleCrop>false</ScaleCrop>
  <LinksUpToDate>false</LinksUpToDate>
  <CharactersWithSpaces>3848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2023-09-14T10:51:00Z</dcterms:created>
  <dc:creator>user</dc:creator>
  <cp:lastModifiedBy>cy</cp:lastModifiedBy>
  <cp:lastPrinted>2023-09-14T14:54:00Z</cp:lastPrinted>
  <dcterms:modified xsi:type="dcterms:W3CDTF">2024-09-18T03:09:48Z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3175289AB9674F2D9B19BB094E9D855F</vt:lpwstr>
  </property>
</Properties>
</file>