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280" w:type="dxa"/>
        <w:jc w:val="center"/>
        <w:tblLayout w:type="fixed"/>
        <w:tblCellMar>
          <w:top w:w="0" w:type="dxa"/>
          <w:left w:w="108" w:type="dxa"/>
          <w:bottom w:w="0" w:type="dxa"/>
          <w:right w:w="108" w:type="dxa"/>
        </w:tblCellMar>
      </w:tblPr>
      <w:tblGrid>
        <w:gridCol w:w="686"/>
        <w:gridCol w:w="159"/>
        <w:gridCol w:w="593"/>
        <w:gridCol w:w="967"/>
        <w:gridCol w:w="83"/>
        <w:gridCol w:w="909"/>
        <w:gridCol w:w="567"/>
        <w:gridCol w:w="147"/>
        <w:gridCol w:w="792"/>
        <w:gridCol w:w="195"/>
        <w:gridCol w:w="219"/>
        <w:gridCol w:w="915"/>
        <w:gridCol w:w="851"/>
        <w:gridCol w:w="79"/>
        <w:gridCol w:w="690"/>
        <w:gridCol w:w="81"/>
        <w:gridCol w:w="851"/>
        <w:gridCol w:w="567"/>
        <w:gridCol w:w="929"/>
      </w:tblGrid>
      <w:tr>
        <w:tblPrEx>
          <w:tblCellMar>
            <w:top w:w="0" w:type="dxa"/>
            <w:left w:w="108" w:type="dxa"/>
            <w:bottom w:w="0" w:type="dxa"/>
            <w:right w:w="108" w:type="dxa"/>
          </w:tblCellMar>
        </w:tblPrEx>
        <w:trPr>
          <w:trHeight w:val="634" w:hRule="atLeast"/>
          <w:jc w:val="center"/>
        </w:trPr>
        <w:tc>
          <w:tcPr>
            <w:tcW w:w="10280" w:type="dxa"/>
            <w:gridSpan w:val="19"/>
            <w:tcBorders>
              <w:top w:val="nil"/>
              <w:left w:val="nil"/>
              <w:bottom w:val="nil"/>
              <w:right w:val="nil"/>
            </w:tcBorders>
            <w:noWrap/>
            <w:vAlign w:val="center"/>
          </w:tcPr>
          <w:p>
            <w:pPr>
              <w:widowControl/>
              <w:spacing w:line="560" w:lineRule="exact"/>
              <w:jc w:val="left"/>
              <w:textAlignment w:val="center"/>
              <w:rPr>
                <w:rFonts w:ascii="黑体" w:hAnsi="宋体" w:eastAsia="黑体" w:cs="黑体"/>
                <w:color w:val="000000"/>
                <w:sz w:val="28"/>
                <w:szCs w:val="28"/>
              </w:rPr>
            </w:pPr>
            <w:bookmarkStart w:id="0" w:name="_GoBack"/>
            <w:bookmarkEnd w:id="0"/>
            <w:r>
              <w:rPr>
                <w:rFonts w:hint="eastAsia" w:ascii="黑体" w:hAnsi="宋体" w:eastAsia="黑体" w:cs="黑体"/>
                <w:color w:val="000000"/>
                <w:kern w:val="0"/>
                <w:sz w:val="32"/>
                <w:szCs w:val="32"/>
                <w:lang w:bidi="ar"/>
              </w:rPr>
              <w:t>附件</w:t>
            </w:r>
            <w:r>
              <w:rPr>
                <w:rFonts w:hint="eastAsia" w:ascii="黑体" w:hAnsi="黑体" w:eastAsia="黑体" w:cs="黑体"/>
                <w:sz w:val="32"/>
                <w:szCs w:val="32"/>
              </w:rPr>
              <w:t>2-</w:t>
            </w:r>
            <w:r>
              <w:rPr>
                <w:rFonts w:hint="eastAsia" w:ascii="黑体" w:hAnsi="宋体" w:eastAsia="黑体" w:cs="黑体"/>
                <w:color w:val="000000"/>
                <w:kern w:val="0"/>
                <w:sz w:val="32"/>
                <w:szCs w:val="32"/>
                <w:lang w:bidi="ar"/>
              </w:rPr>
              <w:t>2</w:t>
            </w:r>
          </w:p>
        </w:tc>
      </w:tr>
      <w:tr>
        <w:tblPrEx>
          <w:tblCellMar>
            <w:top w:w="0" w:type="dxa"/>
            <w:left w:w="108" w:type="dxa"/>
            <w:bottom w:w="0" w:type="dxa"/>
            <w:right w:w="108" w:type="dxa"/>
          </w:tblCellMar>
        </w:tblPrEx>
        <w:trPr>
          <w:trHeight w:val="671" w:hRule="atLeast"/>
          <w:jc w:val="center"/>
        </w:trPr>
        <w:tc>
          <w:tcPr>
            <w:tcW w:w="10280" w:type="dxa"/>
            <w:gridSpan w:val="19"/>
            <w:tcBorders>
              <w:top w:val="nil"/>
              <w:left w:val="nil"/>
              <w:bottom w:val="nil"/>
              <w:right w:val="nil"/>
            </w:tcBorders>
            <w:vAlign w:val="center"/>
          </w:tcPr>
          <w:p>
            <w:pPr>
              <w:widowControl/>
              <w:spacing w:line="560" w:lineRule="exact"/>
              <w:jc w:val="center"/>
              <w:textAlignment w:val="center"/>
              <w:rPr>
                <w:rFonts w:ascii="方正小标宋简体" w:hAnsi="方正小标宋简体" w:eastAsia="方正小标宋简体" w:cs="方正小标宋简体"/>
                <w:color w:val="000000"/>
                <w:sz w:val="28"/>
                <w:szCs w:val="28"/>
              </w:rPr>
            </w:pPr>
            <w:r>
              <w:rPr>
                <w:rFonts w:hint="eastAsia" w:ascii="方正小标宋简体" w:hAnsi="方正小标宋简体" w:eastAsia="方正小标宋简体" w:cs="方正小标宋简体"/>
                <w:color w:val="000000"/>
                <w:kern w:val="0"/>
                <w:sz w:val="36"/>
                <w:szCs w:val="36"/>
                <w:lang w:bidi="ar"/>
              </w:rPr>
              <w:t>2023年度转移支付通州区（社会化服务经费项目）绩效自评表</w:t>
            </w:r>
          </w:p>
        </w:tc>
      </w:tr>
      <w:tr>
        <w:tblPrEx>
          <w:tblCellMar>
            <w:top w:w="0" w:type="dxa"/>
            <w:left w:w="108" w:type="dxa"/>
            <w:bottom w:w="0" w:type="dxa"/>
            <w:right w:w="108" w:type="dxa"/>
          </w:tblCellMar>
        </w:tblPrEx>
        <w:trPr>
          <w:trHeight w:val="317" w:hRule="atLeast"/>
          <w:jc w:val="center"/>
        </w:trPr>
        <w:tc>
          <w:tcPr>
            <w:tcW w:w="10280" w:type="dxa"/>
            <w:gridSpan w:val="19"/>
            <w:tcBorders>
              <w:top w:val="nil"/>
              <w:left w:val="nil"/>
              <w:bottom w:val="nil"/>
              <w:right w:val="nil"/>
            </w:tcBorders>
            <w:vAlign w:val="center"/>
          </w:tcPr>
          <w:p>
            <w:pPr>
              <w:widowControl/>
              <w:spacing w:line="560" w:lineRule="exact"/>
              <w:jc w:val="center"/>
              <w:textAlignment w:val="center"/>
              <w:rPr>
                <w:rFonts w:ascii="宋体" w:hAnsi="宋体" w:cs="宋体"/>
                <w:color w:val="000000"/>
                <w:sz w:val="22"/>
                <w:szCs w:val="22"/>
              </w:rPr>
            </w:pPr>
            <w:r>
              <w:rPr>
                <w:rFonts w:hint="eastAsia" w:ascii="楷体_GB2312" w:eastAsia="楷体_GB2312"/>
                <w:sz w:val="32"/>
                <w:szCs w:val="32"/>
              </w:rPr>
              <w:t>（2023年度）</w:t>
            </w:r>
          </w:p>
        </w:tc>
      </w:tr>
      <w:tr>
        <w:tblPrEx>
          <w:tblCellMar>
            <w:top w:w="0" w:type="dxa"/>
            <w:left w:w="108" w:type="dxa"/>
            <w:bottom w:w="0" w:type="dxa"/>
            <w:right w:w="108" w:type="dxa"/>
          </w:tblCellMar>
        </w:tblPrEx>
        <w:trPr>
          <w:trHeight w:val="327" w:hRule="atLeast"/>
          <w:jc w:val="center"/>
        </w:trPr>
        <w:tc>
          <w:tcPr>
            <w:tcW w:w="2405"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转移支付（项目）名称</w:t>
            </w:r>
          </w:p>
        </w:tc>
        <w:tc>
          <w:tcPr>
            <w:tcW w:w="7875" w:type="dxa"/>
            <w:gridSpan w:val="15"/>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r>
              <w:rPr>
                <w:rFonts w:hint="eastAsia" w:ascii="宋体" w:hAnsi="宋体" w:cs="宋体"/>
                <w:color w:val="000000"/>
                <w:sz w:val="20"/>
                <w:szCs w:val="20"/>
              </w:rPr>
              <w:t>社会化服务经费</w:t>
            </w:r>
          </w:p>
        </w:tc>
      </w:tr>
      <w:tr>
        <w:tblPrEx>
          <w:tblCellMar>
            <w:top w:w="0" w:type="dxa"/>
            <w:left w:w="108" w:type="dxa"/>
            <w:bottom w:w="0" w:type="dxa"/>
            <w:right w:w="108" w:type="dxa"/>
          </w:tblCellMar>
        </w:tblPrEx>
        <w:trPr>
          <w:trHeight w:val="327" w:hRule="atLeast"/>
          <w:jc w:val="center"/>
        </w:trPr>
        <w:tc>
          <w:tcPr>
            <w:tcW w:w="84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市级主管部门</w:t>
            </w:r>
          </w:p>
        </w:tc>
        <w:tc>
          <w:tcPr>
            <w:tcW w:w="4058" w:type="dxa"/>
            <w:gridSpan w:val="7"/>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r>
              <w:rPr>
                <w:rFonts w:hint="eastAsia" w:ascii="宋体" w:hAnsi="宋体" w:cs="宋体"/>
                <w:color w:val="000000"/>
                <w:sz w:val="20"/>
                <w:szCs w:val="20"/>
              </w:rPr>
              <w:t>市就促中心社会化处</w:t>
            </w:r>
          </w:p>
        </w:tc>
        <w:tc>
          <w:tcPr>
            <w:tcW w:w="1329" w:type="dxa"/>
            <w:gridSpan w:val="3"/>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r>
              <w:rPr>
                <w:rFonts w:hint="eastAsia" w:ascii="宋体" w:hAnsi="宋体" w:cs="宋体"/>
                <w:color w:val="000000"/>
                <w:sz w:val="20"/>
                <w:szCs w:val="20"/>
              </w:rPr>
              <w:t>转移支付类别</w:t>
            </w:r>
          </w:p>
        </w:tc>
        <w:tc>
          <w:tcPr>
            <w:tcW w:w="4048" w:type="dxa"/>
            <w:gridSpan w:val="7"/>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r>
      <w:tr>
        <w:tblPrEx>
          <w:tblCellMar>
            <w:top w:w="0" w:type="dxa"/>
            <w:left w:w="108" w:type="dxa"/>
            <w:bottom w:w="0" w:type="dxa"/>
            <w:right w:w="108" w:type="dxa"/>
          </w:tblCellMar>
        </w:tblPrEx>
        <w:trPr>
          <w:trHeight w:val="327" w:hRule="atLeast"/>
          <w:jc w:val="center"/>
        </w:trPr>
        <w:tc>
          <w:tcPr>
            <w:tcW w:w="84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区级主管部门</w:t>
            </w:r>
          </w:p>
        </w:tc>
        <w:tc>
          <w:tcPr>
            <w:tcW w:w="4058" w:type="dxa"/>
            <w:gridSpan w:val="7"/>
            <w:tcBorders>
              <w:top w:val="single" w:color="000000" w:sz="4" w:space="0"/>
              <w:left w:val="single" w:color="000000" w:sz="4" w:space="0"/>
              <w:bottom w:val="single" w:color="000000" w:sz="4" w:space="0"/>
              <w:right w:val="single" w:color="000000" w:sz="4" w:space="0"/>
            </w:tcBorders>
            <w:vAlign w:val="center"/>
          </w:tcPr>
          <w:p>
            <w:pPr>
              <w:spacing w:line="560" w:lineRule="exact"/>
              <w:jc w:val="left"/>
              <w:rPr>
                <w:rFonts w:ascii="宋体" w:hAnsi="宋体" w:cs="宋体"/>
                <w:color w:val="000000"/>
                <w:sz w:val="20"/>
                <w:szCs w:val="20"/>
              </w:rPr>
            </w:pPr>
            <w:r>
              <w:rPr>
                <w:rFonts w:hint="eastAsia" w:ascii="宋体" w:hAnsi="宋体" w:cs="宋体"/>
                <w:color w:val="000000"/>
                <w:sz w:val="20"/>
                <w:szCs w:val="20"/>
              </w:rPr>
              <w:t>区人力资源和社会保障局</w:t>
            </w:r>
          </w:p>
        </w:tc>
        <w:tc>
          <w:tcPr>
            <w:tcW w:w="1329"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宋体" w:hAnsi="宋体" w:cs="宋体"/>
                <w:color w:val="000000"/>
                <w:sz w:val="20"/>
                <w:szCs w:val="20"/>
              </w:rPr>
            </w:pPr>
            <w:r>
              <w:rPr>
                <w:rFonts w:hint="eastAsia" w:ascii="宋体" w:hAnsi="宋体" w:cs="宋体"/>
                <w:color w:val="000000"/>
                <w:sz w:val="20"/>
                <w:szCs w:val="20"/>
              </w:rPr>
              <w:t>资金使用单位</w:t>
            </w:r>
          </w:p>
        </w:tc>
        <w:tc>
          <w:tcPr>
            <w:tcW w:w="4048" w:type="dxa"/>
            <w:gridSpan w:val="7"/>
            <w:tcBorders>
              <w:top w:val="single" w:color="000000" w:sz="4" w:space="0"/>
              <w:left w:val="single" w:color="000000" w:sz="4" w:space="0"/>
              <w:bottom w:val="single" w:color="000000" w:sz="4" w:space="0"/>
              <w:right w:val="single" w:color="000000" w:sz="4" w:space="0"/>
            </w:tcBorders>
            <w:vAlign w:val="center"/>
          </w:tcPr>
          <w:p>
            <w:pPr>
              <w:spacing w:line="560" w:lineRule="exact"/>
              <w:jc w:val="left"/>
              <w:rPr>
                <w:rFonts w:ascii="宋体" w:hAnsi="宋体" w:cs="宋体"/>
                <w:color w:val="000000"/>
                <w:sz w:val="20"/>
                <w:szCs w:val="20"/>
              </w:rPr>
            </w:pPr>
            <w:r>
              <w:rPr>
                <w:rFonts w:hint="eastAsia" w:ascii="宋体" w:hAnsi="宋体" w:cs="宋体"/>
                <w:color w:val="000000"/>
                <w:sz w:val="20"/>
                <w:szCs w:val="20"/>
              </w:rPr>
              <w:t>区人力资源和社会保障局</w:t>
            </w:r>
          </w:p>
        </w:tc>
      </w:tr>
      <w:tr>
        <w:tblPrEx>
          <w:tblCellMar>
            <w:top w:w="0" w:type="dxa"/>
            <w:left w:w="108" w:type="dxa"/>
            <w:bottom w:w="0" w:type="dxa"/>
            <w:right w:w="108" w:type="dxa"/>
          </w:tblCellMar>
        </w:tblPrEx>
        <w:trPr>
          <w:trHeight w:val="1017" w:hRule="atLeast"/>
          <w:jc w:val="center"/>
        </w:trPr>
        <w:tc>
          <w:tcPr>
            <w:tcW w:w="845" w:type="dxa"/>
            <w:gridSpan w:val="2"/>
            <w:vMerge w:val="restart"/>
            <w:tcBorders>
              <w:top w:val="single" w:color="000000" w:sz="4" w:space="0"/>
              <w:left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资金投入情况</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（万元，小数点保留2位）</w:t>
            </w:r>
          </w:p>
        </w:tc>
        <w:tc>
          <w:tcPr>
            <w:tcW w:w="1560"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ascii="宋体" w:hAnsi="宋体" w:cs="宋体"/>
                <w:color w:val="000000"/>
                <w:sz w:val="20"/>
                <w:szCs w:val="20"/>
              </w:rPr>
            </w:pPr>
          </w:p>
        </w:tc>
        <w:tc>
          <w:tcPr>
            <w:tcW w:w="99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年初预算数（A）</w:t>
            </w: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预算调整数（B）</w:t>
            </w:r>
          </w:p>
        </w:tc>
        <w:tc>
          <w:tcPr>
            <w:tcW w:w="1134" w:type="dxa"/>
            <w:gridSpan w:val="3"/>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调整后预算数（C）</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全年执行数（D）</w:t>
            </w:r>
          </w:p>
        </w:tc>
        <w:tc>
          <w:tcPr>
            <w:tcW w:w="85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预算调整</w:t>
            </w:r>
            <w:r>
              <w:rPr>
                <w:rStyle w:val="7"/>
                <w:rFonts w:hint="default"/>
                <w:lang w:bidi="ar"/>
              </w:rPr>
              <w:t>率（</w:t>
            </w:r>
            <w:r>
              <w:rPr>
                <w:rStyle w:val="7"/>
                <w:rFonts w:hint="default"/>
                <w:spacing w:val="-11"/>
                <w:lang w:bidi="ar"/>
              </w:rPr>
              <w:t>B/A×100%）</w:t>
            </w:r>
          </w:p>
        </w:tc>
        <w:tc>
          <w:tcPr>
            <w:tcW w:w="850" w:type="dxa"/>
            <w:gridSpan w:val="3"/>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tLeast"/>
              <w:jc w:val="center"/>
              <w:textAlignment w:val="center"/>
              <w:rPr>
                <w:sz w:val="20"/>
                <w:szCs w:val="20"/>
              </w:rPr>
            </w:pPr>
            <w:r>
              <w:rPr>
                <w:rFonts w:hint="eastAsia"/>
                <w:sz w:val="20"/>
                <w:szCs w:val="20"/>
              </w:rPr>
              <w:t>分值</w:t>
            </w:r>
          </w:p>
        </w:tc>
        <w:tc>
          <w:tcPr>
            <w:tcW w:w="85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预算执行率</w:t>
            </w:r>
            <w:r>
              <w:rPr>
                <w:rFonts w:hint="eastAsia" w:ascii="宋体" w:hAnsi="宋体" w:cs="宋体"/>
                <w:color w:val="000000"/>
                <w:spacing w:val="-11"/>
                <w:kern w:val="0"/>
                <w:sz w:val="20"/>
                <w:szCs w:val="20"/>
                <w:lang w:bidi="ar"/>
              </w:rPr>
              <w:t>（D</w:t>
            </w:r>
            <w:r>
              <w:rPr>
                <w:rStyle w:val="7"/>
                <w:rFonts w:hint="default"/>
                <w:spacing w:val="-11"/>
                <w:lang w:bidi="ar"/>
              </w:rPr>
              <w:t>/C×100%）</w:t>
            </w:r>
          </w:p>
        </w:tc>
        <w:tc>
          <w:tcPr>
            <w:tcW w:w="567" w:type="dxa"/>
            <w:tcBorders>
              <w:top w:val="single" w:color="000000" w:sz="4" w:space="0"/>
              <w:left w:val="single" w:color="000000" w:sz="4" w:space="0"/>
              <w:bottom w:val="single" w:color="auto" w:sz="4" w:space="0"/>
              <w:right w:val="single" w:color="000000" w:sz="4" w:space="0"/>
            </w:tcBorders>
            <w:vAlign w:val="center"/>
          </w:tcPr>
          <w:p>
            <w:pPr>
              <w:widowControl/>
              <w:snapToGrid w:val="0"/>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929" w:type="dxa"/>
            <w:tcBorders>
              <w:top w:val="single" w:color="000000" w:sz="4" w:space="0"/>
              <w:left w:val="single" w:color="000000" w:sz="4" w:space="0"/>
              <w:bottom w:val="single" w:color="auto" w:sz="4" w:space="0"/>
              <w:right w:val="single" w:color="000000" w:sz="4" w:space="0"/>
            </w:tcBorders>
            <w:vAlign w:val="center"/>
          </w:tcPr>
          <w:p>
            <w:pPr>
              <w:widowControl/>
              <w:snapToGrid w:val="0"/>
              <w:spacing w:line="240" w:lineRule="atLeast"/>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预算调整</w:t>
            </w:r>
            <w:r>
              <w:rPr>
                <w:rStyle w:val="7"/>
                <w:rFonts w:hint="default"/>
                <w:lang w:bidi="ar"/>
              </w:rPr>
              <w:t>、结余等原因分析及改进措施</w:t>
            </w:r>
          </w:p>
        </w:tc>
      </w:tr>
      <w:tr>
        <w:tblPrEx>
          <w:tblCellMar>
            <w:top w:w="0" w:type="dxa"/>
            <w:left w:w="108" w:type="dxa"/>
            <w:bottom w:w="0" w:type="dxa"/>
            <w:right w:w="108" w:type="dxa"/>
          </w:tblCellMar>
        </w:tblPrEx>
        <w:trPr>
          <w:trHeight w:val="283" w:hRule="atLeast"/>
          <w:jc w:val="center"/>
        </w:trPr>
        <w:tc>
          <w:tcPr>
            <w:tcW w:w="845" w:type="dxa"/>
            <w:gridSpan w:val="2"/>
            <w:vMerge w:val="continue"/>
            <w:tcBorders>
              <w:left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156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99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435.36</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0</w:t>
            </w:r>
          </w:p>
        </w:tc>
        <w:tc>
          <w:tcPr>
            <w:tcW w:w="1134"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435.36</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412.80</w:t>
            </w:r>
          </w:p>
        </w:tc>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0</w:t>
            </w:r>
          </w:p>
        </w:tc>
        <w:tc>
          <w:tcPr>
            <w:tcW w:w="850"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10</w:t>
            </w:r>
          </w:p>
        </w:tc>
        <w:tc>
          <w:tcPr>
            <w:tcW w:w="851" w:type="dxa"/>
            <w:tcBorders>
              <w:top w:val="single" w:color="000000" w:sz="4" w:space="0"/>
              <w:left w:val="single" w:color="000000" w:sz="4" w:space="0"/>
              <w:bottom w:val="single" w:color="000000" w:sz="4" w:space="0"/>
              <w:right w:val="single" w:color="auto"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94.82</w:t>
            </w:r>
          </w:p>
        </w:tc>
        <w:tc>
          <w:tcPr>
            <w:tcW w:w="56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10</w:t>
            </w:r>
          </w:p>
        </w:tc>
        <w:tc>
          <w:tcPr>
            <w:tcW w:w="929" w:type="dxa"/>
            <w:vMerge w:val="restart"/>
            <w:tcBorders>
              <w:top w:val="single" w:color="auto" w:sz="4" w:space="0"/>
              <w:left w:val="single" w:color="auto" w:sz="4" w:space="0"/>
              <w:right w:val="single" w:color="auto"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283" w:hRule="atLeast"/>
          <w:jc w:val="center"/>
        </w:trPr>
        <w:tc>
          <w:tcPr>
            <w:tcW w:w="845" w:type="dxa"/>
            <w:gridSpan w:val="2"/>
            <w:vMerge w:val="continue"/>
            <w:tcBorders>
              <w:left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156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其中：市级财政资金</w:t>
            </w:r>
          </w:p>
        </w:tc>
        <w:tc>
          <w:tcPr>
            <w:tcW w:w="99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198.36</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0</w:t>
            </w:r>
          </w:p>
        </w:tc>
        <w:tc>
          <w:tcPr>
            <w:tcW w:w="1134"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198.36</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198.36</w:t>
            </w:r>
          </w:p>
        </w:tc>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0</w:t>
            </w:r>
          </w:p>
        </w:tc>
        <w:tc>
          <w:tcPr>
            <w:tcW w:w="85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851" w:type="dxa"/>
            <w:tcBorders>
              <w:top w:val="single" w:color="000000" w:sz="4" w:space="0"/>
              <w:left w:val="single" w:color="000000" w:sz="4" w:space="0"/>
              <w:bottom w:val="single" w:color="000000" w:sz="4" w:space="0"/>
              <w:right w:val="single" w:color="auto"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100</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929" w:type="dxa"/>
            <w:vMerge w:val="continue"/>
            <w:tcBorders>
              <w:left w:val="single" w:color="auto" w:sz="4" w:space="0"/>
              <w:right w:val="single" w:color="auto"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283" w:hRule="atLeast"/>
          <w:jc w:val="center"/>
        </w:trPr>
        <w:tc>
          <w:tcPr>
            <w:tcW w:w="845" w:type="dxa"/>
            <w:gridSpan w:val="2"/>
            <w:vMerge w:val="continue"/>
            <w:tcBorders>
              <w:left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156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区级资金</w:t>
            </w:r>
          </w:p>
        </w:tc>
        <w:tc>
          <w:tcPr>
            <w:tcW w:w="99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0</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0</w:t>
            </w:r>
          </w:p>
        </w:tc>
        <w:tc>
          <w:tcPr>
            <w:tcW w:w="1134"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0</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0</w:t>
            </w:r>
          </w:p>
        </w:tc>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0</w:t>
            </w:r>
          </w:p>
        </w:tc>
        <w:tc>
          <w:tcPr>
            <w:tcW w:w="85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851" w:type="dxa"/>
            <w:tcBorders>
              <w:top w:val="single" w:color="000000" w:sz="4" w:space="0"/>
              <w:left w:val="single" w:color="000000" w:sz="4" w:space="0"/>
              <w:bottom w:val="single" w:color="000000" w:sz="4" w:space="0"/>
              <w:right w:val="single" w:color="auto"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0</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929" w:type="dxa"/>
            <w:vMerge w:val="continue"/>
            <w:tcBorders>
              <w:left w:val="single" w:color="auto" w:sz="4" w:space="0"/>
              <w:right w:val="single" w:color="auto"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283" w:hRule="atLeast"/>
          <w:jc w:val="center"/>
        </w:trPr>
        <w:tc>
          <w:tcPr>
            <w:tcW w:w="845" w:type="dxa"/>
            <w:gridSpan w:val="2"/>
            <w:vMerge w:val="continue"/>
            <w:tcBorders>
              <w:left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156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中央资金</w:t>
            </w:r>
          </w:p>
        </w:tc>
        <w:tc>
          <w:tcPr>
            <w:tcW w:w="99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237</w:t>
            </w: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0</w:t>
            </w:r>
          </w:p>
        </w:tc>
        <w:tc>
          <w:tcPr>
            <w:tcW w:w="1134"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237</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214.44</w:t>
            </w:r>
          </w:p>
        </w:tc>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0</w:t>
            </w:r>
          </w:p>
        </w:tc>
        <w:tc>
          <w:tcPr>
            <w:tcW w:w="85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851" w:type="dxa"/>
            <w:tcBorders>
              <w:top w:val="single" w:color="000000" w:sz="4" w:space="0"/>
              <w:left w:val="single" w:color="000000" w:sz="4" w:space="0"/>
              <w:bottom w:val="single" w:color="000000" w:sz="4" w:space="0"/>
              <w:right w:val="single" w:color="auto"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90.48</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929" w:type="dxa"/>
            <w:vMerge w:val="continue"/>
            <w:tcBorders>
              <w:left w:val="single" w:color="auto" w:sz="4" w:space="0"/>
              <w:right w:val="single" w:color="auto"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283" w:hRule="atLeast"/>
          <w:jc w:val="center"/>
        </w:trPr>
        <w:tc>
          <w:tcPr>
            <w:tcW w:w="845" w:type="dxa"/>
            <w:gridSpan w:val="2"/>
            <w:vMerge w:val="continue"/>
            <w:tcBorders>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156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left"/>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其他资金</w:t>
            </w:r>
          </w:p>
        </w:tc>
        <w:tc>
          <w:tcPr>
            <w:tcW w:w="99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134"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85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851" w:type="dxa"/>
            <w:tcBorders>
              <w:top w:val="single" w:color="000000" w:sz="4" w:space="0"/>
              <w:left w:val="single" w:color="000000" w:sz="4" w:space="0"/>
              <w:bottom w:val="single" w:color="000000" w:sz="4" w:space="0"/>
              <w:right w:val="single" w:color="auto" w:sz="4" w:space="0"/>
            </w:tcBorders>
            <w:vAlign w:val="center"/>
          </w:tcPr>
          <w:p>
            <w:pPr>
              <w:spacing w:line="240" w:lineRule="atLeast"/>
              <w:jc w:val="center"/>
              <w:rPr>
                <w:rFonts w:ascii="宋体" w:hAnsi="宋体" w:cs="宋体"/>
                <w:color w:val="00000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929" w:type="dxa"/>
            <w:vMerge w:val="continue"/>
            <w:tcBorders>
              <w:left w:val="single" w:color="auto" w:sz="4" w:space="0"/>
              <w:bottom w:val="single" w:color="auto" w:sz="4" w:space="0"/>
              <w:right w:val="single" w:color="auto"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327" w:hRule="atLeast"/>
          <w:jc w:val="center"/>
        </w:trPr>
        <w:tc>
          <w:tcPr>
            <w:tcW w:w="845" w:type="dxa"/>
            <w:gridSpan w:val="2"/>
            <w:vMerge w:val="restart"/>
            <w:tcBorders>
              <w:left w:val="single" w:color="000000" w:sz="4" w:space="0"/>
              <w:right w:val="single" w:color="000000" w:sz="4" w:space="0"/>
            </w:tcBorders>
            <w:vAlign w:val="center"/>
          </w:tcPr>
          <w:p>
            <w:pPr>
              <w:spacing w:line="560" w:lineRule="exact"/>
              <w:jc w:val="center"/>
              <w:rPr>
                <w:rFonts w:ascii="宋体" w:hAnsi="宋体" w:cs="宋体"/>
                <w:color w:val="000000"/>
                <w:sz w:val="20"/>
                <w:szCs w:val="20"/>
              </w:rPr>
            </w:pPr>
            <w:r>
              <w:rPr>
                <w:rFonts w:hint="eastAsia" w:ascii="宋体" w:hAnsi="宋体" w:cs="宋体"/>
                <w:color w:val="000000"/>
                <w:sz w:val="20"/>
                <w:szCs w:val="20"/>
              </w:rPr>
              <w:t>资金管理情况</w:t>
            </w:r>
          </w:p>
        </w:tc>
        <w:tc>
          <w:tcPr>
            <w:tcW w:w="1560"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4678" w:type="dxa"/>
            <w:gridSpan w:val="9"/>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情况说明</w:t>
            </w:r>
          </w:p>
        </w:tc>
        <w:tc>
          <w:tcPr>
            <w:tcW w:w="850" w:type="dxa"/>
            <w:gridSpan w:val="3"/>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tLeast"/>
              <w:jc w:val="center"/>
              <w:textAlignment w:val="center"/>
              <w:rPr>
                <w:sz w:val="20"/>
                <w:szCs w:val="20"/>
              </w:rPr>
            </w:pPr>
            <w:r>
              <w:rPr>
                <w:rFonts w:hint="eastAsia"/>
                <w:sz w:val="20"/>
                <w:szCs w:val="20"/>
              </w:rPr>
              <w:t>分值</w:t>
            </w:r>
          </w:p>
          <w:p>
            <w:pPr>
              <w:spacing w:line="240" w:lineRule="atLeast"/>
              <w:jc w:val="center"/>
              <w:rPr>
                <w:rFonts w:ascii="宋体" w:hAnsi="宋体" w:cs="宋体"/>
                <w:color w:val="000000"/>
                <w:sz w:val="20"/>
                <w:szCs w:val="20"/>
              </w:rPr>
            </w:pPr>
            <w:r>
              <w:rPr>
                <w:rFonts w:hint="eastAsia" w:ascii="宋体" w:hAnsi="宋体" w:cs="宋体"/>
                <w:color w:val="000000"/>
                <w:spacing w:val="-11"/>
                <w:kern w:val="0"/>
                <w:sz w:val="20"/>
                <w:szCs w:val="20"/>
                <w:lang w:bidi="ar"/>
              </w:rPr>
              <w:t>（40）</w:t>
            </w:r>
          </w:p>
        </w:tc>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得分</w:t>
            </w:r>
          </w:p>
        </w:tc>
        <w:tc>
          <w:tcPr>
            <w:tcW w:w="1496" w:type="dxa"/>
            <w:gridSpan w:val="2"/>
            <w:tcBorders>
              <w:top w:val="single" w:color="auto"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存在的问题和改进措施</w:t>
            </w:r>
          </w:p>
        </w:tc>
      </w:tr>
      <w:tr>
        <w:tblPrEx>
          <w:tblCellMar>
            <w:top w:w="0" w:type="dxa"/>
            <w:left w:w="108" w:type="dxa"/>
            <w:bottom w:w="0" w:type="dxa"/>
            <w:right w:w="108" w:type="dxa"/>
          </w:tblCellMar>
        </w:tblPrEx>
        <w:trPr>
          <w:trHeight w:val="283" w:hRule="atLeast"/>
          <w:jc w:val="center"/>
        </w:trPr>
        <w:tc>
          <w:tcPr>
            <w:tcW w:w="845" w:type="dxa"/>
            <w:gridSpan w:val="2"/>
            <w:vMerge w:val="continue"/>
            <w:tcBorders>
              <w:left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1560"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rPr>
                <w:rFonts w:ascii="宋体" w:hAnsi="宋体" w:cs="宋体"/>
                <w:color w:val="000000"/>
                <w:sz w:val="20"/>
                <w:szCs w:val="20"/>
              </w:rPr>
            </w:pPr>
            <w:r>
              <w:rPr>
                <w:rFonts w:hint="eastAsia" w:ascii="宋体" w:hAnsi="宋体" w:cs="宋体"/>
                <w:color w:val="000000"/>
                <w:kern w:val="0"/>
                <w:sz w:val="20"/>
                <w:szCs w:val="20"/>
                <w:lang w:bidi="ar"/>
              </w:rPr>
              <w:t>分配科学性</w:t>
            </w:r>
          </w:p>
        </w:tc>
        <w:tc>
          <w:tcPr>
            <w:tcW w:w="4678" w:type="dxa"/>
            <w:gridSpan w:val="9"/>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20"/>
                <w:szCs w:val="20"/>
              </w:rPr>
            </w:pPr>
            <w:r>
              <w:rPr>
                <w:rFonts w:hint="eastAsia" w:ascii="宋体" w:hAnsi="宋体" w:cs="宋体"/>
                <w:color w:val="000000"/>
                <w:sz w:val="20"/>
                <w:szCs w:val="20"/>
              </w:rPr>
              <w:t>充分利用资金充实服务人员队伍，构建服务体系，组织文体活动，确保社会化退休人员各项权益得到保障。</w:t>
            </w:r>
          </w:p>
        </w:tc>
        <w:tc>
          <w:tcPr>
            <w:tcW w:w="850"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5</w:t>
            </w:r>
          </w:p>
        </w:tc>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5</w:t>
            </w:r>
          </w:p>
        </w:tc>
        <w:tc>
          <w:tcPr>
            <w:tcW w:w="1496" w:type="dxa"/>
            <w:gridSpan w:val="2"/>
            <w:tcBorders>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337" w:hRule="atLeast"/>
          <w:jc w:val="center"/>
        </w:trPr>
        <w:tc>
          <w:tcPr>
            <w:tcW w:w="845" w:type="dxa"/>
            <w:gridSpan w:val="2"/>
            <w:vMerge w:val="continue"/>
            <w:tcBorders>
              <w:left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1560"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rPr>
                <w:rFonts w:ascii="宋体" w:hAnsi="宋体" w:cs="宋体"/>
                <w:color w:val="000000"/>
                <w:kern w:val="0"/>
                <w:sz w:val="20"/>
                <w:szCs w:val="20"/>
                <w:lang w:bidi="ar"/>
              </w:rPr>
            </w:pPr>
            <w:r>
              <w:rPr>
                <w:rFonts w:hint="eastAsia" w:ascii="宋体" w:hAnsi="宋体" w:cs="宋体"/>
                <w:color w:val="000000"/>
                <w:kern w:val="0"/>
                <w:sz w:val="20"/>
                <w:szCs w:val="20"/>
                <w:lang w:bidi="ar"/>
              </w:rPr>
              <w:t>下达及时性</w:t>
            </w:r>
          </w:p>
        </w:tc>
        <w:tc>
          <w:tcPr>
            <w:tcW w:w="4678" w:type="dxa"/>
            <w:gridSpan w:val="9"/>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20"/>
                <w:szCs w:val="20"/>
              </w:rPr>
            </w:pPr>
            <w:r>
              <w:rPr>
                <w:rFonts w:hint="eastAsia" w:ascii="宋体" w:hAnsi="宋体" w:cs="宋体"/>
                <w:color w:val="000000"/>
                <w:sz w:val="20"/>
                <w:szCs w:val="20"/>
              </w:rPr>
              <w:t>及时下拨各项资金，为服务工作提供资金支持。</w:t>
            </w:r>
          </w:p>
        </w:tc>
        <w:tc>
          <w:tcPr>
            <w:tcW w:w="850"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5</w:t>
            </w:r>
          </w:p>
        </w:tc>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5</w:t>
            </w:r>
          </w:p>
        </w:tc>
        <w:tc>
          <w:tcPr>
            <w:tcW w:w="1496" w:type="dxa"/>
            <w:gridSpan w:val="2"/>
            <w:tcBorders>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283" w:hRule="atLeast"/>
          <w:jc w:val="center"/>
        </w:trPr>
        <w:tc>
          <w:tcPr>
            <w:tcW w:w="845" w:type="dxa"/>
            <w:gridSpan w:val="2"/>
            <w:vMerge w:val="continue"/>
            <w:tcBorders>
              <w:left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1560"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rPr>
                <w:rFonts w:ascii="宋体" w:hAnsi="宋体" w:cs="宋体"/>
                <w:color w:val="000000"/>
                <w:kern w:val="0"/>
                <w:sz w:val="20"/>
                <w:szCs w:val="20"/>
                <w:lang w:bidi="ar"/>
              </w:rPr>
            </w:pPr>
            <w:r>
              <w:rPr>
                <w:rFonts w:hint="eastAsia" w:ascii="宋体" w:hAnsi="宋体" w:cs="宋体"/>
                <w:color w:val="000000"/>
                <w:kern w:val="0"/>
                <w:sz w:val="20"/>
                <w:szCs w:val="20"/>
                <w:lang w:bidi="ar"/>
              </w:rPr>
              <w:t>拨付合规性</w:t>
            </w:r>
          </w:p>
        </w:tc>
        <w:tc>
          <w:tcPr>
            <w:tcW w:w="4678" w:type="dxa"/>
            <w:gridSpan w:val="9"/>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20"/>
                <w:szCs w:val="20"/>
              </w:rPr>
            </w:pPr>
            <w:r>
              <w:rPr>
                <w:rFonts w:hint="eastAsia" w:ascii="宋体" w:hAnsi="宋体" w:cs="宋体"/>
                <w:color w:val="000000"/>
                <w:sz w:val="20"/>
                <w:szCs w:val="20"/>
              </w:rPr>
              <w:t>严格按照政策规定拨付和使用</w:t>
            </w:r>
          </w:p>
        </w:tc>
        <w:tc>
          <w:tcPr>
            <w:tcW w:w="850"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宋体" w:hAnsi="宋体" w:cs="宋体"/>
                <w:color w:val="000000"/>
                <w:sz w:val="20"/>
                <w:szCs w:val="20"/>
              </w:rPr>
            </w:pPr>
            <w:r>
              <w:rPr>
                <w:rFonts w:hint="eastAsia" w:ascii="宋体" w:hAnsi="宋体" w:cs="宋体"/>
                <w:color w:val="000000"/>
                <w:sz w:val="20"/>
                <w:szCs w:val="20"/>
              </w:rPr>
              <w:t>10</w:t>
            </w:r>
          </w:p>
        </w:tc>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宋体" w:hAnsi="宋体" w:cs="宋体"/>
                <w:color w:val="000000"/>
                <w:sz w:val="20"/>
                <w:szCs w:val="20"/>
              </w:rPr>
            </w:pPr>
            <w:r>
              <w:rPr>
                <w:rFonts w:hint="eastAsia" w:ascii="宋体" w:hAnsi="宋体" w:cs="宋体"/>
                <w:color w:val="000000"/>
                <w:sz w:val="20"/>
                <w:szCs w:val="20"/>
              </w:rPr>
              <w:t>10</w:t>
            </w:r>
          </w:p>
        </w:tc>
        <w:tc>
          <w:tcPr>
            <w:tcW w:w="1496" w:type="dxa"/>
            <w:gridSpan w:val="2"/>
            <w:tcBorders>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283" w:hRule="atLeast"/>
          <w:jc w:val="center"/>
        </w:trPr>
        <w:tc>
          <w:tcPr>
            <w:tcW w:w="845" w:type="dxa"/>
            <w:gridSpan w:val="2"/>
            <w:vMerge w:val="continue"/>
            <w:tcBorders>
              <w:left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1560"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rPr>
                <w:rFonts w:ascii="宋体" w:hAnsi="宋体" w:cs="宋体"/>
                <w:color w:val="000000"/>
                <w:kern w:val="0"/>
                <w:sz w:val="20"/>
                <w:szCs w:val="20"/>
                <w:lang w:bidi="ar"/>
              </w:rPr>
            </w:pPr>
            <w:r>
              <w:rPr>
                <w:rFonts w:hint="eastAsia" w:ascii="宋体" w:hAnsi="宋体" w:cs="宋体"/>
                <w:color w:val="000000"/>
                <w:kern w:val="0"/>
                <w:sz w:val="20"/>
                <w:szCs w:val="20"/>
                <w:lang w:bidi="ar"/>
              </w:rPr>
              <w:t>使用规范性</w:t>
            </w:r>
          </w:p>
        </w:tc>
        <w:tc>
          <w:tcPr>
            <w:tcW w:w="4678" w:type="dxa"/>
            <w:gridSpan w:val="9"/>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20"/>
                <w:szCs w:val="20"/>
              </w:rPr>
            </w:pPr>
            <w:r>
              <w:rPr>
                <w:rFonts w:hint="eastAsia" w:ascii="宋体" w:hAnsi="宋体" w:cs="宋体"/>
                <w:color w:val="000000"/>
                <w:sz w:val="20"/>
                <w:szCs w:val="20"/>
              </w:rPr>
              <w:t>不存在任何超范围支出的违规使用的情况</w:t>
            </w:r>
          </w:p>
        </w:tc>
        <w:tc>
          <w:tcPr>
            <w:tcW w:w="850"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5</w:t>
            </w:r>
          </w:p>
        </w:tc>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5</w:t>
            </w:r>
          </w:p>
        </w:tc>
        <w:tc>
          <w:tcPr>
            <w:tcW w:w="1496" w:type="dxa"/>
            <w:gridSpan w:val="2"/>
            <w:tcBorders>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283" w:hRule="atLeast"/>
          <w:jc w:val="center"/>
        </w:trPr>
        <w:tc>
          <w:tcPr>
            <w:tcW w:w="845" w:type="dxa"/>
            <w:gridSpan w:val="2"/>
            <w:vMerge w:val="continue"/>
            <w:tcBorders>
              <w:left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1560"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rPr>
                <w:rFonts w:ascii="宋体" w:hAnsi="宋体" w:cs="宋体"/>
                <w:color w:val="000000"/>
                <w:kern w:val="0"/>
                <w:sz w:val="20"/>
                <w:szCs w:val="20"/>
                <w:lang w:bidi="ar"/>
              </w:rPr>
            </w:pPr>
            <w:r>
              <w:rPr>
                <w:rFonts w:hint="eastAsia" w:ascii="宋体" w:hAnsi="宋体" w:cs="宋体"/>
                <w:color w:val="000000"/>
                <w:kern w:val="0"/>
                <w:sz w:val="20"/>
                <w:szCs w:val="20"/>
                <w:lang w:bidi="ar"/>
              </w:rPr>
              <w:t>执行准确性</w:t>
            </w:r>
          </w:p>
        </w:tc>
        <w:tc>
          <w:tcPr>
            <w:tcW w:w="4678" w:type="dxa"/>
            <w:gridSpan w:val="9"/>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20"/>
                <w:szCs w:val="20"/>
              </w:rPr>
            </w:pPr>
            <w:r>
              <w:rPr>
                <w:rFonts w:hint="eastAsia" w:ascii="宋体" w:hAnsi="宋体" w:cs="宋体"/>
                <w:color w:val="000000"/>
                <w:sz w:val="20"/>
                <w:szCs w:val="20"/>
              </w:rPr>
              <w:t>严格按照文件规定的落实资金的使用情况</w:t>
            </w:r>
          </w:p>
        </w:tc>
        <w:tc>
          <w:tcPr>
            <w:tcW w:w="850"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5</w:t>
            </w:r>
          </w:p>
        </w:tc>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5</w:t>
            </w:r>
          </w:p>
        </w:tc>
        <w:tc>
          <w:tcPr>
            <w:tcW w:w="1496" w:type="dxa"/>
            <w:gridSpan w:val="2"/>
            <w:tcBorders>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283" w:hRule="atLeast"/>
          <w:jc w:val="center"/>
        </w:trPr>
        <w:tc>
          <w:tcPr>
            <w:tcW w:w="845" w:type="dxa"/>
            <w:gridSpan w:val="2"/>
            <w:vMerge w:val="continue"/>
            <w:tcBorders>
              <w:left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1560"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rPr>
                <w:rFonts w:ascii="宋体" w:hAnsi="宋体" w:cs="宋体"/>
                <w:color w:val="000000"/>
                <w:kern w:val="0"/>
                <w:sz w:val="20"/>
                <w:szCs w:val="20"/>
                <w:lang w:bidi="ar"/>
              </w:rPr>
            </w:pPr>
            <w:r>
              <w:rPr>
                <w:rFonts w:hint="eastAsia" w:ascii="宋体" w:hAnsi="宋体" w:cs="宋体"/>
                <w:color w:val="000000"/>
                <w:kern w:val="0"/>
                <w:sz w:val="20"/>
                <w:szCs w:val="20"/>
                <w:lang w:bidi="ar"/>
              </w:rPr>
              <w:t>预算绩效管理情况</w:t>
            </w:r>
          </w:p>
        </w:tc>
        <w:tc>
          <w:tcPr>
            <w:tcW w:w="4678" w:type="dxa"/>
            <w:gridSpan w:val="9"/>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20"/>
                <w:szCs w:val="20"/>
              </w:rPr>
            </w:pPr>
            <w:r>
              <w:rPr>
                <w:rFonts w:hint="eastAsia" w:ascii="宋体" w:hAnsi="宋体" w:cs="宋体"/>
                <w:color w:val="000000"/>
                <w:sz w:val="20"/>
                <w:szCs w:val="20"/>
              </w:rPr>
              <w:t>按照市级要求的进度合理依规推进各项工作</w:t>
            </w:r>
          </w:p>
        </w:tc>
        <w:tc>
          <w:tcPr>
            <w:tcW w:w="850"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5</w:t>
            </w:r>
          </w:p>
        </w:tc>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5</w:t>
            </w:r>
          </w:p>
        </w:tc>
        <w:tc>
          <w:tcPr>
            <w:tcW w:w="1496" w:type="dxa"/>
            <w:gridSpan w:val="2"/>
            <w:tcBorders>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283" w:hRule="atLeast"/>
          <w:jc w:val="center"/>
        </w:trPr>
        <w:tc>
          <w:tcPr>
            <w:tcW w:w="845" w:type="dxa"/>
            <w:gridSpan w:val="2"/>
            <w:vMerge w:val="continue"/>
            <w:tcBorders>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1560"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rPr>
                <w:rFonts w:ascii="宋体" w:hAnsi="宋体" w:cs="宋体"/>
                <w:color w:val="000000"/>
                <w:kern w:val="0"/>
                <w:sz w:val="20"/>
                <w:szCs w:val="20"/>
                <w:lang w:bidi="ar"/>
              </w:rPr>
            </w:pPr>
            <w:r>
              <w:rPr>
                <w:rFonts w:hint="eastAsia" w:ascii="宋体" w:hAnsi="宋体" w:cs="宋体"/>
                <w:color w:val="000000"/>
                <w:kern w:val="0"/>
                <w:sz w:val="20"/>
                <w:szCs w:val="20"/>
                <w:lang w:bidi="ar"/>
              </w:rPr>
              <w:t>支出责任履行情况</w:t>
            </w:r>
          </w:p>
        </w:tc>
        <w:tc>
          <w:tcPr>
            <w:tcW w:w="4678" w:type="dxa"/>
            <w:gridSpan w:val="9"/>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20"/>
                <w:szCs w:val="20"/>
              </w:rPr>
            </w:pPr>
            <w:r>
              <w:rPr>
                <w:rFonts w:hint="eastAsia" w:ascii="宋体" w:hAnsi="宋体" w:cs="宋体"/>
                <w:color w:val="000000"/>
                <w:sz w:val="20"/>
                <w:szCs w:val="20"/>
              </w:rPr>
              <w:t>资金支出合法规范，权责利清晰</w:t>
            </w:r>
          </w:p>
        </w:tc>
        <w:tc>
          <w:tcPr>
            <w:tcW w:w="850"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5</w:t>
            </w:r>
          </w:p>
        </w:tc>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5</w:t>
            </w:r>
          </w:p>
        </w:tc>
        <w:tc>
          <w:tcPr>
            <w:tcW w:w="1496" w:type="dxa"/>
            <w:gridSpan w:val="2"/>
            <w:tcBorders>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387" w:hRule="atLeast"/>
          <w:jc w:val="center"/>
        </w:trPr>
        <w:tc>
          <w:tcPr>
            <w:tcW w:w="686"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总体目标完成情况</w:t>
            </w:r>
          </w:p>
        </w:tc>
        <w:tc>
          <w:tcPr>
            <w:tcW w:w="4631"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总体目标</w:t>
            </w:r>
          </w:p>
        </w:tc>
        <w:tc>
          <w:tcPr>
            <w:tcW w:w="4963" w:type="dxa"/>
            <w:gridSpan w:val="8"/>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全年实际完成情况</w:t>
            </w:r>
          </w:p>
        </w:tc>
      </w:tr>
      <w:tr>
        <w:tblPrEx>
          <w:tblCellMar>
            <w:top w:w="0" w:type="dxa"/>
            <w:left w:w="108" w:type="dxa"/>
            <w:bottom w:w="0" w:type="dxa"/>
            <w:right w:w="108" w:type="dxa"/>
          </w:tblCellMar>
        </w:tblPrEx>
        <w:trPr>
          <w:trHeight w:val="856"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4631" w:type="dxa"/>
            <w:gridSpan w:val="10"/>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ascii="宋体" w:hAnsi="宋体" w:cs="宋体"/>
                <w:color w:val="000000"/>
                <w:sz w:val="20"/>
                <w:szCs w:val="20"/>
              </w:rPr>
            </w:pPr>
            <w:r>
              <w:rPr>
                <w:rFonts w:hint="eastAsia" w:ascii="宋体" w:hAnsi="宋体" w:cs="宋体"/>
                <w:color w:val="000000"/>
                <w:sz w:val="20"/>
                <w:szCs w:val="20"/>
              </w:rPr>
              <w:t>确保全区各类社会化退休人员移交平稳顺利，各项服务措施落实到位，社会化退休人员各项权益得到有效保障。</w:t>
            </w:r>
            <w:r>
              <w:rPr>
                <w:rFonts w:hint="eastAsia" w:ascii="宋体" w:hAnsi="宋体" w:cs="宋体"/>
                <w:color w:val="000000"/>
                <w:sz w:val="20"/>
                <w:szCs w:val="20"/>
              </w:rPr>
              <w:tab/>
            </w:r>
          </w:p>
        </w:tc>
        <w:tc>
          <w:tcPr>
            <w:tcW w:w="4963" w:type="dxa"/>
            <w:gridSpan w:val="8"/>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ascii="宋体" w:hAnsi="宋体" w:cs="宋体"/>
                <w:color w:val="000000"/>
                <w:sz w:val="20"/>
                <w:szCs w:val="20"/>
              </w:rPr>
            </w:pPr>
            <w:r>
              <w:rPr>
                <w:rFonts w:hint="eastAsia" w:ascii="宋体" w:hAnsi="宋体" w:cs="宋体"/>
                <w:color w:val="000000"/>
                <w:sz w:val="20"/>
                <w:szCs w:val="20"/>
              </w:rPr>
              <w:t>确保全区各类社会化退休人员移交平稳顺利，各项服务措施落实到位，社会化退休人员各项权益得到有效保障。</w:t>
            </w:r>
          </w:p>
        </w:tc>
      </w:tr>
      <w:tr>
        <w:tblPrEx>
          <w:tblCellMar>
            <w:top w:w="0" w:type="dxa"/>
            <w:left w:w="108" w:type="dxa"/>
            <w:bottom w:w="0" w:type="dxa"/>
            <w:right w:w="108" w:type="dxa"/>
          </w:tblCellMar>
        </w:tblPrEx>
        <w:trPr>
          <w:trHeight w:val="327" w:hRule="atLeast"/>
          <w:jc w:val="center"/>
        </w:trPr>
        <w:tc>
          <w:tcPr>
            <w:tcW w:w="686"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75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指标</w:t>
            </w:r>
          </w:p>
        </w:tc>
        <w:tc>
          <w:tcPr>
            <w:tcW w:w="105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162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1206"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指标值</w:t>
            </w:r>
          </w:p>
        </w:tc>
        <w:tc>
          <w:tcPr>
            <w:tcW w:w="1845"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全年实际完成值</w:t>
            </w:r>
          </w:p>
        </w:tc>
        <w:tc>
          <w:tcPr>
            <w:tcW w:w="690" w:type="dxa"/>
            <w:vMerge w:val="restart"/>
            <w:tcBorders>
              <w:top w:val="single" w:color="000000" w:sz="4" w:space="0"/>
              <w:left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sz w:val="20"/>
                <w:szCs w:val="20"/>
              </w:rPr>
              <w:t>分值</w:t>
            </w:r>
          </w:p>
        </w:tc>
        <w:tc>
          <w:tcPr>
            <w:tcW w:w="932" w:type="dxa"/>
            <w:gridSpan w:val="2"/>
            <w:vMerge w:val="restart"/>
            <w:tcBorders>
              <w:top w:val="single" w:color="000000" w:sz="4" w:space="0"/>
              <w:left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得分</w:t>
            </w:r>
          </w:p>
        </w:tc>
        <w:tc>
          <w:tcPr>
            <w:tcW w:w="1496" w:type="dxa"/>
            <w:gridSpan w:val="2"/>
            <w:vMerge w:val="restart"/>
            <w:tcBorders>
              <w:top w:val="single" w:color="000000" w:sz="4" w:space="0"/>
              <w:left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未完成原因和改进措施</w:t>
            </w:r>
          </w:p>
        </w:tc>
      </w:tr>
      <w:tr>
        <w:tblPrEx>
          <w:tblCellMar>
            <w:top w:w="0" w:type="dxa"/>
            <w:left w:w="108" w:type="dxa"/>
            <w:bottom w:w="0" w:type="dxa"/>
            <w:right w:w="108" w:type="dxa"/>
          </w:tblCellMar>
        </w:tblPrEx>
        <w:trPr>
          <w:trHeight w:val="962"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75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05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62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sz w:val="20"/>
                <w:szCs w:val="20"/>
              </w:rPr>
            </w:pPr>
            <w:r>
              <w:rPr>
                <w:rFonts w:hint="eastAsia" w:ascii="宋体" w:hAnsi="宋体" w:cs="宋体"/>
                <w:kern w:val="0"/>
                <w:sz w:val="20"/>
                <w:szCs w:val="20"/>
                <w:lang w:bidi="ar"/>
              </w:rPr>
              <w:t>（按照原来的绩效目标表填写</w:t>
            </w:r>
            <w:r>
              <w:rPr>
                <w:rStyle w:val="7"/>
                <w:rFonts w:hint="default"/>
                <w:color w:val="auto"/>
                <w:lang w:bidi="ar"/>
              </w:rPr>
              <w:t>）</w:t>
            </w:r>
          </w:p>
        </w:tc>
        <w:tc>
          <w:tcPr>
            <w:tcW w:w="1206"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sz w:val="20"/>
                <w:szCs w:val="20"/>
              </w:rPr>
            </w:pPr>
          </w:p>
        </w:tc>
        <w:tc>
          <w:tcPr>
            <w:tcW w:w="1845"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sz w:val="20"/>
                <w:szCs w:val="20"/>
              </w:rPr>
            </w:pPr>
            <w:r>
              <w:rPr>
                <w:rFonts w:hint="eastAsia" w:ascii="宋体" w:hAnsi="宋体" w:cs="宋体"/>
                <w:kern w:val="0"/>
                <w:sz w:val="20"/>
                <w:szCs w:val="20"/>
                <w:lang w:bidi="ar"/>
              </w:rPr>
              <w:t>（对照绩效目标表，尽可能通过具体量化的指标和资料呈现核心绩效）</w:t>
            </w:r>
          </w:p>
        </w:tc>
        <w:tc>
          <w:tcPr>
            <w:tcW w:w="690" w:type="dxa"/>
            <w:vMerge w:val="continue"/>
            <w:tcBorders>
              <w:left w:val="single" w:color="000000" w:sz="4" w:space="0"/>
              <w:bottom w:val="single" w:color="000000" w:sz="4" w:space="0"/>
              <w:right w:val="single" w:color="000000" w:sz="4" w:space="0"/>
            </w:tcBorders>
            <w:vAlign w:val="center"/>
          </w:tcPr>
          <w:p>
            <w:pPr>
              <w:spacing w:line="240" w:lineRule="atLeast"/>
              <w:jc w:val="center"/>
              <w:rPr>
                <w:rFonts w:ascii="宋体" w:hAnsi="宋体" w:cs="宋体"/>
                <w:sz w:val="20"/>
                <w:szCs w:val="20"/>
              </w:rPr>
            </w:pPr>
          </w:p>
        </w:tc>
        <w:tc>
          <w:tcPr>
            <w:tcW w:w="932" w:type="dxa"/>
            <w:gridSpan w:val="2"/>
            <w:vMerge w:val="continue"/>
            <w:tcBorders>
              <w:left w:val="single" w:color="000000" w:sz="4" w:space="0"/>
              <w:bottom w:val="single" w:color="000000" w:sz="4" w:space="0"/>
              <w:right w:val="single" w:color="000000" w:sz="4" w:space="0"/>
            </w:tcBorders>
            <w:vAlign w:val="center"/>
          </w:tcPr>
          <w:p>
            <w:pPr>
              <w:spacing w:line="240" w:lineRule="atLeast"/>
              <w:jc w:val="center"/>
              <w:rPr>
                <w:rFonts w:ascii="宋体" w:hAnsi="宋体" w:cs="宋体"/>
                <w:sz w:val="20"/>
                <w:szCs w:val="20"/>
              </w:rPr>
            </w:pPr>
          </w:p>
        </w:tc>
        <w:tc>
          <w:tcPr>
            <w:tcW w:w="1496" w:type="dxa"/>
            <w:gridSpan w:val="2"/>
            <w:vMerge w:val="continue"/>
            <w:tcBorders>
              <w:left w:val="single" w:color="000000" w:sz="4" w:space="0"/>
              <w:bottom w:val="single" w:color="000000" w:sz="4" w:space="0"/>
              <w:right w:val="single" w:color="000000" w:sz="4" w:space="0"/>
            </w:tcBorders>
            <w:vAlign w:val="center"/>
          </w:tcPr>
          <w:p>
            <w:pPr>
              <w:spacing w:line="240" w:lineRule="atLeast"/>
              <w:jc w:val="center"/>
              <w:rPr>
                <w:rFonts w:ascii="宋体" w:hAnsi="宋体" w:cs="宋体"/>
                <w:sz w:val="20"/>
                <w:szCs w:val="20"/>
              </w:rPr>
            </w:pPr>
          </w:p>
        </w:tc>
      </w:tr>
      <w:tr>
        <w:tblPrEx>
          <w:tblCellMar>
            <w:top w:w="0" w:type="dxa"/>
            <w:left w:w="108" w:type="dxa"/>
            <w:bottom w:w="0" w:type="dxa"/>
            <w:right w:w="108" w:type="dxa"/>
          </w:tblCellMar>
        </w:tblPrEx>
        <w:trPr>
          <w:trHeight w:val="327"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75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出</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标</w:t>
            </w:r>
          </w:p>
        </w:tc>
        <w:tc>
          <w:tcPr>
            <w:tcW w:w="105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162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sz w:val="20"/>
                <w:szCs w:val="20"/>
              </w:rPr>
            </w:pPr>
          </w:p>
        </w:tc>
        <w:tc>
          <w:tcPr>
            <w:tcW w:w="120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sz w:val="20"/>
                <w:szCs w:val="20"/>
              </w:rPr>
            </w:pPr>
          </w:p>
        </w:tc>
        <w:tc>
          <w:tcPr>
            <w:tcW w:w="184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ascii="宋体" w:hAnsi="宋体" w:cs="宋体"/>
                <w:sz w:val="20"/>
                <w:szCs w:val="20"/>
              </w:rPr>
            </w:pPr>
          </w:p>
        </w:tc>
        <w:tc>
          <w:tcPr>
            <w:tcW w:w="690"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sz w:val="20"/>
                <w:szCs w:val="20"/>
              </w:rPr>
            </w:pPr>
          </w:p>
        </w:tc>
        <w:tc>
          <w:tcPr>
            <w:tcW w:w="93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sz w:val="20"/>
                <w:szCs w:val="20"/>
              </w:rPr>
            </w:pPr>
          </w:p>
        </w:tc>
        <w:tc>
          <w:tcPr>
            <w:tcW w:w="149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sz w:val="20"/>
                <w:szCs w:val="20"/>
              </w:rPr>
            </w:pPr>
          </w:p>
        </w:tc>
      </w:tr>
      <w:tr>
        <w:tblPrEx>
          <w:tblCellMar>
            <w:top w:w="0" w:type="dxa"/>
            <w:left w:w="108" w:type="dxa"/>
            <w:bottom w:w="0" w:type="dxa"/>
            <w:right w:w="108" w:type="dxa"/>
          </w:tblCellMar>
        </w:tblPrEx>
        <w:trPr>
          <w:trHeight w:val="645"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75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05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62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sz w:val="20"/>
                <w:szCs w:val="20"/>
              </w:rPr>
            </w:pPr>
            <w:r>
              <w:rPr>
                <w:rFonts w:hint="eastAsia" w:ascii="宋体" w:hAnsi="宋体" w:cs="宋体"/>
                <w:kern w:val="0"/>
                <w:sz w:val="20"/>
                <w:szCs w:val="20"/>
                <w:lang w:bidi="ar"/>
              </w:rPr>
              <w:t>社会化管理人员的数量全区</w:t>
            </w:r>
          </w:p>
        </w:tc>
        <w:tc>
          <w:tcPr>
            <w:tcW w:w="120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sz w:val="20"/>
                <w:szCs w:val="20"/>
              </w:rPr>
            </w:pPr>
            <w:r>
              <w:rPr>
                <w:rFonts w:hint="eastAsia" w:ascii="宋体" w:hAnsi="宋体" w:cs="宋体"/>
                <w:kern w:val="0"/>
                <w:sz w:val="20"/>
                <w:szCs w:val="20"/>
                <w:lang w:bidi="ar"/>
              </w:rPr>
              <w:tab/>
            </w:r>
            <w:r>
              <w:rPr>
                <w:rFonts w:hint="eastAsia" w:ascii="宋体" w:hAnsi="宋体" w:cs="宋体"/>
                <w:kern w:val="0"/>
                <w:sz w:val="20"/>
                <w:szCs w:val="20"/>
                <w:lang w:bidi="ar"/>
              </w:rPr>
              <w:t xml:space="preserve">预计新增社会化人员5000人 </w:t>
            </w:r>
            <w:r>
              <w:rPr>
                <w:rFonts w:hint="eastAsia" w:ascii="宋体" w:hAnsi="宋体" w:cs="宋体"/>
                <w:kern w:val="0"/>
                <w:sz w:val="20"/>
                <w:szCs w:val="20"/>
                <w:lang w:bidi="ar"/>
              </w:rPr>
              <w:tab/>
            </w:r>
          </w:p>
        </w:tc>
        <w:tc>
          <w:tcPr>
            <w:tcW w:w="184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ascii="宋体" w:hAnsi="宋体" w:cs="宋体"/>
                <w:sz w:val="20"/>
                <w:szCs w:val="20"/>
              </w:rPr>
            </w:pPr>
            <w:r>
              <w:rPr>
                <w:rFonts w:hint="eastAsia" w:ascii="宋体" w:hAnsi="宋体" w:cs="宋体"/>
                <w:kern w:val="0"/>
                <w:sz w:val="20"/>
                <w:szCs w:val="20"/>
                <w:lang w:bidi="ar"/>
              </w:rPr>
              <w:t>实际管理社会化退休人员98985人，新增7970人。</w:t>
            </w:r>
          </w:p>
        </w:tc>
        <w:tc>
          <w:tcPr>
            <w:tcW w:w="690"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宋体" w:hAnsi="宋体" w:cs="宋体"/>
                <w:sz w:val="20"/>
                <w:szCs w:val="20"/>
              </w:rPr>
            </w:pPr>
            <w:r>
              <w:rPr>
                <w:rFonts w:hint="eastAsia" w:ascii="宋体" w:hAnsi="宋体" w:cs="宋体"/>
                <w:sz w:val="20"/>
                <w:szCs w:val="20"/>
              </w:rPr>
              <w:t>30</w:t>
            </w:r>
          </w:p>
        </w:tc>
        <w:tc>
          <w:tcPr>
            <w:tcW w:w="93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宋体" w:hAnsi="宋体" w:cs="宋体"/>
                <w:sz w:val="20"/>
                <w:szCs w:val="20"/>
              </w:rPr>
            </w:pPr>
            <w:r>
              <w:rPr>
                <w:rFonts w:hint="eastAsia" w:ascii="宋体" w:hAnsi="宋体" w:cs="宋体"/>
                <w:sz w:val="20"/>
                <w:szCs w:val="20"/>
              </w:rPr>
              <w:t>30</w:t>
            </w:r>
          </w:p>
        </w:tc>
        <w:tc>
          <w:tcPr>
            <w:tcW w:w="149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sz w:val="20"/>
                <w:szCs w:val="20"/>
              </w:rPr>
            </w:pPr>
          </w:p>
        </w:tc>
      </w:tr>
      <w:tr>
        <w:tblPrEx>
          <w:tblCellMar>
            <w:top w:w="0" w:type="dxa"/>
            <w:left w:w="108" w:type="dxa"/>
            <w:bottom w:w="0" w:type="dxa"/>
            <w:right w:w="108" w:type="dxa"/>
          </w:tblCellMar>
        </w:tblPrEx>
        <w:trPr>
          <w:trHeight w:val="327"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75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05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162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20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84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ascii="宋体" w:hAnsi="宋体" w:cs="宋体"/>
                <w:color w:val="000000"/>
                <w:sz w:val="20"/>
                <w:szCs w:val="20"/>
              </w:rPr>
            </w:pPr>
          </w:p>
        </w:tc>
        <w:tc>
          <w:tcPr>
            <w:tcW w:w="690"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宋体" w:hAnsi="宋体" w:cs="宋体"/>
                <w:color w:val="000000"/>
                <w:sz w:val="20"/>
                <w:szCs w:val="20"/>
              </w:rPr>
            </w:pPr>
          </w:p>
        </w:tc>
        <w:tc>
          <w:tcPr>
            <w:tcW w:w="93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宋体" w:hAnsi="宋体" w:cs="宋体"/>
                <w:color w:val="000000"/>
                <w:sz w:val="20"/>
                <w:szCs w:val="20"/>
              </w:rPr>
            </w:pPr>
          </w:p>
        </w:tc>
        <w:tc>
          <w:tcPr>
            <w:tcW w:w="149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327"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75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05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62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20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84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ascii="宋体" w:hAnsi="宋体" w:cs="宋体"/>
                <w:color w:val="000000"/>
                <w:sz w:val="20"/>
                <w:szCs w:val="20"/>
              </w:rPr>
            </w:pPr>
          </w:p>
        </w:tc>
        <w:tc>
          <w:tcPr>
            <w:tcW w:w="690"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93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49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327"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75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05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162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20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84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ascii="宋体" w:hAnsi="宋体" w:cs="宋体"/>
                <w:color w:val="000000"/>
                <w:sz w:val="20"/>
                <w:szCs w:val="20"/>
              </w:rPr>
            </w:pPr>
          </w:p>
        </w:tc>
        <w:tc>
          <w:tcPr>
            <w:tcW w:w="690"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93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49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327"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75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05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62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20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84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ascii="宋体" w:hAnsi="宋体" w:cs="宋体"/>
                <w:color w:val="000000"/>
                <w:sz w:val="20"/>
                <w:szCs w:val="20"/>
              </w:rPr>
            </w:pPr>
          </w:p>
        </w:tc>
        <w:tc>
          <w:tcPr>
            <w:tcW w:w="690"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93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49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327"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75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05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162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20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84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ascii="宋体" w:hAnsi="宋体" w:cs="宋体"/>
                <w:color w:val="000000"/>
                <w:sz w:val="20"/>
                <w:szCs w:val="20"/>
              </w:rPr>
            </w:pPr>
          </w:p>
        </w:tc>
        <w:tc>
          <w:tcPr>
            <w:tcW w:w="690"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93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49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327"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75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05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62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20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84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ascii="宋体" w:hAnsi="宋体" w:cs="宋体"/>
                <w:color w:val="000000"/>
                <w:sz w:val="20"/>
                <w:szCs w:val="20"/>
              </w:rPr>
            </w:pPr>
          </w:p>
        </w:tc>
        <w:tc>
          <w:tcPr>
            <w:tcW w:w="690"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93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49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327"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75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益</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标</w:t>
            </w:r>
          </w:p>
        </w:tc>
        <w:tc>
          <w:tcPr>
            <w:tcW w:w="105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经济效益指标</w:t>
            </w:r>
          </w:p>
        </w:tc>
        <w:tc>
          <w:tcPr>
            <w:tcW w:w="162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20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84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ascii="宋体" w:hAnsi="宋体" w:cs="宋体"/>
                <w:color w:val="000000"/>
                <w:sz w:val="20"/>
                <w:szCs w:val="20"/>
              </w:rPr>
            </w:pPr>
          </w:p>
        </w:tc>
        <w:tc>
          <w:tcPr>
            <w:tcW w:w="690"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93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49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327"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75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05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62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20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84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ascii="宋体" w:hAnsi="宋体" w:cs="宋体"/>
                <w:color w:val="000000"/>
                <w:sz w:val="20"/>
                <w:szCs w:val="20"/>
              </w:rPr>
            </w:pPr>
          </w:p>
        </w:tc>
        <w:tc>
          <w:tcPr>
            <w:tcW w:w="690"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93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49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327"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75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05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162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社会化管理服务次数</w:t>
            </w:r>
          </w:p>
        </w:tc>
        <w:tc>
          <w:tcPr>
            <w:tcW w:w="120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ab/>
            </w:r>
            <w:r>
              <w:rPr>
                <w:rFonts w:hint="eastAsia" w:ascii="宋体" w:hAnsi="宋体" w:cs="宋体"/>
                <w:color w:val="000000"/>
                <w:sz w:val="20"/>
                <w:szCs w:val="20"/>
              </w:rPr>
              <w:t>积极抓好各项活动的落地工作，做好困难人员的两节慰问</w:t>
            </w:r>
          </w:p>
        </w:tc>
        <w:tc>
          <w:tcPr>
            <w:tcW w:w="184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ascii="宋体" w:hAnsi="宋体" w:cs="宋体"/>
                <w:color w:val="000000"/>
                <w:sz w:val="20"/>
                <w:szCs w:val="20"/>
              </w:rPr>
            </w:pPr>
            <w:r>
              <w:rPr>
                <w:rFonts w:hint="eastAsia" w:ascii="宋体" w:hAnsi="宋体" w:cs="宋体"/>
                <w:color w:val="000000"/>
                <w:sz w:val="20"/>
                <w:szCs w:val="20"/>
              </w:rPr>
              <w:tab/>
            </w:r>
            <w:r>
              <w:rPr>
                <w:rFonts w:hint="eastAsia" w:ascii="宋体" w:hAnsi="宋体" w:cs="宋体"/>
                <w:color w:val="000000"/>
                <w:sz w:val="20"/>
                <w:szCs w:val="20"/>
              </w:rPr>
              <w:t>全年共组织开展各类活动79场，15682人参与。</w:t>
            </w:r>
          </w:p>
        </w:tc>
        <w:tc>
          <w:tcPr>
            <w:tcW w:w="690"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宋体" w:hAnsi="宋体" w:cs="宋体"/>
                <w:color w:val="000000"/>
                <w:sz w:val="20"/>
                <w:szCs w:val="20"/>
              </w:rPr>
            </w:pPr>
            <w:r>
              <w:rPr>
                <w:rFonts w:hint="eastAsia" w:ascii="宋体" w:hAnsi="宋体" w:cs="宋体"/>
                <w:color w:val="000000"/>
                <w:sz w:val="20"/>
                <w:szCs w:val="20"/>
              </w:rPr>
              <w:t>15</w:t>
            </w:r>
          </w:p>
        </w:tc>
        <w:tc>
          <w:tcPr>
            <w:tcW w:w="93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hint="eastAsia" w:ascii="宋体" w:hAnsi="宋体" w:cs="宋体"/>
                <w:color w:val="000000"/>
                <w:sz w:val="20"/>
                <w:szCs w:val="20"/>
              </w:rPr>
            </w:pPr>
            <w:r>
              <w:rPr>
                <w:rFonts w:hint="eastAsia" w:ascii="宋体" w:hAnsi="宋体" w:cs="宋体"/>
                <w:color w:val="000000"/>
                <w:sz w:val="20"/>
                <w:szCs w:val="20"/>
              </w:rPr>
              <w:t>15</w:t>
            </w:r>
          </w:p>
        </w:tc>
        <w:tc>
          <w:tcPr>
            <w:tcW w:w="149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327"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75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05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62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20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84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ascii="宋体" w:hAnsi="宋体" w:cs="宋体"/>
                <w:color w:val="000000"/>
                <w:sz w:val="20"/>
                <w:szCs w:val="20"/>
              </w:rPr>
            </w:pPr>
          </w:p>
        </w:tc>
        <w:tc>
          <w:tcPr>
            <w:tcW w:w="690"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93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49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327"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75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05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生态效益指标</w:t>
            </w:r>
          </w:p>
        </w:tc>
        <w:tc>
          <w:tcPr>
            <w:tcW w:w="162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20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84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ascii="宋体" w:hAnsi="宋体" w:cs="宋体"/>
                <w:color w:val="000000"/>
                <w:sz w:val="20"/>
                <w:szCs w:val="20"/>
              </w:rPr>
            </w:pPr>
          </w:p>
        </w:tc>
        <w:tc>
          <w:tcPr>
            <w:tcW w:w="690"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93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49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327"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75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05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62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20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84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ascii="宋体" w:hAnsi="宋体" w:cs="宋体"/>
                <w:color w:val="000000"/>
                <w:sz w:val="20"/>
                <w:szCs w:val="20"/>
              </w:rPr>
            </w:pPr>
          </w:p>
        </w:tc>
        <w:tc>
          <w:tcPr>
            <w:tcW w:w="690"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93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49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327"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75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05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162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20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84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ascii="宋体" w:hAnsi="宋体" w:cs="宋体"/>
                <w:color w:val="000000"/>
                <w:sz w:val="20"/>
                <w:szCs w:val="20"/>
              </w:rPr>
            </w:pPr>
          </w:p>
        </w:tc>
        <w:tc>
          <w:tcPr>
            <w:tcW w:w="690"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93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49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327"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75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05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62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20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84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ascii="宋体" w:hAnsi="宋体" w:cs="宋体"/>
                <w:color w:val="000000"/>
                <w:sz w:val="20"/>
                <w:szCs w:val="20"/>
              </w:rPr>
            </w:pPr>
          </w:p>
        </w:tc>
        <w:tc>
          <w:tcPr>
            <w:tcW w:w="690"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93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49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377"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75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05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1623" w:type="dxa"/>
            <w:gridSpan w:val="3"/>
            <w:tcBorders>
              <w:top w:val="single" w:color="000000" w:sz="4" w:space="0"/>
              <w:left w:val="single" w:color="000000" w:sz="4" w:space="0"/>
              <w:bottom w:val="single" w:color="000000" w:sz="4" w:space="0"/>
              <w:right w:val="single" w:color="000000" w:sz="4" w:space="0"/>
            </w:tcBorders>
          </w:tcPr>
          <w:p>
            <w:r>
              <w:rPr>
                <w:rFonts w:hint="eastAsia"/>
              </w:rPr>
              <w:t>参与人员满意度</w:t>
            </w:r>
          </w:p>
        </w:tc>
        <w:tc>
          <w:tcPr>
            <w:tcW w:w="1206" w:type="dxa"/>
            <w:gridSpan w:val="3"/>
            <w:tcBorders>
              <w:top w:val="single" w:color="000000" w:sz="4" w:space="0"/>
              <w:left w:val="single" w:color="000000" w:sz="4" w:space="0"/>
              <w:bottom w:val="single" w:color="000000" w:sz="4" w:space="0"/>
              <w:right w:val="single" w:color="000000" w:sz="4" w:space="0"/>
            </w:tcBorders>
          </w:tcPr>
          <w:p>
            <w:pPr>
              <w:rPr>
                <w:rFonts w:ascii="宋体" w:hAnsi="宋体" w:cs="宋体"/>
                <w:kern w:val="0"/>
                <w:sz w:val="20"/>
                <w:szCs w:val="20"/>
                <w:lang w:bidi="ar"/>
              </w:rPr>
            </w:pPr>
            <w:r>
              <w:rPr>
                <w:rFonts w:hint="eastAsia" w:ascii="宋体" w:hAnsi="宋体" w:cs="宋体"/>
                <w:kern w:val="0"/>
                <w:sz w:val="20"/>
                <w:szCs w:val="20"/>
                <w:lang w:bidi="ar"/>
              </w:rPr>
              <w:t>85%的参与活动人员对政策落实满意</w:t>
            </w:r>
          </w:p>
        </w:tc>
        <w:tc>
          <w:tcPr>
            <w:tcW w:w="1845" w:type="dxa"/>
            <w:gridSpan w:val="3"/>
            <w:tcBorders>
              <w:top w:val="single" w:color="000000" w:sz="4" w:space="0"/>
              <w:left w:val="single" w:color="000000" w:sz="4" w:space="0"/>
              <w:bottom w:val="single" w:color="000000" w:sz="4" w:space="0"/>
              <w:right w:val="single" w:color="000000" w:sz="4" w:space="0"/>
            </w:tcBorders>
          </w:tcPr>
          <w:p>
            <w:pPr>
              <w:rPr>
                <w:rFonts w:ascii="宋体" w:hAnsi="宋体" w:cs="宋体"/>
                <w:kern w:val="0"/>
                <w:sz w:val="20"/>
                <w:szCs w:val="20"/>
                <w:lang w:bidi="ar"/>
              </w:rPr>
            </w:pPr>
            <w:r>
              <w:rPr>
                <w:rFonts w:hint="eastAsia" w:ascii="宋体" w:hAnsi="宋体" w:cs="宋体"/>
                <w:kern w:val="0"/>
                <w:sz w:val="20"/>
                <w:szCs w:val="20"/>
                <w:lang w:bidi="ar"/>
              </w:rPr>
              <w:t>满意率达到100%。</w:t>
            </w:r>
          </w:p>
        </w:tc>
        <w:tc>
          <w:tcPr>
            <w:tcW w:w="690"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5</w:t>
            </w:r>
          </w:p>
        </w:tc>
        <w:tc>
          <w:tcPr>
            <w:tcW w:w="93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r>
              <w:rPr>
                <w:rFonts w:hint="eastAsia" w:ascii="宋体" w:hAnsi="宋体" w:cs="宋体"/>
                <w:color w:val="000000"/>
                <w:sz w:val="20"/>
                <w:szCs w:val="20"/>
              </w:rPr>
              <w:t>5</w:t>
            </w:r>
          </w:p>
        </w:tc>
        <w:tc>
          <w:tcPr>
            <w:tcW w:w="149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327"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75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05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62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20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84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ascii="宋体" w:hAnsi="宋体" w:cs="宋体"/>
                <w:color w:val="000000"/>
                <w:sz w:val="20"/>
                <w:szCs w:val="20"/>
              </w:rPr>
            </w:pPr>
          </w:p>
        </w:tc>
        <w:tc>
          <w:tcPr>
            <w:tcW w:w="690"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93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49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327"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75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05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62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20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84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ascii="宋体" w:hAnsi="宋体" w:cs="宋体"/>
                <w:color w:val="000000"/>
                <w:sz w:val="20"/>
                <w:szCs w:val="20"/>
              </w:rPr>
            </w:pPr>
          </w:p>
        </w:tc>
        <w:tc>
          <w:tcPr>
            <w:tcW w:w="690"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93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49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409"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宋体" w:hAnsi="宋体" w:cs="宋体"/>
                <w:color w:val="000000"/>
                <w:sz w:val="20"/>
                <w:szCs w:val="20"/>
              </w:rPr>
            </w:pPr>
          </w:p>
        </w:tc>
        <w:tc>
          <w:tcPr>
            <w:tcW w:w="75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0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162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20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84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tLeast"/>
              <w:jc w:val="left"/>
              <w:rPr>
                <w:rFonts w:ascii="宋体" w:hAnsi="宋体" w:cs="宋体"/>
                <w:color w:val="000000"/>
                <w:sz w:val="20"/>
                <w:szCs w:val="20"/>
              </w:rPr>
            </w:pPr>
          </w:p>
        </w:tc>
        <w:tc>
          <w:tcPr>
            <w:tcW w:w="690" w:type="dxa"/>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93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c>
          <w:tcPr>
            <w:tcW w:w="149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tLeast"/>
              <w:jc w:val="center"/>
              <w:rPr>
                <w:rFonts w:ascii="宋体" w:hAnsi="宋体" w:cs="宋体"/>
                <w:color w:val="000000"/>
                <w:sz w:val="20"/>
                <w:szCs w:val="20"/>
              </w:rPr>
            </w:pPr>
          </w:p>
        </w:tc>
      </w:tr>
      <w:tr>
        <w:tblPrEx>
          <w:tblCellMar>
            <w:top w:w="0" w:type="dxa"/>
            <w:left w:w="108" w:type="dxa"/>
            <w:bottom w:w="0" w:type="dxa"/>
            <w:right w:w="108" w:type="dxa"/>
          </w:tblCellMar>
        </w:tblPrEx>
        <w:trPr>
          <w:trHeight w:val="362" w:hRule="atLeast"/>
          <w:jc w:val="center"/>
        </w:trPr>
        <w:tc>
          <w:tcPr>
            <w:tcW w:w="7162" w:type="dxa"/>
            <w:gridSpan w:val="14"/>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kern w:val="0"/>
                <w:sz w:val="20"/>
                <w:szCs w:val="20"/>
                <w:lang w:bidi="ar"/>
              </w:rPr>
            </w:pPr>
            <w:r>
              <w:rPr>
                <w:rFonts w:hint="eastAsia" w:ascii="宋体" w:hAnsi="宋体" w:cs="宋体"/>
                <w:kern w:val="0"/>
                <w:sz w:val="20"/>
                <w:szCs w:val="20"/>
                <w:lang w:bidi="ar"/>
              </w:rPr>
              <w:t>总分</w:t>
            </w:r>
          </w:p>
        </w:tc>
        <w:tc>
          <w:tcPr>
            <w:tcW w:w="6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kern w:val="0"/>
                <w:sz w:val="20"/>
                <w:szCs w:val="20"/>
                <w:lang w:bidi="ar"/>
              </w:rPr>
            </w:pPr>
            <w:r>
              <w:rPr>
                <w:rFonts w:hint="eastAsia" w:ascii="宋体" w:hAnsi="宋体" w:cs="宋体"/>
                <w:kern w:val="0"/>
                <w:sz w:val="20"/>
                <w:szCs w:val="20"/>
                <w:lang w:bidi="ar"/>
              </w:rPr>
              <w:t>100</w:t>
            </w:r>
          </w:p>
        </w:tc>
        <w:tc>
          <w:tcPr>
            <w:tcW w:w="93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kern w:val="0"/>
                <w:sz w:val="20"/>
                <w:szCs w:val="20"/>
                <w:lang w:bidi="ar"/>
              </w:rPr>
            </w:pPr>
          </w:p>
        </w:tc>
        <w:tc>
          <w:tcPr>
            <w:tcW w:w="149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kern w:val="0"/>
                <w:sz w:val="20"/>
                <w:szCs w:val="20"/>
                <w:lang w:bidi="ar"/>
              </w:rPr>
            </w:pPr>
          </w:p>
        </w:tc>
      </w:tr>
      <w:tr>
        <w:tblPrEx>
          <w:tblCellMar>
            <w:top w:w="0" w:type="dxa"/>
            <w:left w:w="108" w:type="dxa"/>
            <w:bottom w:w="0" w:type="dxa"/>
            <w:right w:w="108" w:type="dxa"/>
          </w:tblCellMar>
        </w:tblPrEx>
        <w:trPr>
          <w:trHeight w:val="567" w:hRule="atLeast"/>
          <w:jc w:val="center"/>
        </w:trPr>
        <w:tc>
          <w:tcPr>
            <w:tcW w:w="2488" w:type="dxa"/>
            <w:gridSpan w:val="5"/>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textAlignment w:val="center"/>
              <w:rPr>
                <w:rFonts w:ascii="宋体" w:hAnsi="宋体" w:cs="宋体"/>
                <w:sz w:val="20"/>
                <w:szCs w:val="20"/>
              </w:rPr>
            </w:pPr>
            <w:r>
              <w:rPr>
                <w:rFonts w:hint="eastAsia" w:ascii="宋体" w:hAnsi="宋体" w:cs="宋体"/>
                <w:kern w:val="0"/>
                <w:sz w:val="20"/>
                <w:szCs w:val="20"/>
                <w:lang w:bidi="ar"/>
              </w:rPr>
              <w:t>说明</w:t>
            </w:r>
          </w:p>
        </w:tc>
        <w:tc>
          <w:tcPr>
            <w:tcW w:w="7792" w:type="dxa"/>
            <w:gridSpan w:val="14"/>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left"/>
              <w:textAlignment w:val="center"/>
              <w:rPr>
                <w:rFonts w:ascii="宋体" w:hAnsi="宋体" w:cs="宋体"/>
                <w:sz w:val="20"/>
                <w:szCs w:val="20"/>
              </w:rPr>
            </w:pPr>
            <w:r>
              <w:rPr>
                <w:rFonts w:hint="eastAsia" w:ascii="宋体" w:hAnsi="宋体" w:cs="宋体"/>
                <w:kern w:val="0"/>
                <w:sz w:val="20"/>
                <w:szCs w:val="20"/>
                <w:lang w:bidi="ar"/>
              </w:rPr>
              <w:t>请在此处简要说明</w:t>
            </w:r>
            <w:r>
              <w:rPr>
                <w:rFonts w:hint="eastAsia" w:ascii="宋体" w:hAnsi="宋体" w:cs="宋体"/>
                <w:color w:val="000000"/>
                <w:kern w:val="0"/>
                <w:sz w:val="20"/>
                <w:szCs w:val="20"/>
                <w:lang w:bidi="ar"/>
              </w:rPr>
              <w:t>巡视、审计和财会监督中</w:t>
            </w:r>
            <w:r>
              <w:rPr>
                <w:rFonts w:hint="eastAsia" w:ascii="宋体" w:hAnsi="宋体" w:cs="宋体"/>
                <w:kern w:val="0"/>
                <w:sz w:val="20"/>
                <w:szCs w:val="20"/>
                <w:lang w:bidi="ar"/>
              </w:rPr>
              <w:t>发现的问题及其所涉及的金额，如没有请填无</w:t>
            </w:r>
            <w:r>
              <w:rPr>
                <w:rStyle w:val="7"/>
                <w:rFonts w:hint="default"/>
                <w:color w:val="auto"/>
                <w:lang w:bidi="ar"/>
              </w:rPr>
              <w:t>。</w:t>
            </w:r>
          </w:p>
        </w:tc>
      </w:tr>
      <w:tr>
        <w:tblPrEx>
          <w:tblCellMar>
            <w:top w:w="0" w:type="dxa"/>
            <w:left w:w="108" w:type="dxa"/>
            <w:bottom w:w="0" w:type="dxa"/>
            <w:right w:w="108" w:type="dxa"/>
          </w:tblCellMar>
        </w:tblPrEx>
        <w:trPr>
          <w:trHeight w:val="327" w:hRule="atLeast"/>
          <w:jc w:val="center"/>
        </w:trPr>
        <w:tc>
          <w:tcPr>
            <w:tcW w:w="10280" w:type="dxa"/>
            <w:gridSpan w:val="19"/>
            <w:tcBorders>
              <w:top w:val="nil"/>
              <w:left w:val="nil"/>
              <w:bottom w:val="nil"/>
              <w:right w:val="nil"/>
            </w:tcBorders>
            <w:vAlign w:val="center"/>
          </w:tcPr>
          <w:p>
            <w:pPr>
              <w:widowControl/>
              <w:spacing w:line="360" w:lineRule="exact"/>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注：1.资金使用单位按项目绩效目标填报，区级主管部门汇总时按区域绩效目标填报。</w:t>
            </w:r>
          </w:p>
        </w:tc>
      </w:tr>
      <w:tr>
        <w:tblPrEx>
          <w:tblCellMar>
            <w:top w:w="0" w:type="dxa"/>
            <w:left w:w="108" w:type="dxa"/>
            <w:bottom w:w="0" w:type="dxa"/>
            <w:right w:w="108" w:type="dxa"/>
          </w:tblCellMar>
        </w:tblPrEx>
        <w:trPr>
          <w:trHeight w:val="638" w:hRule="atLeast"/>
          <w:jc w:val="center"/>
        </w:trPr>
        <w:tc>
          <w:tcPr>
            <w:tcW w:w="10280" w:type="dxa"/>
            <w:gridSpan w:val="19"/>
            <w:tcBorders>
              <w:top w:val="nil"/>
              <w:left w:val="nil"/>
              <w:bottom w:val="nil"/>
              <w:right w:val="nil"/>
            </w:tcBorders>
            <w:vAlign w:val="center"/>
          </w:tcPr>
          <w:p>
            <w:pPr>
              <w:widowControl/>
              <w:spacing w:line="360" w:lineRule="exact"/>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    2.其他资金包括与上级转移支付资金、区级财政资金共同投入到同一项目的自有资金、社会资金，以及以前年度的结转结余资金等。</w:t>
            </w:r>
          </w:p>
        </w:tc>
      </w:tr>
      <w:tr>
        <w:tblPrEx>
          <w:tblCellMar>
            <w:top w:w="0" w:type="dxa"/>
            <w:left w:w="108" w:type="dxa"/>
            <w:bottom w:w="0" w:type="dxa"/>
            <w:right w:w="108" w:type="dxa"/>
          </w:tblCellMar>
        </w:tblPrEx>
        <w:trPr>
          <w:trHeight w:val="317" w:hRule="atLeast"/>
          <w:jc w:val="center"/>
        </w:trPr>
        <w:tc>
          <w:tcPr>
            <w:tcW w:w="10280" w:type="dxa"/>
            <w:gridSpan w:val="19"/>
            <w:tcBorders>
              <w:top w:val="nil"/>
              <w:left w:val="nil"/>
              <w:bottom w:val="nil"/>
              <w:right w:val="nil"/>
            </w:tcBorders>
            <w:vAlign w:val="center"/>
          </w:tcPr>
          <w:p>
            <w:pPr>
              <w:widowControl/>
              <w:spacing w:line="360" w:lineRule="exact"/>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    3.全年执行数是指按照国库集中支付制度要求所形成的实际支出。</w:t>
            </w:r>
          </w:p>
        </w:tc>
      </w:tr>
      <w:tr>
        <w:tblPrEx>
          <w:tblCellMar>
            <w:top w:w="0" w:type="dxa"/>
            <w:left w:w="108" w:type="dxa"/>
            <w:bottom w:w="0" w:type="dxa"/>
            <w:right w:w="108" w:type="dxa"/>
          </w:tblCellMar>
        </w:tblPrEx>
        <w:trPr>
          <w:trHeight w:val="317" w:hRule="atLeast"/>
          <w:jc w:val="center"/>
        </w:trPr>
        <w:tc>
          <w:tcPr>
            <w:tcW w:w="10280" w:type="dxa"/>
            <w:gridSpan w:val="19"/>
            <w:tcBorders>
              <w:top w:val="nil"/>
              <w:left w:val="nil"/>
              <w:bottom w:val="nil"/>
              <w:right w:val="nil"/>
            </w:tcBorders>
            <w:vAlign w:val="center"/>
          </w:tcPr>
          <w:p>
            <w:pPr>
              <w:widowControl/>
              <w:spacing w:line="360" w:lineRule="exact"/>
              <w:jc w:val="left"/>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 xml:space="preserve">    </w:t>
            </w:r>
            <w:r>
              <w:rPr>
                <w:rFonts w:hint="eastAsia" w:ascii="宋体" w:hAnsi="宋体" w:cs="宋体"/>
                <w:kern w:val="0"/>
                <w:sz w:val="20"/>
                <w:szCs w:val="20"/>
                <w:lang w:bidi="ar"/>
              </w:rPr>
              <w:t>4.区</w:t>
            </w:r>
            <w:r>
              <w:rPr>
                <w:rFonts w:hint="eastAsia" w:ascii="宋体" w:hAnsi="宋体" w:cs="宋体"/>
                <w:color w:val="000000"/>
                <w:kern w:val="0"/>
                <w:sz w:val="20"/>
                <w:szCs w:val="20"/>
                <w:lang w:bidi="ar"/>
              </w:rPr>
              <w:t>级主管部门商区财政局各预算管理科室确定各转移支付绩效指标的具体分值权重和评价标准。原则上，一级指标分值设置为：资金投入情况10分、资金管理情况40分、产出指标30分、效益指标15分、满意度指标5分。如有特殊情况，除资金投入情况、资金管理情况外，其他指标分值权重可适当调整（总分应为100分）。巡视、审计和财会监督中发现问题的应酌情扣分。</w:t>
            </w:r>
          </w:p>
        </w:tc>
      </w:tr>
      <w:tr>
        <w:tblPrEx>
          <w:tblCellMar>
            <w:top w:w="0" w:type="dxa"/>
            <w:left w:w="108" w:type="dxa"/>
            <w:bottom w:w="0" w:type="dxa"/>
            <w:right w:w="108" w:type="dxa"/>
          </w:tblCellMar>
        </w:tblPrEx>
        <w:trPr>
          <w:trHeight w:val="317" w:hRule="atLeast"/>
          <w:jc w:val="center"/>
        </w:trPr>
        <w:tc>
          <w:tcPr>
            <w:tcW w:w="10280" w:type="dxa"/>
            <w:gridSpan w:val="19"/>
            <w:tcBorders>
              <w:top w:val="nil"/>
              <w:left w:val="nil"/>
              <w:bottom w:val="nil"/>
              <w:right w:val="nil"/>
            </w:tcBorders>
            <w:vAlign w:val="center"/>
          </w:tcPr>
          <w:p>
            <w:pPr>
              <w:widowControl/>
              <w:spacing w:line="360" w:lineRule="exact"/>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    5.定量指标，地方各级主管部门对资金使用单位填写的实际完成值汇总时，绝对值直接累加计算；相对值采用区域或整体统计数据，不能采用区域或整体统计数据的，以资金额度为权重加权平均计算。</w:t>
            </w:r>
          </w:p>
        </w:tc>
      </w:tr>
      <w:tr>
        <w:tblPrEx>
          <w:tblCellMar>
            <w:top w:w="0" w:type="dxa"/>
            <w:left w:w="108" w:type="dxa"/>
            <w:bottom w:w="0" w:type="dxa"/>
            <w:right w:w="108" w:type="dxa"/>
          </w:tblCellMar>
        </w:tblPrEx>
        <w:trPr>
          <w:trHeight w:val="634" w:hRule="atLeast"/>
          <w:jc w:val="center"/>
        </w:trPr>
        <w:tc>
          <w:tcPr>
            <w:tcW w:w="10280" w:type="dxa"/>
            <w:gridSpan w:val="19"/>
            <w:tcBorders>
              <w:top w:val="nil"/>
              <w:left w:val="nil"/>
              <w:bottom w:val="nil"/>
              <w:right w:val="nil"/>
            </w:tcBorders>
            <w:vAlign w:val="center"/>
          </w:tcPr>
          <w:p>
            <w:pPr>
              <w:widowControl/>
              <w:spacing w:line="360" w:lineRule="exact"/>
              <w:jc w:val="left"/>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 xml:space="preserve">    6.定性指标。资金使用单位分别按照90％（含）-100％、80％（含）-90％、60％（含）-80％、0％-60％合理填写实际完成值。地方各级主管部门汇总时，按照资金额度加权平均计算完成值。</w:t>
            </w:r>
          </w:p>
        </w:tc>
      </w:tr>
      <w:tr>
        <w:tblPrEx>
          <w:tblCellMar>
            <w:top w:w="0" w:type="dxa"/>
            <w:left w:w="108" w:type="dxa"/>
            <w:bottom w:w="0" w:type="dxa"/>
            <w:right w:w="108" w:type="dxa"/>
          </w:tblCellMar>
        </w:tblPrEx>
        <w:trPr>
          <w:trHeight w:val="634" w:hRule="atLeast"/>
          <w:jc w:val="center"/>
        </w:trPr>
        <w:tc>
          <w:tcPr>
            <w:tcW w:w="10280" w:type="dxa"/>
            <w:gridSpan w:val="19"/>
            <w:tcBorders>
              <w:top w:val="nil"/>
              <w:left w:val="nil"/>
              <w:bottom w:val="nil"/>
              <w:right w:val="nil"/>
            </w:tcBorders>
            <w:vAlign w:val="center"/>
          </w:tcPr>
          <w:p>
            <w:pPr>
              <w:widowControl/>
              <w:spacing w:line="360" w:lineRule="exact"/>
              <w:jc w:val="left"/>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 xml:space="preserve">    7.</w:t>
            </w:r>
            <w:r>
              <w:rPr>
                <w:rFonts w:hint="eastAsia" w:ascii="宋体" w:hAnsi="宋体" w:cs="宋体"/>
                <w:sz w:val="20"/>
                <w:szCs w:val="20"/>
              </w:rPr>
              <w:t>转移支付类别，专项转移支付按照《北京市专项转移支付管理办法》（京财预〔2016〕947号）规定，分为共担类、委托类、引导类、救济类、应急类；重点发展类转移支付则填写重点发展类。</w:t>
            </w:r>
          </w:p>
        </w:tc>
      </w:tr>
      <w:tr>
        <w:tblPrEx>
          <w:tblCellMar>
            <w:top w:w="0" w:type="dxa"/>
            <w:left w:w="108" w:type="dxa"/>
            <w:bottom w:w="0" w:type="dxa"/>
            <w:right w:w="108" w:type="dxa"/>
          </w:tblCellMar>
        </w:tblPrEx>
        <w:trPr>
          <w:trHeight w:val="634" w:hRule="atLeast"/>
          <w:jc w:val="center"/>
        </w:trPr>
        <w:tc>
          <w:tcPr>
            <w:tcW w:w="10280" w:type="dxa"/>
            <w:gridSpan w:val="19"/>
            <w:tcBorders>
              <w:top w:val="nil"/>
              <w:left w:val="nil"/>
              <w:bottom w:val="nil"/>
              <w:right w:val="nil"/>
            </w:tcBorders>
            <w:vAlign w:val="center"/>
          </w:tcPr>
          <w:p>
            <w:pPr>
              <w:widowControl/>
              <w:spacing w:line="360" w:lineRule="exact"/>
              <w:jc w:val="left"/>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 xml:space="preserve">    8.未完成绩效目标或超过绩效指标值较多的原因和改进措施。对未完成绩效目标或超过年初设定的绩效指标值较多(30％及以上)的原因逐条进行分析，并提出改进措施。</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A341B1A"/>
    <w:rsid w:val="001A33E2"/>
    <w:rsid w:val="00300C3A"/>
    <w:rsid w:val="0037546E"/>
    <w:rsid w:val="00495FD4"/>
    <w:rsid w:val="00551B85"/>
    <w:rsid w:val="005D0222"/>
    <w:rsid w:val="0068724F"/>
    <w:rsid w:val="006A05F8"/>
    <w:rsid w:val="008B5AE4"/>
    <w:rsid w:val="008F1C1D"/>
    <w:rsid w:val="00921164"/>
    <w:rsid w:val="009B38D7"/>
    <w:rsid w:val="00F60F73"/>
    <w:rsid w:val="026C22B5"/>
    <w:rsid w:val="19087CA4"/>
    <w:rsid w:val="4CB8363A"/>
    <w:rsid w:val="6A341B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8"/>
    <w:qFormat/>
    <w:uiPriority w:val="0"/>
    <w:pPr>
      <w:tabs>
        <w:tab w:val="center" w:pos="4153"/>
        <w:tab w:val="right" w:pos="8306"/>
      </w:tabs>
      <w:snapToGrid w:val="0"/>
      <w:jc w:val="center"/>
    </w:pPr>
    <w:rPr>
      <w:sz w:val="18"/>
      <w:szCs w:val="18"/>
    </w:rPr>
  </w:style>
  <w:style w:type="character" w:customStyle="1" w:styleId="7">
    <w:name w:val="font81"/>
    <w:basedOn w:val="6"/>
    <w:qFormat/>
    <w:uiPriority w:val="0"/>
    <w:rPr>
      <w:rFonts w:hint="eastAsia" w:ascii="宋体" w:hAnsi="宋体" w:eastAsia="宋体" w:cs="宋体"/>
      <w:color w:val="000000"/>
      <w:sz w:val="20"/>
      <w:szCs w:val="20"/>
      <w:u w:val="none"/>
    </w:rPr>
  </w:style>
  <w:style w:type="character" w:customStyle="1" w:styleId="8">
    <w:name w:val="页眉 字符"/>
    <w:basedOn w:val="6"/>
    <w:link w:val="4"/>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317</Words>
  <Characters>1809</Characters>
  <Lines>15</Lines>
  <Paragraphs>4</Paragraphs>
  <TotalTime>188</TotalTime>
  <ScaleCrop>false</ScaleCrop>
  <LinksUpToDate>false</LinksUpToDate>
  <CharactersWithSpaces>2122</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2024-05-08T08:40:00Z</dcterms:created>
  <dc:creator>Administrator</dc:creator>
  <cp:lastModifiedBy>Administrator</cp:lastModifiedBy>
  <dcterms:modified xsi:type="dcterms:W3CDTF">2024-09-10T11:26:38Z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