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firstLine="0" w:firstLineChars="0"/>
        <w:jc w:val="center"/>
        <w:outlineLvl w:val="9"/>
        <w:rPr>
          <w:rFonts w:hint="eastAsia" w:ascii="宋体" w:hAnsi="宋体" w:eastAsia="宋体" w:cs="宋体"/>
          <w:b/>
          <w:bCs/>
          <w:color w:val="auto"/>
          <w:kern w:val="0"/>
          <w:sz w:val="32"/>
          <w:szCs w:val="32"/>
        </w:rPr>
      </w:pPr>
    </w:p>
    <w:p>
      <w:pPr>
        <w:widowControl/>
        <w:spacing w:line="360" w:lineRule="auto"/>
        <w:ind w:firstLine="0" w:firstLineChars="0"/>
        <w:jc w:val="center"/>
        <w:outlineLvl w:val="9"/>
        <w:rPr>
          <w:rFonts w:hint="eastAsia" w:ascii="宋体" w:hAnsi="宋体" w:eastAsia="宋体" w:cs="宋体"/>
          <w:b/>
          <w:bCs/>
          <w:color w:val="auto"/>
          <w:kern w:val="0"/>
          <w:sz w:val="32"/>
          <w:szCs w:val="32"/>
        </w:rPr>
      </w:pPr>
      <w:r>
        <w:rPr>
          <w:rFonts w:hint="eastAsia" w:ascii="宋体" w:hAnsi="宋体" w:eastAsia="宋体" w:cs="宋体"/>
          <w:b/>
          <w:bCs/>
          <w:color w:val="auto"/>
          <w:kern w:val="0"/>
          <w:sz w:val="32"/>
          <w:szCs w:val="32"/>
        </w:rPr>
        <w:t>自评项目汇总表</w:t>
      </w:r>
    </w:p>
    <w:p>
      <w:pPr>
        <w:pStyle w:val="2"/>
        <w:rPr>
          <w:rFonts w:hint="eastAsia"/>
        </w:rPr>
      </w:pPr>
    </w:p>
    <w:p>
      <w:pPr>
        <w:widowControl/>
        <w:spacing w:line="360" w:lineRule="auto"/>
        <w:ind w:firstLine="0" w:firstLineChars="0"/>
        <w:jc w:val="left"/>
        <w:outlineLvl w:val="9"/>
        <w:rPr>
          <w:rFonts w:hint="eastAsia" w:ascii="宋体" w:hAnsi="宋体" w:eastAsia="宋体" w:cs="宋体"/>
          <w:color w:val="auto"/>
          <w:kern w:val="0"/>
          <w:sz w:val="22"/>
          <w:szCs w:val="24"/>
          <w:lang w:eastAsia="zh-CN"/>
        </w:rPr>
      </w:pPr>
      <w:r>
        <w:rPr>
          <w:rFonts w:hint="eastAsia" w:ascii="宋体" w:hAnsi="宋体" w:eastAsia="宋体" w:cs="宋体"/>
          <w:color w:val="auto"/>
          <w:kern w:val="0"/>
          <w:sz w:val="22"/>
          <w:szCs w:val="24"/>
        </w:rPr>
        <w:t>部门名称：</w:t>
      </w:r>
      <w:r>
        <w:rPr>
          <w:rFonts w:hint="eastAsia" w:ascii="宋体" w:hAnsi="宋体" w:cs="宋体"/>
          <w:color w:val="auto"/>
          <w:kern w:val="0"/>
          <w:sz w:val="22"/>
          <w:szCs w:val="24"/>
          <w:lang w:eastAsia="zh-CN"/>
        </w:rPr>
        <w:t>北京市通州区科学技术委员会</w:t>
      </w:r>
    </w:p>
    <w:tbl>
      <w:tblPr>
        <w:tblStyle w:val="10"/>
        <w:tblW w:w="90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3"/>
        <w:gridCol w:w="1650"/>
        <w:gridCol w:w="1298"/>
        <w:gridCol w:w="886"/>
        <w:gridCol w:w="850"/>
        <w:gridCol w:w="851"/>
        <w:gridCol w:w="845"/>
        <w:gridCol w:w="1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783" w:type="dxa"/>
            <w:vMerge w:val="restart"/>
            <w:noWrap w:val="0"/>
            <w:vAlign w:val="top"/>
          </w:tcPr>
          <w:p>
            <w:pPr>
              <w:spacing w:line="300" w:lineRule="exact"/>
              <w:ind w:left="0" w:firstLine="0" w:firstLineChars="0"/>
              <w:jc w:val="center"/>
              <w:outlineLvl w:val="0"/>
              <w:rPr>
                <w:rFonts w:hint="eastAsia" w:ascii="宋体" w:hAnsi="宋体" w:eastAsia="宋体" w:cs="宋体"/>
                <w:color w:val="auto"/>
                <w:kern w:val="0"/>
                <w:sz w:val="15"/>
                <w:szCs w:val="16"/>
              </w:rPr>
            </w:pPr>
          </w:p>
          <w:p>
            <w:pPr>
              <w:spacing w:line="300" w:lineRule="exact"/>
              <w:ind w:left="0"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序号</w:t>
            </w:r>
          </w:p>
        </w:tc>
        <w:tc>
          <w:tcPr>
            <w:tcW w:w="1650" w:type="dxa"/>
            <w:vMerge w:val="restart"/>
            <w:noWrap w:val="0"/>
            <w:vAlign w:val="top"/>
          </w:tcPr>
          <w:p>
            <w:pPr>
              <w:spacing w:line="300" w:lineRule="exact"/>
              <w:ind w:left="0" w:firstLine="0" w:firstLineChars="0"/>
              <w:jc w:val="both"/>
              <w:outlineLvl w:val="0"/>
              <w:rPr>
                <w:rFonts w:hint="eastAsia" w:ascii="宋体" w:hAnsi="宋体" w:eastAsia="宋体" w:cs="宋体"/>
                <w:color w:val="auto"/>
                <w:kern w:val="0"/>
                <w:sz w:val="22"/>
                <w:szCs w:val="24"/>
              </w:rPr>
            </w:pPr>
          </w:p>
          <w:p>
            <w:pPr>
              <w:spacing w:line="300" w:lineRule="exact"/>
              <w:ind w:left="0"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项目名称</w:t>
            </w:r>
          </w:p>
        </w:tc>
        <w:tc>
          <w:tcPr>
            <w:tcW w:w="1298" w:type="dxa"/>
            <w:vMerge w:val="restart"/>
            <w:noWrap w:val="0"/>
            <w:vAlign w:val="top"/>
          </w:tcPr>
          <w:p>
            <w:pPr>
              <w:spacing w:line="440" w:lineRule="exact"/>
              <w:ind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项目金额(万元)</w:t>
            </w:r>
          </w:p>
        </w:tc>
        <w:tc>
          <w:tcPr>
            <w:tcW w:w="3432" w:type="dxa"/>
            <w:gridSpan w:val="4"/>
            <w:noWrap w:val="0"/>
            <w:vAlign w:val="top"/>
          </w:tcPr>
          <w:p>
            <w:pPr>
              <w:spacing w:line="360" w:lineRule="exact"/>
              <w:ind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评价结果</w:t>
            </w:r>
          </w:p>
        </w:tc>
        <w:tc>
          <w:tcPr>
            <w:tcW w:w="1917" w:type="dxa"/>
            <w:vMerge w:val="restart"/>
            <w:noWrap w:val="0"/>
            <w:vAlign w:val="top"/>
          </w:tcPr>
          <w:p>
            <w:pPr>
              <w:spacing w:line="320" w:lineRule="exact"/>
              <w:ind w:firstLine="660" w:firstLineChars="300"/>
              <w:jc w:val="both"/>
              <w:outlineLvl w:val="0"/>
              <w:rPr>
                <w:rFonts w:hint="eastAsia" w:ascii="宋体" w:hAnsi="宋体" w:eastAsia="宋体" w:cs="宋体"/>
                <w:color w:val="auto"/>
                <w:kern w:val="0"/>
                <w:sz w:val="22"/>
                <w:szCs w:val="24"/>
              </w:rPr>
            </w:pPr>
          </w:p>
          <w:p>
            <w:pPr>
              <w:spacing w:line="320" w:lineRule="exact"/>
              <w:ind w:firstLine="660" w:firstLineChars="300"/>
              <w:jc w:val="both"/>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83" w:type="dxa"/>
            <w:vMerge w:val="continue"/>
            <w:noWrap w:val="0"/>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1650" w:type="dxa"/>
            <w:vMerge w:val="continue"/>
            <w:noWrap w:val="0"/>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1298" w:type="dxa"/>
            <w:vMerge w:val="continue"/>
            <w:noWrap w:val="0"/>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86" w:type="dxa"/>
            <w:noWrap w:val="0"/>
            <w:vAlign w:val="top"/>
          </w:tcPr>
          <w:p>
            <w:pPr>
              <w:spacing w:line="400" w:lineRule="exact"/>
              <w:ind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优</w:t>
            </w:r>
          </w:p>
        </w:tc>
        <w:tc>
          <w:tcPr>
            <w:tcW w:w="850" w:type="dxa"/>
            <w:noWrap w:val="0"/>
            <w:vAlign w:val="top"/>
          </w:tcPr>
          <w:p>
            <w:pPr>
              <w:spacing w:line="400" w:lineRule="exact"/>
              <w:ind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良</w:t>
            </w:r>
          </w:p>
        </w:tc>
        <w:tc>
          <w:tcPr>
            <w:tcW w:w="851" w:type="dxa"/>
            <w:noWrap w:val="0"/>
            <w:vAlign w:val="top"/>
          </w:tcPr>
          <w:p>
            <w:pPr>
              <w:spacing w:line="400" w:lineRule="exact"/>
              <w:ind w:firstLine="0" w:firstLineChars="0"/>
              <w:jc w:val="center"/>
              <w:outlineLvl w:val="0"/>
              <w:rPr>
                <w:rFonts w:hint="eastAsia" w:ascii="宋体" w:hAnsi="宋体" w:eastAsia="宋体" w:cs="宋体"/>
                <w:color w:val="auto"/>
                <w:kern w:val="0"/>
                <w:sz w:val="22"/>
                <w:szCs w:val="24"/>
                <w:lang w:eastAsia="zh-CN"/>
              </w:rPr>
            </w:pPr>
            <w:r>
              <w:rPr>
                <w:rFonts w:hint="eastAsia" w:ascii="宋体" w:hAnsi="宋体" w:cs="宋体"/>
                <w:color w:val="auto"/>
                <w:kern w:val="0"/>
                <w:sz w:val="22"/>
                <w:szCs w:val="24"/>
                <w:lang w:eastAsia="zh-CN"/>
              </w:rPr>
              <w:t>中</w:t>
            </w:r>
          </w:p>
        </w:tc>
        <w:tc>
          <w:tcPr>
            <w:tcW w:w="845" w:type="dxa"/>
            <w:noWrap w:val="0"/>
            <w:vAlign w:val="top"/>
          </w:tcPr>
          <w:p>
            <w:pPr>
              <w:spacing w:line="400" w:lineRule="exact"/>
              <w:ind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差</w:t>
            </w:r>
          </w:p>
        </w:tc>
        <w:tc>
          <w:tcPr>
            <w:tcW w:w="1917" w:type="dxa"/>
            <w:vMerge w:val="continue"/>
            <w:noWrap w:val="0"/>
            <w:vAlign w:val="top"/>
          </w:tcPr>
          <w:p>
            <w:pPr>
              <w:spacing w:line="600" w:lineRule="exact"/>
              <w:ind w:firstLine="440" w:firstLineChars="200"/>
              <w:outlineLvl w:val="0"/>
              <w:rPr>
                <w:rFonts w:hint="eastAsia" w:ascii="宋体" w:hAnsi="宋体" w:eastAsia="宋体" w:cs="宋体"/>
                <w:color w:val="auto"/>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783" w:type="dxa"/>
            <w:noWrap w:val="0"/>
            <w:vAlign w:val="top"/>
          </w:tcPr>
          <w:p>
            <w:pPr>
              <w:spacing w:line="440" w:lineRule="exact"/>
              <w:ind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1</w:t>
            </w:r>
          </w:p>
        </w:tc>
        <w:tc>
          <w:tcPr>
            <w:tcW w:w="1650" w:type="dxa"/>
            <w:noWrap w:val="0"/>
            <w:vAlign w:val="top"/>
          </w:tcPr>
          <w:p>
            <w:pPr>
              <w:spacing w:line="440" w:lineRule="exact"/>
              <w:ind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eastAsia="zh-CN"/>
              </w:rPr>
              <w:t>科技创新资金</w:t>
            </w:r>
          </w:p>
        </w:tc>
        <w:tc>
          <w:tcPr>
            <w:tcW w:w="1298" w:type="dxa"/>
            <w:noWrap w:val="0"/>
            <w:vAlign w:val="top"/>
          </w:tcPr>
          <w:p>
            <w:pPr>
              <w:spacing w:line="600" w:lineRule="exact"/>
              <w:jc w:val="center"/>
              <w:outlineLvl w:val="0"/>
              <w:rPr>
                <w:rFonts w:hint="default" w:ascii="宋体" w:hAnsi="宋体" w:eastAsia="宋体" w:cs="宋体"/>
                <w:color w:val="auto"/>
                <w:kern w:val="0"/>
                <w:sz w:val="22"/>
                <w:szCs w:val="24"/>
                <w:lang w:val="en-US" w:eastAsia="zh-CN"/>
              </w:rPr>
            </w:pPr>
            <w:r>
              <w:rPr>
                <w:rFonts w:hint="eastAsia" w:ascii="宋体" w:hAnsi="宋体" w:cs="宋体"/>
                <w:color w:val="auto"/>
                <w:kern w:val="0"/>
                <w:sz w:val="22"/>
                <w:szCs w:val="24"/>
                <w:lang w:val="en-US" w:eastAsia="zh-CN"/>
              </w:rPr>
              <w:t>4000</w:t>
            </w:r>
          </w:p>
        </w:tc>
        <w:tc>
          <w:tcPr>
            <w:tcW w:w="886" w:type="dxa"/>
            <w:noWrap w:val="0"/>
            <w:vAlign w:val="top"/>
          </w:tcPr>
          <w:p>
            <w:pPr>
              <w:spacing w:line="600" w:lineRule="exact"/>
              <w:jc w:val="center"/>
              <w:outlineLvl w:val="0"/>
              <w:rPr>
                <w:rFonts w:hint="default" w:ascii="宋体" w:hAnsi="宋体" w:cs="宋体"/>
                <w:color w:val="auto"/>
                <w:kern w:val="0"/>
                <w:sz w:val="22"/>
                <w:szCs w:val="24"/>
                <w:lang w:val="en-US" w:eastAsia="zh-CN"/>
              </w:rPr>
            </w:pPr>
            <w:r>
              <w:rPr>
                <w:rFonts w:hint="eastAsia" w:ascii="宋体" w:hAnsi="宋体" w:cs="宋体"/>
                <w:color w:val="auto"/>
                <w:kern w:val="0"/>
                <w:sz w:val="22"/>
                <w:szCs w:val="24"/>
                <w:lang w:val="en-US" w:eastAsia="zh-CN"/>
              </w:rPr>
              <w:t>98</w:t>
            </w:r>
          </w:p>
        </w:tc>
        <w:tc>
          <w:tcPr>
            <w:tcW w:w="850" w:type="dxa"/>
            <w:noWrap w:val="0"/>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51" w:type="dxa"/>
            <w:noWrap w:val="0"/>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45" w:type="dxa"/>
            <w:noWrap w:val="0"/>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1917" w:type="dxa"/>
            <w:noWrap w:val="0"/>
            <w:vAlign w:val="top"/>
          </w:tcPr>
          <w:p>
            <w:pPr>
              <w:spacing w:line="240" w:lineRule="auto"/>
              <w:jc w:val="both"/>
              <w:outlineLvl w:val="0"/>
              <w:rPr>
                <w:rFonts w:hint="default" w:ascii="宋体" w:hAnsi="宋体" w:eastAsia="宋体" w:cs="宋体"/>
                <w:color w:val="auto"/>
                <w:kern w:val="0"/>
                <w:sz w:val="22"/>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783" w:type="dxa"/>
            <w:noWrap w:val="0"/>
            <w:vAlign w:val="top"/>
          </w:tcPr>
          <w:p>
            <w:pPr>
              <w:spacing w:line="440" w:lineRule="exact"/>
              <w:ind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2</w:t>
            </w:r>
          </w:p>
        </w:tc>
        <w:tc>
          <w:tcPr>
            <w:tcW w:w="1650" w:type="dxa"/>
            <w:noWrap w:val="0"/>
            <w:vAlign w:val="top"/>
          </w:tcPr>
          <w:p>
            <w:pPr>
              <w:spacing w:line="600" w:lineRule="exact"/>
              <w:outlineLvl w:val="0"/>
              <w:rPr>
                <w:rFonts w:hint="eastAsia" w:ascii="宋体" w:hAnsi="宋体" w:eastAsia="宋体" w:cs="宋体"/>
                <w:color w:val="auto"/>
                <w:kern w:val="0"/>
                <w:sz w:val="22"/>
                <w:szCs w:val="24"/>
                <w:lang w:eastAsia="zh-CN"/>
              </w:rPr>
            </w:pPr>
            <w:r>
              <w:rPr>
                <w:rFonts w:hint="eastAsia" w:ascii="宋体" w:hAnsi="宋体" w:cs="宋体"/>
                <w:color w:val="auto"/>
                <w:kern w:val="0"/>
                <w:sz w:val="22"/>
                <w:szCs w:val="24"/>
                <w:lang w:eastAsia="zh-CN"/>
              </w:rPr>
              <w:t>科学事业费</w:t>
            </w:r>
          </w:p>
        </w:tc>
        <w:tc>
          <w:tcPr>
            <w:tcW w:w="1298" w:type="dxa"/>
            <w:noWrap w:val="0"/>
            <w:vAlign w:val="top"/>
          </w:tcPr>
          <w:p>
            <w:pPr>
              <w:spacing w:line="600" w:lineRule="exact"/>
              <w:jc w:val="center"/>
              <w:outlineLvl w:val="0"/>
              <w:rPr>
                <w:rFonts w:hint="default" w:ascii="宋体" w:hAnsi="宋体" w:eastAsia="宋体" w:cs="宋体"/>
                <w:color w:val="auto"/>
                <w:kern w:val="0"/>
                <w:sz w:val="22"/>
                <w:szCs w:val="24"/>
                <w:lang w:val="en-US" w:eastAsia="zh-CN"/>
              </w:rPr>
            </w:pPr>
            <w:r>
              <w:rPr>
                <w:rFonts w:hint="eastAsia" w:ascii="宋体" w:hAnsi="宋体" w:cs="宋体"/>
                <w:color w:val="auto"/>
                <w:kern w:val="0"/>
                <w:sz w:val="22"/>
                <w:szCs w:val="24"/>
                <w:lang w:val="en-US" w:eastAsia="zh-CN"/>
              </w:rPr>
              <w:t>85.21</w:t>
            </w:r>
          </w:p>
        </w:tc>
        <w:tc>
          <w:tcPr>
            <w:tcW w:w="886" w:type="dxa"/>
            <w:noWrap w:val="0"/>
            <w:vAlign w:val="top"/>
          </w:tcPr>
          <w:p>
            <w:pPr>
              <w:spacing w:line="600" w:lineRule="exact"/>
              <w:jc w:val="center"/>
              <w:outlineLvl w:val="0"/>
              <w:rPr>
                <w:rFonts w:hint="default" w:ascii="宋体" w:hAnsi="宋体" w:cs="宋体"/>
                <w:color w:val="auto"/>
                <w:kern w:val="0"/>
                <w:sz w:val="22"/>
                <w:szCs w:val="24"/>
                <w:lang w:val="en-US" w:eastAsia="zh-CN"/>
              </w:rPr>
            </w:pPr>
            <w:r>
              <w:rPr>
                <w:rFonts w:hint="eastAsia" w:ascii="宋体" w:hAnsi="宋体" w:cs="宋体"/>
                <w:color w:val="auto"/>
                <w:kern w:val="0"/>
                <w:sz w:val="22"/>
                <w:szCs w:val="24"/>
                <w:lang w:val="en-US" w:eastAsia="zh-CN"/>
              </w:rPr>
              <w:t>98</w:t>
            </w:r>
            <w:bookmarkStart w:id="0" w:name="_GoBack"/>
            <w:bookmarkEnd w:id="0"/>
          </w:p>
        </w:tc>
        <w:tc>
          <w:tcPr>
            <w:tcW w:w="850" w:type="dxa"/>
            <w:noWrap w:val="0"/>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51" w:type="dxa"/>
            <w:noWrap w:val="0"/>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45" w:type="dxa"/>
            <w:noWrap w:val="0"/>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1917" w:type="dxa"/>
            <w:noWrap w:val="0"/>
            <w:vAlign w:val="top"/>
          </w:tcPr>
          <w:p>
            <w:pPr>
              <w:spacing w:line="600" w:lineRule="exact"/>
              <w:ind w:firstLine="440" w:firstLineChars="200"/>
              <w:outlineLvl w:val="0"/>
              <w:rPr>
                <w:rFonts w:hint="eastAsia" w:ascii="宋体" w:hAnsi="宋体" w:eastAsia="宋体" w:cs="宋体"/>
                <w:color w:val="auto"/>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783" w:type="dxa"/>
            <w:noWrap w:val="0"/>
            <w:vAlign w:val="top"/>
          </w:tcPr>
          <w:p>
            <w:pPr>
              <w:spacing w:line="440" w:lineRule="exact"/>
              <w:ind w:firstLine="0" w:firstLineChars="0"/>
              <w:jc w:val="center"/>
              <w:outlineLvl w:val="0"/>
              <w:rPr>
                <w:rFonts w:hint="eastAsia" w:ascii="宋体" w:hAnsi="宋体" w:eastAsia="宋体" w:cs="宋体"/>
                <w:color w:val="auto"/>
                <w:kern w:val="0"/>
                <w:sz w:val="22"/>
                <w:szCs w:val="24"/>
                <w:lang w:eastAsia="zh-CN"/>
              </w:rPr>
            </w:pPr>
            <w:r>
              <w:rPr>
                <w:rFonts w:hint="eastAsia" w:ascii="宋体" w:hAnsi="宋体" w:cs="宋体"/>
                <w:color w:val="auto"/>
                <w:kern w:val="0"/>
                <w:sz w:val="22"/>
                <w:szCs w:val="24"/>
                <w:lang w:val="en-US" w:eastAsia="zh-CN"/>
              </w:rPr>
              <w:t>3</w:t>
            </w:r>
          </w:p>
        </w:tc>
        <w:tc>
          <w:tcPr>
            <w:tcW w:w="1650" w:type="dxa"/>
            <w:noWrap w:val="0"/>
            <w:vAlign w:val="top"/>
          </w:tcPr>
          <w:p>
            <w:pPr>
              <w:spacing w:line="600" w:lineRule="exact"/>
              <w:jc w:val="both"/>
              <w:outlineLvl w:val="0"/>
              <w:rPr>
                <w:rFonts w:hint="eastAsia" w:ascii="宋体" w:hAnsi="宋体" w:eastAsia="宋体" w:cs="宋体"/>
                <w:color w:val="auto"/>
                <w:kern w:val="0"/>
                <w:sz w:val="22"/>
                <w:szCs w:val="24"/>
                <w:lang w:eastAsia="zh-CN"/>
              </w:rPr>
            </w:pPr>
            <w:r>
              <w:rPr>
                <w:rFonts w:hint="eastAsia" w:ascii="宋体" w:hAnsi="宋体" w:cs="宋体"/>
                <w:color w:val="auto"/>
                <w:kern w:val="0"/>
                <w:sz w:val="22"/>
                <w:szCs w:val="24"/>
                <w:lang w:eastAsia="zh-CN"/>
              </w:rPr>
              <w:t>科学技术普及</w:t>
            </w:r>
          </w:p>
        </w:tc>
        <w:tc>
          <w:tcPr>
            <w:tcW w:w="1298" w:type="dxa"/>
            <w:noWrap w:val="0"/>
            <w:vAlign w:val="top"/>
          </w:tcPr>
          <w:p>
            <w:pPr>
              <w:spacing w:line="600" w:lineRule="exact"/>
              <w:jc w:val="center"/>
              <w:outlineLvl w:val="0"/>
              <w:rPr>
                <w:rFonts w:hint="default" w:ascii="宋体" w:hAnsi="宋体" w:eastAsia="宋体" w:cs="宋体"/>
                <w:color w:val="auto"/>
                <w:kern w:val="0"/>
                <w:sz w:val="22"/>
                <w:szCs w:val="24"/>
                <w:lang w:val="en-US" w:eastAsia="zh-CN"/>
              </w:rPr>
            </w:pPr>
            <w:r>
              <w:rPr>
                <w:rFonts w:hint="eastAsia" w:ascii="宋体" w:hAnsi="宋体" w:cs="宋体"/>
                <w:color w:val="auto"/>
                <w:kern w:val="0"/>
                <w:sz w:val="22"/>
                <w:szCs w:val="24"/>
                <w:lang w:val="en-US" w:eastAsia="zh-CN"/>
              </w:rPr>
              <w:t>712.4</w:t>
            </w:r>
          </w:p>
        </w:tc>
        <w:tc>
          <w:tcPr>
            <w:tcW w:w="886" w:type="dxa"/>
            <w:noWrap w:val="0"/>
            <w:vAlign w:val="top"/>
          </w:tcPr>
          <w:p>
            <w:pPr>
              <w:spacing w:line="600" w:lineRule="exact"/>
              <w:jc w:val="center"/>
              <w:outlineLvl w:val="0"/>
              <w:rPr>
                <w:rFonts w:hint="default" w:ascii="宋体" w:hAnsi="宋体" w:cs="宋体"/>
                <w:color w:val="auto"/>
                <w:kern w:val="0"/>
                <w:sz w:val="22"/>
                <w:szCs w:val="24"/>
                <w:lang w:val="en-US" w:eastAsia="zh-CN"/>
              </w:rPr>
            </w:pPr>
            <w:r>
              <w:rPr>
                <w:rFonts w:hint="eastAsia" w:ascii="宋体" w:hAnsi="宋体" w:cs="宋体"/>
                <w:color w:val="auto"/>
                <w:kern w:val="0"/>
                <w:sz w:val="22"/>
                <w:szCs w:val="24"/>
                <w:lang w:val="en-US" w:eastAsia="zh-CN"/>
              </w:rPr>
              <w:t>98</w:t>
            </w:r>
          </w:p>
        </w:tc>
        <w:tc>
          <w:tcPr>
            <w:tcW w:w="850" w:type="dxa"/>
            <w:noWrap w:val="0"/>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51" w:type="dxa"/>
            <w:noWrap w:val="0"/>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45" w:type="dxa"/>
            <w:noWrap w:val="0"/>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1917" w:type="dxa"/>
            <w:noWrap w:val="0"/>
            <w:vAlign w:val="top"/>
          </w:tcPr>
          <w:p>
            <w:pPr>
              <w:spacing w:line="600" w:lineRule="exact"/>
              <w:ind w:firstLine="440" w:firstLineChars="200"/>
              <w:outlineLvl w:val="0"/>
              <w:rPr>
                <w:rFonts w:hint="eastAsia" w:ascii="宋体" w:hAnsi="宋体" w:eastAsia="宋体" w:cs="宋体"/>
                <w:color w:val="auto"/>
                <w:kern w:val="0"/>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783" w:type="dxa"/>
            <w:noWrap w:val="0"/>
            <w:vAlign w:val="top"/>
          </w:tcPr>
          <w:p>
            <w:pPr>
              <w:spacing w:line="440" w:lineRule="exact"/>
              <w:ind w:firstLine="0" w:firstLineChars="0"/>
              <w:jc w:val="center"/>
              <w:outlineLvl w:val="0"/>
              <w:rPr>
                <w:rFonts w:hint="eastAsia" w:ascii="宋体" w:hAnsi="宋体" w:eastAsia="宋体" w:cs="宋体"/>
                <w:color w:val="auto"/>
                <w:kern w:val="0"/>
                <w:sz w:val="22"/>
                <w:szCs w:val="24"/>
                <w:lang w:val="en-US" w:eastAsia="zh-CN"/>
              </w:rPr>
            </w:pPr>
            <w:r>
              <w:rPr>
                <w:rFonts w:hint="eastAsia" w:ascii="宋体" w:hAnsi="宋体" w:cs="宋体"/>
                <w:color w:val="auto"/>
                <w:kern w:val="0"/>
                <w:sz w:val="22"/>
                <w:szCs w:val="24"/>
                <w:lang w:val="en-US" w:eastAsia="zh-CN"/>
              </w:rPr>
              <w:t>4</w:t>
            </w:r>
          </w:p>
        </w:tc>
        <w:tc>
          <w:tcPr>
            <w:tcW w:w="1650" w:type="dxa"/>
            <w:noWrap w:val="0"/>
            <w:vAlign w:val="top"/>
          </w:tcPr>
          <w:p>
            <w:pPr>
              <w:spacing w:line="600" w:lineRule="exact"/>
              <w:jc w:val="both"/>
              <w:outlineLvl w:val="0"/>
              <w:rPr>
                <w:rFonts w:hint="eastAsia" w:ascii="宋体" w:hAnsi="宋体" w:eastAsia="宋体" w:cs="宋体"/>
                <w:color w:val="auto"/>
                <w:kern w:val="0"/>
                <w:sz w:val="22"/>
                <w:szCs w:val="24"/>
                <w:lang w:eastAsia="zh-CN"/>
              </w:rPr>
            </w:pPr>
            <w:r>
              <w:rPr>
                <w:rFonts w:hint="eastAsia" w:ascii="宋体" w:hAnsi="宋体" w:cs="宋体"/>
                <w:color w:val="auto"/>
                <w:kern w:val="0"/>
                <w:sz w:val="22"/>
                <w:szCs w:val="24"/>
                <w:lang w:eastAsia="zh-CN"/>
              </w:rPr>
              <w:t>京津冀创新中心通州中心运营经费</w:t>
            </w:r>
          </w:p>
        </w:tc>
        <w:tc>
          <w:tcPr>
            <w:tcW w:w="1298" w:type="dxa"/>
            <w:noWrap w:val="0"/>
            <w:vAlign w:val="top"/>
          </w:tcPr>
          <w:p>
            <w:pPr>
              <w:spacing w:line="600" w:lineRule="exact"/>
              <w:jc w:val="center"/>
              <w:outlineLvl w:val="0"/>
              <w:rPr>
                <w:rFonts w:hint="default" w:ascii="宋体" w:hAnsi="宋体" w:eastAsia="宋体" w:cs="宋体"/>
                <w:color w:val="auto"/>
                <w:kern w:val="0"/>
                <w:sz w:val="22"/>
                <w:szCs w:val="24"/>
                <w:lang w:val="en-US" w:eastAsia="zh-CN"/>
              </w:rPr>
            </w:pPr>
            <w:r>
              <w:rPr>
                <w:rFonts w:hint="eastAsia" w:ascii="宋体" w:hAnsi="宋体" w:cs="宋体"/>
                <w:color w:val="auto"/>
                <w:kern w:val="0"/>
                <w:sz w:val="22"/>
                <w:szCs w:val="24"/>
                <w:lang w:val="en-US" w:eastAsia="zh-CN"/>
              </w:rPr>
              <w:t>500</w:t>
            </w:r>
          </w:p>
        </w:tc>
        <w:tc>
          <w:tcPr>
            <w:tcW w:w="886" w:type="dxa"/>
            <w:noWrap w:val="0"/>
            <w:vAlign w:val="top"/>
          </w:tcPr>
          <w:p>
            <w:pPr>
              <w:spacing w:line="600" w:lineRule="exact"/>
              <w:jc w:val="center"/>
              <w:outlineLvl w:val="0"/>
              <w:rPr>
                <w:rFonts w:hint="default" w:ascii="宋体" w:hAnsi="宋体" w:cs="宋体"/>
                <w:color w:val="auto"/>
                <w:kern w:val="0"/>
                <w:sz w:val="22"/>
                <w:szCs w:val="24"/>
                <w:lang w:val="en-US" w:eastAsia="zh-CN"/>
              </w:rPr>
            </w:pPr>
            <w:r>
              <w:rPr>
                <w:rFonts w:hint="eastAsia" w:ascii="宋体" w:hAnsi="宋体" w:cs="宋体"/>
                <w:color w:val="auto"/>
                <w:kern w:val="0"/>
                <w:sz w:val="22"/>
                <w:szCs w:val="24"/>
                <w:lang w:val="en-US" w:eastAsia="zh-CN"/>
              </w:rPr>
              <w:t>95.19</w:t>
            </w:r>
          </w:p>
        </w:tc>
        <w:tc>
          <w:tcPr>
            <w:tcW w:w="850" w:type="dxa"/>
            <w:noWrap w:val="0"/>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51" w:type="dxa"/>
            <w:noWrap w:val="0"/>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845" w:type="dxa"/>
            <w:noWrap w:val="0"/>
            <w:vAlign w:val="top"/>
          </w:tcPr>
          <w:p>
            <w:pPr>
              <w:spacing w:line="600" w:lineRule="exact"/>
              <w:ind w:firstLine="440" w:firstLineChars="200"/>
              <w:outlineLvl w:val="0"/>
              <w:rPr>
                <w:rFonts w:hint="eastAsia" w:ascii="宋体" w:hAnsi="宋体" w:eastAsia="宋体" w:cs="宋体"/>
                <w:color w:val="auto"/>
                <w:kern w:val="0"/>
                <w:sz w:val="22"/>
                <w:szCs w:val="24"/>
              </w:rPr>
            </w:pPr>
          </w:p>
        </w:tc>
        <w:tc>
          <w:tcPr>
            <w:tcW w:w="1917" w:type="dxa"/>
            <w:noWrap w:val="0"/>
            <w:vAlign w:val="top"/>
          </w:tcPr>
          <w:p>
            <w:pPr>
              <w:spacing w:line="600" w:lineRule="exact"/>
              <w:ind w:firstLine="440" w:firstLineChars="200"/>
              <w:outlineLvl w:val="0"/>
              <w:rPr>
                <w:rFonts w:hint="eastAsia" w:ascii="宋体" w:hAnsi="宋体" w:eastAsia="宋体" w:cs="宋体"/>
                <w:color w:val="auto"/>
                <w:kern w:val="0"/>
                <w:sz w:val="22"/>
                <w:szCs w:val="24"/>
              </w:rPr>
            </w:pPr>
          </w:p>
        </w:tc>
      </w:tr>
    </w:tbl>
    <w:p>
      <w:pPr>
        <w:spacing w:line="600" w:lineRule="exact"/>
        <w:ind w:firstLine="0" w:firstLineChars="0"/>
        <w:outlineLvl w:val="0"/>
        <w:rPr>
          <w:rFonts w:hint="eastAsia" w:ascii="宋体" w:hAnsi="宋体" w:eastAsia="宋体" w:cs="宋体"/>
          <w:b w:val="0"/>
          <w:color w:val="auto"/>
          <w:kern w:val="0"/>
          <w:sz w:val="22"/>
          <w:szCs w:val="24"/>
        </w:rPr>
      </w:pP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注：</w:t>
      </w:r>
      <w:r>
        <w:rPr>
          <w:rFonts w:hint="eastAsia" w:ascii="宋体" w:hAnsi="宋体" w:eastAsia="宋体" w:cs="宋体"/>
          <w:color w:val="auto"/>
          <w:kern w:val="0"/>
          <w:sz w:val="22"/>
          <w:szCs w:val="24"/>
          <w:lang w:val="en-US" w:eastAsia="zh-CN"/>
        </w:rPr>
        <w:t>1.</w:t>
      </w:r>
      <w:r>
        <w:rPr>
          <w:rFonts w:hint="eastAsia" w:ascii="宋体" w:hAnsi="宋体" w:eastAsia="宋体" w:cs="宋体"/>
          <w:color w:val="auto"/>
          <w:kern w:val="0"/>
          <w:sz w:val="22"/>
          <w:szCs w:val="24"/>
        </w:rPr>
        <w:t>绩效</w:t>
      </w:r>
      <w:r>
        <w:rPr>
          <w:rFonts w:hint="eastAsia" w:ascii="宋体" w:hAnsi="宋体" w:eastAsia="宋体" w:cs="宋体"/>
          <w:color w:val="auto"/>
          <w:kern w:val="0"/>
          <w:sz w:val="22"/>
          <w:szCs w:val="24"/>
          <w:lang w:val="en-US" w:eastAsia="zh-CN"/>
        </w:rPr>
        <w:t>自评</w:t>
      </w:r>
      <w:r>
        <w:rPr>
          <w:rFonts w:hint="eastAsia" w:ascii="宋体" w:hAnsi="宋体" w:eastAsia="宋体" w:cs="宋体"/>
          <w:color w:val="auto"/>
          <w:kern w:val="0"/>
          <w:sz w:val="22"/>
          <w:szCs w:val="24"/>
        </w:rPr>
        <w:t>实施百分制和四级分类。四个级别分别是：优（90（含）分-100分）、良（</w:t>
      </w:r>
      <w:r>
        <w:rPr>
          <w:rFonts w:hint="eastAsia" w:ascii="宋体" w:hAnsi="宋体" w:eastAsia="宋体" w:cs="宋体"/>
          <w:color w:val="auto"/>
          <w:kern w:val="0"/>
          <w:sz w:val="22"/>
          <w:szCs w:val="24"/>
          <w:lang w:val="en-US" w:eastAsia="zh-CN"/>
        </w:rPr>
        <w:t>80</w:t>
      </w:r>
      <w:r>
        <w:rPr>
          <w:rFonts w:hint="eastAsia" w:ascii="宋体" w:hAnsi="宋体" w:eastAsia="宋体" w:cs="宋体"/>
          <w:color w:val="auto"/>
          <w:kern w:val="0"/>
          <w:sz w:val="22"/>
          <w:szCs w:val="24"/>
        </w:rPr>
        <w:t>（含）分-90分）、</w:t>
      </w:r>
      <w:r>
        <w:rPr>
          <w:rFonts w:hint="eastAsia" w:ascii="宋体" w:hAnsi="宋体" w:cs="宋体"/>
          <w:color w:val="auto"/>
          <w:kern w:val="0"/>
          <w:sz w:val="22"/>
          <w:szCs w:val="24"/>
          <w:lang w:eastAsia="zh-CN"/>
        </w:rPr>
        <w:t>中</w:t>
      </w:r>
      <w:r>
        <w:rPr>
          <w:rFonts w:hint="eastAsia" w:ascii="宋体" w:hAnsi="宋体" w:eastAsia="宋体" w:cs="宋体"/>
          <w:color w:val="auto"/>
          <w:kern w:val="0"/>
          <w:sz w:val="22"/>
          <w:szCs w:val="24"/>
        </w:rPr>
        <w:t>（60（含）分-</w:t>
      </w:r>
      <w:r>
        <w:rPr>
          <w:rFonts w:hint="eastAsia" w:ascii="宋体" w:hAnsi="宋体" w:eastAsia="宋体" w:cs="宋体"/>
          <w:color w:val="auto"/>
          <w:kern w:val="0"/>
          <w:sz w:val="22"/>
          <w:szCs w:val="24"/>
          <w:lang w:val="en-US" w:eastAsia="zh-CN"/>
        </w:rPr>
        <w:t>80</w:t>
      </w:r>
      <w:r>
        <w:rPr>
          <w:rFonts w:hint="eastAsia" w:ascii="宋体" w:hAnsi="宋体" w:eastAsia="宋体" w:cs="宋体"/>
          <w:color w:val="auto"/>
          <w:kern w:val="0"/>
          <w:sz w:val="22"/>
          <w:szCs w:val="24"/>
        </w:rPr>
        <w:t>分）、差（60（不含）分以下）。</w:t>
      </w:r>
    </w:p>
    <w:p>
      <w:pPr>
        <w:pStyle w:val="4"/>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color w:val="auto"/>
          <w:kern w:val="0"/>
          <w:sz w:val="22"/>
          <w:szCs w:val="24"/>
          <w:lang w:val="en-US" w:eastAsia="zh-CN" w:bidi="ar-SA"/>
        </w:rPr>
      </w:pPr>
      <w:r>
        <w:rPr>
          <w:rFonts w:hint="eastAsia" w:ascii="宋体" w:hAnsi="宋体" w:eastAsia="宋体" w:cs="宋体"/>
          <w:color w:val="auto"/>
          <w:kern w:val="0"/>
          <w:sz w:val="22"/>
          <w:szCs w:val="24"/>
          <w:lang w:val="en-US" w:eastAsia="zh-CN" w:bidi="ar-SA"/>
        </w:rPr>
        <w:t xml:space="preserve">    2.部门重点自评项目请在备注栏填写“部门重点自评”。</w:t>
      </w:r>
    </w:p>
    <w:p>
      <w:pPr>
        <w:keepNext w:val="0"/>
        <w:keepLines w:val="0"/>
        <w:pageBreakBefore w:val="0"/>
        <w:widowControl w:val="0"/>
        <w:kinsoku/>
        <w:wordWrap/>
        <w:overflowPunct/>
        <w:topLinePunct w:val="0"/>
        <w:autoSpaceDE/>
        <w:autoSpaceDN/>
        <w:bidi w:val="0"/>
        <w:adjustRightInd/>
        <w:snapToGrid/>
        <w:spacing w:line="240" w:lineRule="auto"/>
        <w:ind w:firstLine="440" w:firstLineChars="200"/>
        <w:textAlignment w:val="auto"/>
        <w:outlineLvl w:val="0"/>
        <w:rPr>
          <w:rFonts w:hint="eastAsia" w:ascii="宋体" w:hAnsi="宋体" w:eastAsia="宋体" w:cs="宋体"/>
          <w:color w:val="auto"/>
          <w:kern w:val="0"/>
          <w:sz w:val="22"/>
        </w:rPr>
      </w:pPr>
    </w:p>
    <w:p>
      <w:pPr>
        <w:spacing w:line="600" w:lineRule="exact"/>
        <w:ind w:firstLine="440" w:firstLineChars="200"/>
        <w:outlineLvl w:val="0"/>
        <w:rPr>
          <w:rFonts w:hint="eastAsia" w:ascii="宋体" w:hAnsi="宋体" w:eastAsia="宋体" w:cs="宋体"/>
          <w:color w:val="auto"/>
          <w:kern w:val="0"/>
          <w:sz w:val="22"/>
        </w:rPr>
      </w:pPr>
    </w:p>
    <w:p>
      <w:pPr>
        <w:spacing w:line="600" w:lineRule="exact"/>
        <w:ind w:firstLine="440" w:firstLineChars="200"/>
        <w:outlineLvl w:val="0"/>
        <w:rPr>
          <w:rFonts w:hint="eastAsia" w:ascii="宋体" w:hAnsi="宋体" w:eastAsia="宋体" w:cs="宋体"/>
          <w:color w:val="auto"/>
          <w:kern w:val="0"/>
          <w:sz w:val="22"/>
        </w:rPr>
      </w:pPr>
    </w:p>
    <w:p>
      <w:pPr>
        <w:spacing w:line="600" w:lineRule="exact"/>
        <w:ind w:firstLine="440" w:firstLineChars="200"/>
        <w:outlineLvl w:val="0"/>
        <w:rPr>
          <w:rFonts w:hint="eastAsia" w:ascii="宋体" w:hAnsi="宋体" w:eastAsia="宋体" w:cs="宋体"/>
          <w:color w:val="auto"/>
          <w:kern w:val="0"/>
          <w:sz w:val="22"/>
        </w:rPr>
      </w:pPr>
    </w:p>
    <w:p>
      <w:pPr>
        <w:spacing w:line="600" w:lineRule="exact"/>
        <w:ind w:firstLine="440" w:firstLineChars="200"/>
        <w:outlineLvl w:val="0"/>
        <w:rPr>
          <w:rFonts w:hint="eastAsia" w:ascii="宋体" w:hAnsi="宋体" w:eastAsia="宋体" w:cs="宋体"/>
          <w:color w:val="auto"/>
          <w:kern w:val="0"/>
          <w:sz w:val="22"/>
        </w:rPr>
      </w:pPr>
    </w:p>
    <w:p>
      <w:pPr>
        <w:spacing w:line="600" w:lineRule="exact"/>
        <w:ind w:firstLine="440" w:firstLineChars="200"/>
        <w:outlineLvl w:val="0"/>
        <w:rPr>
          <w:rFonts w:hint="eastAsia" w:ascii="宋体" w:hAnsi="宋体" w:eastAsia="宋体" w:cs="宋体"/>
          <w:color w:val="auto"/>
          <w:kern w:val="0"/>
          <w:sz w:val="22"/>
        </w:rPr>
      </w:pPr>
    </w:p>
    <w:p>
      <w:pPr>
        <w:spacing w:line="600" w:lineRule="exact"/>
        <w:ind w:firstLine="440" w:firstLineChars="200"/>
        <w:outlineLvl w:val="0"/>
        <w:rPr>
          <w:rFonts w:hint="eastAsia" w:ascii="宋体" w:hAnsi="宋体" w:eastAsia="宋体" w:cs="宋体"/>
          <w:color w:val="auto"/>
          <w:kern w:val="0"/>
          <w:sz w:val="22"/>
        </w:rPr>
      </w:pPr>
    </w:p>
    <w:p>
      <w:pPr>
        <w:spacing w:line="600" w:lineRule="exact"/>
        <w:ind w:firstLine="440" w:firstLineChars="200"/>
        <w:outlineLvl w:val="0"/>
        <w:rPr>
          <w:rFonts w:hint="eastAsia" w:ascii="宋体" w:hAnsi="宋体" w:eastAsia="宋体" w:cs="宋体"/>
          <w:color w:val="auto"/>
          <w:kern w:val="0"/>
          <w:sz w:val="22"/>
        </w:rPr>
      </w:pPr>
    </w:p>
    <w:p>
      <w:pPr>
        <w:spacing w:line="600" w:lineRule="exact"/>
        <w:ind w:firstLine="440" w:firstLineChars="200"/>
        <w:outlineLvl w:val="0"/>
        <w:rPr>
          <w:rFonts w:hint="eastAsia" w:ascii="宋体" w:hAnsi="宋体" w:eastAsia="宋体" w:cs="宋体"/>
          <w:color w:val="auto"/>
          <w:kern w:val="0"/>
          <w:sz w:val="22"/>
        </w:rPr>
      </w:pPr>
    </w:p>
    <w:p/>
    <w:p>
      <w:pPr>
        <w:spacing w:line="600" w:lineRule="exact"/>
        <w:ind w:firstLine="0" w:firstLineChars="0"/>
        <w:outlineLvl w:val="0"/>
        <w:rPr>
          <w:rFonts w:hint="eastAsia" w:ascii="宋体" w:hAnsi="宋体" w:eastAsia="宋体" w:cs="宋体"/>
          <w:color w:val="auto"/>
          <w:kern w:val="0"/>
          <w:sz w:val="22"/>
        </w:rPr>
        <w:sectPr>
          <w:pgSz w:w="11906" w:h="16838"/>
          <w:pgMar w:top="1440" w:right="1803" w:bottom="1440" w:left="1803" w:header="851" w:footer="992" w:gutter="0"/>
          <w:pgNumType w:fmt="decimal"/>
          <w:cols w:space="720" w:num="1"/>
          <w:rtlGutter w:val="0"/>
          <w:docGrid w:type="lines" w:linePitch="319" w:charSpace="0"/>
        </w:sectPr>
      </w:pPr>
    </w:p>
    <w:p>
      <w:pPr>
        <w:pStyle w:val="2"/>
        <w:rPr>
          <w:rFonts w:hint="eastAsia"/>
        </w:rPr>
      </w:pPr>
    </w:p>
    <w:p>
      <w:pPr>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eastAsia="zh-CN"/>
        </w:rPr>
        <w:t>区科委</w:t>
      </w:r>
      <w:r>
        <w:rPr>
          <w:rFonts w:hint="eastAsia" w:ascii="方正小标宋简体" w:hAnsi="方正小标宋简体" w:eastAsia="方正小标宋简体" w:cs="方正小标宋简体"/>
          <w:b w:val="0"/>
          <w:bCs/>
          <w:sz w:val="44"/>
          <w:szCs w:val="44"/>
          <w:lang w:val="en-US" w:eastAsia="zh-CN"/>
        </w:rPr>
        <w:t>2023年度</w:t>
      </w:r>
      <w:r>
        <w:rPr>
          <w:rFonts w:hint="eastAsia" w:ascii="方正小标宋简体" w:hAnsi="方正小标宋简体" w:eastAsia="方正小标宋简体" w:cs="方正小标宋简体"/>
          <w:b w:val="0"/>
          <w:bCs/>
          <w:sz w:val="44"/>
          <w:szCs w:val="44"/>
        </w:rPr>
        <w:t>预算绩效管理工作</w:t>
      </w:r>
    </w:p>
    <w:p>
      <w:pPr>
        <w:jc w:val="center"/>
      </w:pPr>
      <w:r>
        <w:rPr>
          <w:rFonts w:hint="eastAsia" w:ascii="方正小标宋简体" w:hAnsi="方正小标宋简体" w:eastAsia="方正小标宋简体" w:cs="方正小标宋简体"/>
          <w:b w:val="0"/>
          <w:bCs/>
          <w:sz w:val="44"/>
          <w:szCs w:val="44"/>
        </w:rPr>
        <w:t>开展情况</w:t>
      </w:r>
    </w:p>
    <w:p>
      <w:pPr>
        <w:ind w:firstLine="642" w:firstLineChars="200"/>
        <w:jc w:val="center"/>
        <w:rPr>
          <w:rFonts w:ascii="仿宋_GB2312" w:eastAsia="仿宋_GB2312"/>
          <w:b/>
          <w:sz w:val="32"/>
          <w:szCs w:val="32"/>
        </w:rPr>
      </w:pPr>
    </w:p>
    <w:p>
      <w:pPr>
        <w:spacing w:line="60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一、基本情况</w:t>
      </w:r>
    </w:p>
    <w:p>
      <w:pPr>
        <w:pStyle w:val="6"/>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北京市通州区科学技术委员会</w:t>
      </w:r>
      <w:r>
        <w:rPr>
          <w:rFonts w:hint="eastAsia" w:ascii="仿宋_GB2312" w:hAnsi="仿宋_GB2312" w:eastAsia="仿宋_GB2312" w:cs="仿宋_GB2312"/>
          <w:sz w:val="32"/>
          <w:szCs w:val="32"/>
        </w:rPr>
        <w:t>对202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年度部门项目支出实施了绩效评价，评价项目</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个，占部门项目总数的</w:t>
      </w:r>
      <w:r>
        <w:rPr>
          <w:rFonts w:hint="eastAsia" w:ascii="仿宋_GB2312" w:hAnsi="仿宋_GB2312" w:eastAsia="仿宋_GB2312" w:cs="仿宋_GB2312"/>
          <w:sz w:val="32"/>
          <w:szCs w:val="32"/>
          <w:lang w:val="en-US" w:eastAsia="zh-CN"/>
        </w:rPr>
        <w:t>80</w:t>
      </w:r>
      <w:r>
        <w:rPr>
          <w:rFonts w:hint="eastAsia" w:ascii="仿宋_GB2312" w:hAnsi="仿宋_GB2312" w:eastAsia="仿宋_GB2312" w:cs="仿宋_GB2312"/>
          <w:sz w:val="32"/>
          <w:szCs w:val="32"/>
        </w:rPr>
        <w:t>%，涉及金额</w:t>
      </w:r>
      <w:r>
        <w:rPr>
          <w:rFonts w:hint="eastAsia" w:ascii="仿宋_GB2312" w:hAnsi="仿宋_GB2312" w:eastAsia="仿宋_GB2312" w:cs="仿宋_GB2312"/>
          <w:sz w:val="32"/>
          <w:szCs w:val="32"/>
          <w:lang w:val="en-US" w:eastAsia="zh-CN"/>
        </w:rPr>
        <w:t>5297.61</w:t>
      </w:r>
      <w:r>
        <w:rPr>
          <w:rFonts w:hint="eastAsia" w:ascii="仿宋_GB2312" w:hAnsi="仿宋_GB2312" w:eastAsia="仿宋_GB2312" w:cs="仿宋_GB2312"/>
          <w:sz w:val="32"/>
          <w:szCs w:val="32"/>
        </w:rPr>
        <w:t>万元。其中，评价得分在90分（含90分）以上的</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个、评价得分在75-90分（含75分）的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个、评价得分在60-75分（含60分）的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个、评价得分在60分以下的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 xml:space="preserve">个。 </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主要经验或存在问题</w:t>
      </w:r>
    </w:p>
    <w:p>
      <w:pPr>
        <w:pStyle w:val="6"/>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本年度我委</w:t>
      </w:r>
      <w:r>
        <w:rPr>
          <w:rFonts w:hint="eastAsia" w:ascii="仿宋_GB2312" w:hAnsi="宋体" w:eastAsia="仿宋_GB2312"/>
          <w:sz w:val="32"/>
          <w:szCs w:val="32"/>
          <w:lang w:val="en-US" w:eastAsia="zh-CN"/>
        </w:rPr>
        <w:t>各项目预算均按照年初预算予以执行，每季度基本达到财政局的绩效支出指标，12月支出进度达100%，全年任务已按</w:t>
      </w:r>
      <w:r>
        <w:rPr>
          <w:rFonts w:hint="eastAsia" w:ascii="仿宋_GB2312" w:eastAsia="仿宋_GB2312"/>
          <w:color w:val="auto"/>
          <w:sz w:val="32"/>
          <w:szCs w:val="32"/>
          <w:lang w:val="en-US" w:eastAsia="zh-CN"/>
        </w:rPr>
        <w:t>要求全部完成。逐步完善我区科技领域相关政策并根据最新印发的《通州区加强科</w:t>
      </w:r>
      <w:r>
        <w:rPr>
          <w:rFonts w:hint="eastAsia" w:ascii="仿宋_GB2312" w:eastAsia="仿宋_GB2312"/>
          <w:sz w:val="32"/>
          <w:szCs w:val="32"/>
          <w:lang w:val="en-US" w:eastAsia="zh-CN"/>
        </w:rPr>
        <w:t>技创新引领高质量发展支持办法》配套制定了《北京市通州区加强科技创新引领高质量发展支持办法实施细则》等多项科技政策，开发上线了科技项目管理系统，进一步优化了本区科技计划项目的从申报、立项、实施到验收的管理流程，实时追踪各项目实施进程，更好的适应了当前的科技管理新模式，从而提高了我委科技项目的管理水平。</w:t>
      </w:r>
    </w:p>
    <w:p>
      <w:pPr>
        <w:pStyle w:val="6"/>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 w:val="32"/>
          <w:szCs w:val="32"/>
          <w:lang w:val="en-US" w:eastAsia="zh-CN"/>
        </w:rPr>
      </w:pPr>
      <w:r>
        <w:rPr>
          <w:rFonts w:hint="eastAsia" w:ascii="仿宋_GB2312" w:eastAsia="仿宋_GB2312"/>
          <w:sz w:val="32"/>
          <w:szCs w:val="32"/>
          <w:lang w:val="en-US" w:eastAsia="zh-CN"/>
        </w:rPr>
        <w:t>主要问题为三季度科技创新资金项目预算支出进度与年初预算计划略有滞后，其中科技创新人才专项、第二批应用场景建设专项、揭榜挂帅项目资金支出滞后。主要原因为我委于今年6月</w:t>
      </w:r>
      <w:r>
        <w:rPr>
          <w:rFonts w:hint="eastAsia" w:ascii="仿宋_GB2312" w:eastAsia="仿宋_GB2312"/>
          <w:color w:val="auto"/>
          <w:sz w:val="32"/>
          <w:szCs w:val="32"/>
          <w:lang w:val="en-US" w:eastAsia="zh-CN"/>
        </w:rPr>
        <w:t>相继出台了《北京市通州区加强科技创新引领高质量发展支持办法实施细则》等多项科技政策，根据政策内容和项目组织管理流程需对我委科技项目服务系统相应功能进行修改完善。为保证科技创新人才专项、第二批应用场景建设专项、揭榜挂帅项目能够纳入项目管理系统，通过在系统内实施项目管理流程，及时发现系统问题并进一步完善系统设置，专项启动时间略滞后于计划时间，从而造成部分科技创新资金支出进度滞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三、下一步工作措施或建议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lang w:val="en-US" w:eastAsia="zh-CN"/>
        </w:rPr>
        <w:t>2024年，</w:t>
      </w:r>
      <w:r>
        <w:rPr>
          <w:rFonts w:hint="eastAsia" w:ascii="仿宋_GB2312" w:hAnsi="宋体" w:eastAsia="仿宋_GB2312"/>
          <w:sz w:val="32"/>
          <w:szCs w:val="32"/>
        </w:rPr>
        <w:t>我们</w:t>
      </w:r>
      <w:r>
        <w:rPr>
          <w:rFonts w:hint="eastAsia" w:ascii="仿宋_GB2312" w:hAnsi="宋体" w:eastAsia="仿宋_GB2312"/>
          <w:sz w:val="32"/>
          <w:szCs w:val="32"/>
          <w:lang w:eastAsia="zh-CN"/>
        </w:rPr>
        <w:t>将依据最新印发的《通州区加强科技创新引领高质量发展支持办法》《北京市通州区加强科技创新引领高质量发展支持办法实施细则》《通州区科技计划项目管理办法》</w:t>
      </w:r>
      <w:r>
        <w:rPr>
          <w:rFonts w:hint="eastAsia" w:ascii="仿宋_GB2312" w:eastAsia="仿宋_GB2312"/>
          <w:color w:val="auto"/>
          <w:sz w:val="32"/>
          <w:szCs w:val="32"/>
          <w:lang w:val="en-US" w:eastAsia="zh-CN"/>
        </w:rPr>
        <w:t>等多项科技政策</w:t>
      </w:r>
      <w:r>
        <w:rPr>
          <w:rFonts w:hint="eastAsia" w:ascii="仿宋_GB2312" w:hAnsi="宋体" w:eastAsia="仿宋_GB2312"/>
          <w:sz w:val="32"/>
          <w:szCs w:val="32"/>
          <w:lang w:eastAsia="zh-CN"/>
        </w:rPr>
        <w:t>继续不断完善细化项目管理流程，严格按照区财政局绩效考核细则要求制定支出计划并按计划完成支出，</w:t>
      </w:r>
      <w:r>
        <w:rPr>
          <w:rFonts w:hint="eastAsia" w:ascii="仿宋_GB2312" w:hAnsi="仿宋_GB2312" w:eastAsia="仿宋_GB2312" w:cs="仿宋_GB2312"/>
          <w:sz w:val="32"/>
          <w:szCs w:val="32"/>
          <w:lang w:eastAsia="zh-CN"/>
        </w:rPr>
        <w:t>定期对各项目进行监督追踪</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按时上报项目支出绩效目标执行监控报告等相关材料，</w:t>
      </w:r>
      <w:r>
        <w:rPr>
          <w:rFonts w:hint="eastAsia" w:ascii="仿宋_GB2312" w:hAnsi="宋体" w:eastAsia="仿宋_GB2312"/>
          <w:sz w:val="32"/>
          <w:szCs w:val="32"/>
        </w:rPr>
        <w:t>加强</w:t>
      </w:r>
      <w:r>
        <w:rPr>
          <w:rFonts w:hint="eastAsia" w:ascii="仿宋_GB2312" w:hAnsi="宋体" w:eastAsia="仿宋_GB2312"/>
          <w:sz w:val="32"/>
          <w:szCs w:val="32"/>
          <w:lang w:eastAsia="zh-CN"/>
        </w:rPr>
        <w:t>对各项目</w:t>
      </w:r>
      <w:r>
        <w:rPr>
          <w:rFonts w:hint="eastAsia" w:ascii="仿宋_GB2312" w:hAnsi="宋体" w:eastAsia="仿宋_GB2312"/>
          <w:sz w:val="32"/>
          <w:szCs w:val="32"/>
        </w:rPr>
        <w:t>的绩效跟踪</w:t>
      </w:r>
      <w:r>
        <w:rPr>
          <w:rFonts w:hint="eastAsia" w:ascii="仿宋_GB2312" w:hAnsi="宋体" w:eastAsia="仿宋_GB2312"/>
          <w:sz w:val="32"/>
          <w:szCs w:val="32"/>
          <w:lang w:eastAsia="zh-CN"/>
        </w:rPr>
        <w:t>管理力求质量并重</w:t>
      </w:r>
      <w:r>
        <w:rPr>
          <w:rFonts w:hint="eastAsia" w:ascii="仿宋_GB2312" w:hAnsi="宋体" w:eastAsia="仿宋_GB2312"/>
          <w:sz w:val="32"/>
          <w:szCs w:val="32"/>
        </w:rPr>
        <w:t>抓好</w:t>
      </w:r>
      <w:r>
        <w:rPr>
          <w:rFonts w:hint="eastAsia" w:ascii="仿宋_GB2312" w:hAnsi="宋体" w:eastAsia="仿宋_GB2312"/>
          <w:sz w:val="32"/>
          <w:szCs w:val="32"/>
          <w:lang w:eastAsia="zh-CN"/>
        </w:rPr>
        <w:t>项目</w:t>
      </w:r>
      <w:r>
        <w:rPr>
          <w:rFonts w:hint="eastAsia" w:ascii="仿宋_GB2312" w:hAnsi="宋体" w:eastAsia="仿宋_GB2312"/>
          <w:sz w:val="32"/>
          <w:szCs w:val="32"/>
        </w:rPr>
        <w:t>落实。</w:t>
      </w:r>
    </w:p>
    <w:p>
      <w:pPr>
        <w:pStyle w:val="2"/>
        <w:rPr>
          <w:rFonts w:hint="eastAsia"/>
          <w:lang w:val="en-US" w:eastAsia="zh-CN"/>
        </w:rPr>
      </w:pPr>
    </w:p>
    <w:p>
      <w:pPr>
        <w:widowControl/>
        <w:ind w:firstLine="3520" w:firstLineChars="11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北京市通州区科学技术委员会</w:t>
      </w:r>
    </w:p>
    <w:p>
      <w:pPr>
        <w:pStyle w:val="2"/>
        <w:ind w:firstLine="4480" w:firstLineChars="1400"/>
        <w:rPr>
          <w:rFonts w:hint="default" w:ascii="仿宋_GB2312" w:hAnsi="仿宋_GB2312" w:eastAsia="仿宋_GB2312" w:cs="仿宋_GB2312"/>
          <w:lang w:val="en-US" w:eastAsia="zh-CN"/>
        </w:rPr>
      </w:pPr>
      <w:r>
        <w:rPr>
          <w:rFonts w:hint="eastAsia" w:ascii="仿宋_GB2312" w:hAnsi="仿宋_GB2312" w:eastAsia="仿宋_GB2312" w:cs="仿宋_GB2312"/>
          <w:sz w:val="32"/>
          <w:szCs w:val="32"/>
          <w:lang w:val="en-US" w:eastAsia="zh-CN"/>
        </w:rPr>
        <w:t>202</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lang w:val="en-US" w:eastAsia="zh-CN"/>
        </w:rPr>
        <w:t>年</w:t>
      </w: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lang w:val="en-US" w:eastAsia="zh-CN"/>
        </w:rPr>
        <w:t>月</w:t>
      </w:r>
      <w:r>
        <w:rPr>
          <w:rFonts w:hint="eastAsia" w:ascii="仿宋_GB2312" w:hAnsi="仿宋_GB2312" w:cs="仿宋_GB2312"/>
          <w:sz w:val="32"/>
          <w:szCs w:val="32"/>
          <w:lang w:val="en-US" w:eastAsia="zh-CN"/>
        </w:rPr>
        <w:t>29日</w:t>
      </w:r>
    </w:p>
    <w:p/>
    <w:p/>
    <w:p>
      <w:pPr>
        <w:pStyle w:val="4"/>
        <w:rPr>
          <w:rFonts w:hint="eastAsia"/>
          <w:lang w:val="en-US" w:eastAsia="zh-CN"/>
        </w:rPr>
      </w:pPr>
    </w:p>
    <w:p>
      <w:pPr>
        <w:rPr>
          <w:rFonts w:hint="eastAsia" w:eastAsia="宋体"/>
          <w:b w:val="0"/>
          <w:bCs w:val="0"/>
          <w:lang w:val="en-US" w:eastAsia="zh-CN"/>
        </w:rPr>
      </w:pPr>
    </w:p>
    <w:sectPr>
      <w:footerReference r:id="rId3" w:type="default"/>
      <w:pgSz w:w="11906" w:h="16838"/>
      <w:pgMar w:top="1440" w:right="1803" w:bottom="1440" w:left="1803" w:header="851" w:footer="992" w:gutter="0"/>
      <w:pgNumType w:fmt="decimal" w:start="1"/>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Verdana">
    <w:altName w:val="DejaVu Sans"/>
    <w:panose1 w:val="020B0604030504040204"/>
    <w:charset w:val="00"/>
    <w:family w:val="swiss"/>
    <w:pitch w:val="default"/>
    <w:sig w:usb0="00000000" w:usb1="00000000" w:usb2="00000010" w:usb3="00000000" w:csb0="2000019F" w:csb1="00000000"/>
  </w:font>
  <w:font w:name="方正小标宋简体">
    <w:panose1 w:val="02000000000000000000"/>
    <w:charset w:val="86"/>
    <w:family w:val="auto"/>
    <w:pitch w:val="default"/>
    <w:sig w:usb0="A00002BF" w:usb1="184F6CFA" w:usb2="00000012"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txbx>
                      <w:txbxContent>
                        <w:p>
                          <w:pPr>
                            <w:pStyle w:val="7"/>
                          </w:pPr>
                          <w:r>
                            <w:fldChar w:fldCharType="begin"/>
                          </w:r>
                          <w:r>
                            <w:instrText xml:space="preserve"> PAGE  \* MERGEFORMAT </w:instrText>
                          </w:r>
                          <w:r>
                            <w:fldChar w:fldCharType="separate"/>
                          </w:r>
                          <w:r>
                            <w:t>21</w:t>
                          </w:r>
                          <w:r>
                            <w:fldChar w:fldCharType="end"/>
                          </w: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s0lY7tAAAAAFAQAA&#10;DwAAAAAAAAABACAAAAA4AAAAZHJzL2Rvd25yZXYueG1sUEsBAhQAFAAAAAgAh07iQB4tJ3HSAQAA&#10;hAMAAA4AAAAAAAAAAQAgAAAANQEAAGRycy9lMm9Eb2MueG1sUEsFBgAAAAAGAAYAWQEAAHkFAAAA&#10;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21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341CF9"/>
    <w:multiLevelType w:val="singleLevel"/>
    <w:tmpl w:val="D0341CF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DB0B63"/>
    <w:rsid w:val="01534994"/>
    <w:rsid w:val="0C8165E0"/>
    <w:rsid w:val="0FEA0767"/>
    <w:rsid w:val="2CBF8107"/>
    <w:rsid w:val="2EB70209"/>
    <w:rsid w:val="30FF2B40"/>
    <w:rsid w:val="35D339CB"/>
    <w:rsid w:val="3FF79B31"/>
    <w:rsid w:val="3FFFBFF7"/>
    <w:rsid w:val="4BA31FDB"/>
    <w:rsid w:val="4BFF9656"/>
    <w:rsid w:val="537B9DA3"/>
    <w:rsid w:val="55FF394B"/>
    <w:rsid w:val="57F1C01A"/>
    <w:rsid w:val="5A474F5C"/>
    <w:rsid w:val="5DDF52D1"/>
    <w:rsid w:val="5EDB0B63"/>
    <w:rsid w:val="5F9F33EB"/>
    <w:rsid w:val="62AF49CD"/>
    <w:rsid w:val="6AC7B1A3"/>
    <w:rsid w:val="6B6E770F"/>
    <w:rsid w:val="6B77FB6F"/>
    <w:rsid w:val="6EE9A86C"/>
    <w:rsid w:val="6FD43E60"/>
    <w:rsid w:val="6FE75700"/>
    <w:rsid w:val="763E871D"/>
    <w:rsid w:val="768F6E17"/>
    <w:rsid w:val="79EBFCAD"/>
    <w:rsid w:val="7BBD97BD"/>
    <w:rsid w:val="7BFE4A5B"/>
    <w:rsid w:val="7BFF61BB"/>
    <w:rsid w:val="7BFFEC6B"/>
    <w:rsid w:val="7CDBDD99"/>
    <w:rsid w:val="7DBF4FBB"/>
    <w:rsid w:val="7DCD9330"/>
    <w:rsid w:val="7DD758A1"/>
    <w:rsid w:val="7E562264"/>
    <w:rsid w:val="7E5EB5A1"/>
    <w:rsid w:val="7F2773F9"/>
    <w:rsid w:val="7F3909BD"/>
    <w:rsid w:val="7F5EFDA1"/>
    <w:rsid w:val="7F7C49BA"/>
    <w:rsid w:val="7FBF70D0"/>
    <w:rsid w:val="7FF719AD"/>
    <w:rsid w:val="9BFD2FEF"/>
    <w:rsid w:val="AFDDEFDC"/>
    <w:rsid w:val="B2DFF942"/>
    <w:rsid w:val="B5FC34C6"/>
    <w:rsid w:val="B7FFE5D8"/>
    <w:rsid w:val="B9A72492"/>
    <w:rsid w:val="BAEFCA12"/>
    <w:rsid w:val="BD5D8A02"/>
    <w:rsid w:val="BF32A459"/>
    <w:rsid w:val="BFFDC060"/>
    <w:rsid w:val="C6D65660"/>
    <w:rsid w:val="CFEECDC9"/>
    <w:rsid w:val="D4CEDA1A"/>
    <w:rsid w:val="D5A31DC0"/>
    <w:rsid w:val="D7FF1616"/>
    <w:rsid w:val="DFEAA56F"/>
    <w:rsid w:val="E3FCA255"/>
    <w:rsid w:val="E6922BE3"/>
    <w:rsid w:val="EB5BB730"/>
    <w:rsid w:val="EDFF835A"/>
    <w:rsid w:val="EEBB59E1"/>
    <w:rsid w:val="EFBD8A87"/>
    <w:rsid w:val="EFCF022D"/>
    <w:rsid w:val="F37B3AB2"/>
    <w:rsid w:val="F5C72995"/>
    <w:rsid w:val="F6FF4047"/>
    <w:rsid w:val="F7B3AF71"/>
    <w:rsid w:val="F7E365DE"/>
    <w:rsid w:val="FA5A168B"/>
    <w:rsid w:val="FD3F40DC"/>
    <w:rsid w:val="FEF8056D"/>
    <w:rsid w:val="FEF82787"/>
    <w:rsid w:val="FEFD3F0E"/>
    <w:rsid w:val="FFBDEA55"/>
    <w:rsid w:val="FFFD792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index 9"/>
    <w:basedOn w:val="1"/>
    <w:next w:val="1"/>
    <w:qFormat/>
    <w:uiPriority w:val="0"/>
    <w:pPr>
      <w:spacing w:line="560" w:lineRule="exact"/>
      <w:ind w:left="0" w:leftChars="0" w:firstLine="800" w:firstLineChars="200"/>
      <w:jc w:val="left"/>
    </w:pPr>
    <w:rPr>
      <w:rFonts w:ascii="Calibri" w:hAnsi="Calibri" w:eastAsia="仿宋_GB2312"/>
      <w:sz w:val="32"/>
    </w:rPr>
  </w:style>
  <w:style w:type="paragraph" w:styleId="4">
    <w:name w:val="Normal Indent"/>
    <w:basedOn w:val="1"/>
    <w:next w:val="1"/>
    <w:qFormat/>
    <w:uiPriority w:val="0"/>
    <w:pPr>
      <w:ind w:firstLine="200" w:firstLineChars="200"/>
    </w:pPr>
  </w:style>
  <w:style w:type="paragraph" w:styleId="5">
    <w:name w:val="Body Text"/>
    <w:basedOn w:val="1"/>
    <w:next w:val="1"/>
    <w:qFormat/>
    <w:uiPriority w:val="0"/>
    <w:pPr>
      <w:spacing w:before="0" w:after="140" w:line="276" w:lineRule="auto"/>
    </w:pPr>
  </w:style>
  <w:style w:type="paragraph" w:styleId="6">
    <w:name w:val="Plain Text"/>
    <w:basedOn w:val="1"/>
    <w:next w:val="1"/>
    <w:qFormat/>
    <w:uiPriority w:val="0"/>
    <w:rPr>
      <w:rFonts w:ascii="宋体" w:hAnsi="宋体"/>
      <w:szCs w:val="32"/>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Hyperlink"/>
    <w:basedOn w:val="11"/>
    <w:qFormat/>
    <w:uiPriority w:val="0"/>
    <w:rPr>
      <w:color w:val="0000FF"/>
      <w:u w:val="single"/>
    </w:rPr>
  </w:style>
  <w:style w:type="character" w:customStyle="1" w:styleId="13">
    <w:name w:val="font81"/>
    <w:basedOn w:val="11"/>
    <w:qFormat/>
    <w:uiPriority w:val="0"/>
    <w:rPr>
      <w:rFonts w:hint="eastAsia" w:ascii="宋体" w:hAnsi="宋体" w:eastAsia="宋体" w:cs="宋体"/>
      <w:color w:val="000000"/>
      <w:sz w:val="20"/>
      <w:szCs w:val="20"/>
      <w:u w:val="none"/>
    </w:rPr>
  </w:style>
  <w:style w:type="character" w:customStyle="1" w:styleId="14">
    <w:name w:val="font11"/>
    <w:basedOn w:val="11"/>
    <w:qFormat/>
    <w:uiPriority w:val="0"/>
    <w:rPr>
      <w:rFonts w:hint="eastAsia" w:ascii="仿宋_GB2312" w:eastAsia="仿宋_GB2312" w:cs="仿宋_GB2312"/>
      <w:color w:val="000000"/>
      <w:sz w:val="24"/>
      <w:szCs w:val="24"/>
      <w:u w:val="none"/>
    </w:rPr>
  </w:style>
  <w:style w:type="character" w:customStyle="1" w:styleId="15">
    <w:name w:val="font61"/>
    <w:basedOn w:val="11"/>
    <w:qFormat/>
    <w:uiPriority w:val="0"/>
    <w:rPr>
      <w:rFonts w:hint="eastAsia" w:ascii="仿宋_GB2312" w:eastAsia="仿宋_GB2312" w:cs="仿宋_GB2312"/>
      <w:color w:val="000000"/>
      <w:sz w:val="24"/>
      <w:szCs w:val="24"/>
      <w:u w:val="none"/>
    </w:rPr>
  </w:style>
  <w:style w:type="character" w:customStyle="1" w:styleId="16">
    <w:name w:val="font71"/>
    <w:basedOn w:val="11"/>
    <w:qFormat/>
    <w:uiPriority w:val="0"/>
    <w:rPr>
      <w:rFonts w:hint="eastAsia" w:ascii="宋体" w:hAnsi="宋体" w:eastAsia="宋体" w:cs="宋体"/>
      <w:color w:val="FF0000"/>
      <w:sz w:val="20"/>
      <w:szCs w:val="20"/>
      <w:u w:val="none"/>
    </w:rPr>
  </w:style>
  <w:style w:type="paragraph" w:customStyle="1" w:styleId="17">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18">
    <w:name w:val="首行缩进"/>
    <w:basedOn w:val="1"/>
    <w:qFormat/>
    <w:uiPriority w:val="0"/>
    <w:pPr>
      <w:ind w:firstLine="480"/>
    </w:pPr>
    <w:rPr>
      <w:szCs w:val="20"/>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2024-03-14T03:08:00Z</dcterms:created>
  <dc:creator>user</dc:creator>
  <cp:lastModifiedBy>user</cp:lastModifiedBy>
  <cp:lastPrinted>2024-04-18T06:56:00Z</cp:lastPrinted>
  <dcterms:modified xsi:type="dcterms:W3CDTF">2024-04-22T14:53:50Z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