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8"/>
        <w:tblW w:w="9264" w:type="dxa"/>
        <w:jc w:val="center"/>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1035"/>
      </w:tblGrid>
      <w:tr>
        <w:tblPrEx>
          <w:tblCellMar>
            <w:top w:w="0" w:type="dxa"/>
            <w:left w:w="108" w:type="dxa"/>
            <w:bottom w:w="0" w:type="dxa"/>
            <w:right w:w="108" w:type="dxa"/>
          </w:tblCellMar>
        </w:tblPrEx>
        <w:trPr>
          <w:trHeight w:val="440" w:hRule="exact"/>
          <w:jc w:val="center"/>
        </w:trPr>
        <w:tc>
          <w:tcPr>
            <w:tcW w:w="9264" w:type="dxa"/>
            <w:gridSpan w:val="14"/>
            <w:tcBorders>
              <w:top w:val="nil"/>
              <w:left w:val="nil"/>
              <w:bottom w:val="nil"/>
              <w:right w:val="nil"/>
            </w:tcBorders>
            <w:noWrap w:val="0"/>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264" w:type="dxa"/>
            <w:gridSpan w:val="14"/>
            <w:tcBorders>
              <w:top w:val="nil"/>
              <w:left w:val="nil"/>
              <w:bottom w:val="nil"/>
              <w:right w:val="nil"/>
            </w:tcBorders>
            <w:noWrap w:val="0"/>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2023</w:t>
            </w:r>
            <w:r>
              <w:rPr>
                <w:rFonts w:hint="eastAsia" w:ascii="宋体" w:hAnsi="宋体" w:cs="宋体"/>
                <w:color w:val="auto"/>
                <w:kern w:val="0"/>
                <w:sz w:val="22"/>
              </w:rPr>
              <w:t xml:space="preserve"> 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717"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000000"/>
                <w:kern w:val="0"/>
                <w:sz w:val="24"/>
                <w:lang w:eastAsia="zh-CN"/>
              </w:rPr>
              <w:t>科技创新资金</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北京市通州区科学技术委员会</w:t>
            </w:r>
            <w:bookmarkStart w:id="0" w:name="_GoBack"/>
            <w:bookmarkEnd w:id="0"/>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642"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北京市通州区科学技术委员会</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苏颖、郭华杰</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642"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89526651</w:t>
            </w: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103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4000</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4000</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4000</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03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4000</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4000</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4000</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3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3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3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69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3802"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项目将围绕培育区内高质量创新主体，对创新主体给予支持；围绕促进副中心科技服务业发展，对创新创业及科技服务机构给予支持；项目将围绕城市建设与管理及产业发展，推动应用场景建设，聚焦设计小镇、网安园、文化科技融合、农业开展科技支撑专项、促进产学研合作及成果转化专项等科技专项开展项目征集，评选出创新性强、技术含量高的科技研发、成果转化及公益服务类项目给予支持，为加快北京城市副中心建设、构建高精尖经济结构、促进区域经济社会协调发展提供科技支撑。</w:t>
            </w:r>
          </w:p>
        </w:tc>
        <w:tc>
          <w:tcPr>
            <w:tcW w:w="369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开展应用场景建设专项支持，支持“张家湾设计小镇基于虚拟建造的数字化集成项目交付研究与应用示范”等6项场景项目实施；开展科技储备项目专项支持，支持“生物活性多肽的研发与应用”等27项目科研项目实施；开展卫生发展专项支持，支持“同源重组修复基因预测小细胞肺癌免疫治疗疗效及其转化应用”等90项卫生健康项目实施；开展科技创新人才专项支持，支持40项目科技创新人才项目实施；开展揭榜挂帅项目支持，支持“元宇宙技术综合展示应用项目”立项实施。</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7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642"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指标1：扶持创新人才及创新团队30项。</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30</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7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45"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指标2：支持技术合同交易额前10名单位</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7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69"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指标</w:t>
            </w:r>
            <w:r>
              <w:rPr>
                <w:rFonts w:hint="eastAsia" w:ascii="宋体" w:hAnsi="宋体" w:cs="宋体"/>
                <w:color w:val="auto"/>
                <w:kern w:val="0"/>
                <w:sz w:val="18"/>
                <w:szCs w:val="18"/>
                <w:lang w:val="en-US" w:eastAsia="zh-CN"/>
              </w:rPr>
              <w:t>3：支持创新创业服务机构</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7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895"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eastAsia="zh-CN"/>
              </w:rPr>
              <w:t>指标</w:t>
            </w:r>
            <w:r>
              <w:rPr>
                <w:rFonts w:hint="eastAsia" w:ascii="宋体" w:hAnsi="宋体" w:cs="宋体"/>
                <w:color w:val="auto"/>
                <w:kern w:val="0"/>
                <w:sz w:val="18"/>
                <w:szCs w:val="18"/>
                <w:lang w:val="en-US" w:eastAsia="zh-CN"/>
              </w:rPr>
              <w:t>4：实施科技项目不少于30项，打造应用场景不少于6项。</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36</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124</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7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782"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指标1：符合副中心新场景建设、产业发展规划、政府工作报告等文件明确的发展方向</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符合副中心新场景建设、产业发展规划、政府工作报告等文件明确的发展方向</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符合副中心新场景建设、产业发展规划、政府工作报告等文件明确的发展方向</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7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764"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指标2：项目确定原则明确</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项目确定原则明确</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依据专家论证意见及党组会决策。</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7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908"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指标</w:t>
            </w:r>
            <w:r>
              <w:rPr>
                <w:rFonts w:hint="eastAsia" w:ascii="宋体" w:hAnsi="宋体" w:cs="宋体"/>
                <w:color w:val="auto"/>
                <w:kern w:val="0"/>
                <w:sz w:val="18"/>
                <w:szCs w:val="18"/>
                <w:lang w:val="en-US" w:eastAsia="zh-CN"/>
              </w:rPr>
              <w:t>3：项目管理过程清晰</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项目管理过程清晰</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符合通州区科技计划项目管理办法规定，项目管理流程清晰。</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7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98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指标1：提升通州区企业科技研发能力，培育新技术新产品应用示范环境。</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提升通州区企业科技研发能力，培育新技术新产品应用示范环境。</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通过项目实施，营造区域良好创新氛围，提升科技创新主体技术能力。</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28</w:t>
            </w:r>
          </w:p>
        </w:tc>
        <w:tc>
          <w:tcPr>
            <w:tcW w:w="17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指标1：项目单位满意度</w:t>
            </w:r>
          </w:p>
        </w:tc>
        <w:tc>
          <w:tcPr>
            <w:tcW w:w="93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90%</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7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98</w:t>
            </w:r>
          </w:p>
        </w:tc>
        <w:tc>
          <w:tcPr>
            <w:tcW w:w="173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jc w:val="left"/>
        <w:textAlignment w:val="auto"/>
        <w:rPr>
          <w:rFonts w:hint="eastAsia" w:ascii="黑体" w:hAnsi="黑体" w:eastAsia="黑体" w:cs="黑体"/>
          <w:sz w:val="32"/>
          <w:szCs w:val="32"/>
          <w:lang w:eastAsia="zh-CN"/>
        </w:rPr>
      </w:pPr>
    </w:p>
    <w:p>
      <w:pPr>
        <w:rPr>
          <w:rFonts w:hint="eastAsia" w:eastAsia="宋体"/>
          <w:b w:val="0"/>
          <w:bCs w:val="0"/>
          <w:lang w:val="en-US" w:eastAsia="zh-CN"/>
        </w:rPr>
      </w:pPr>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Verdana">
    <w:altName w:val="DejaVu Sans"/>
    <w:panose1 w:val="020B0604030504040204"/>
    <w:charset w:val="00"/>
    <w:family w:val="swiss"/>
    <w:pitch w:val="default"/>
    <w:sig w:usb0="00000000" w:usb1="00000000" w:usb2="00000010" w:usb3="00000000" w:csb0="2000019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txbx>
                      <w:txbxContent>
                        <w:p>
                          <w:pPr>
                            <w:pStyle w:val="5"/>
                          </w:pPr>
                          <w:r>
                            <w:fldChar w:fldCharType="begin"/>
                          </w:r>
                          <w:r>
                            <w:instrText xml:space="preserve"> PAGE  \* MERGEFORMAT </w:instrText>
                          </w:r>
                          <w:r>
                            <w:fldChar w:fldCharType="separate"/>
                          </w:r>
                          <w:r>
                            <w:t>21</w:t>
                          </w:r>
                          <w:r>
                            <w:fldChar w:fldCharType="end"/>
                          </w:r>
                        </w:p>
                      </w:txbxContent>
                    </wps:txbx>
                    <wps:bodyPr vert="horz" wrap="none" lIns="0" tIns="0" rIns="0" bIns="0" anchor="t" anchorCtr="false" upright="fals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s0lY7tAAAAAFAQAA&#10;DwAAAAAAAAABACAAAAA4AAAAZHJzL2Rvd25yZXYueG1sUEsBAhQAFAAAAAgAh07iQABEFOvSAQAA&#10;hAMAAA4AAAAAAAAAAQAgAAAANQEAAGRycy9lMm9Eb2MueG1sUEsFBgAAAAAGAAYAWQEAAHkFAAAA&#10;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B0B63"/>
    <w:rsid w:val="01534994"/>
    <w:rsid w:val="034904DF"/>
    <w:rsid w:val="0C8165E0"/>
    <w:rsid w:val="0DA15FDF"/>
    <w:rsid w:val="2CBF8107"/>
    <w:rsid w:val="2EB70209"/>
    <w:rsid w:val="30FF2B40"/>
    <w:rsid w:val="35D339CB"/>
    <w:rsid w:val="3EFF9099"/>
    <w:rsid w:val="3FF79B31"/>
    <w:rsid w:val="412B5669"/>
    <w:rsid w:val="4BA31FDB"/>
    <w:rsid w:val="4BFF9656"/>
    <w:rsid w:val="514508BB"/>
    <w:rsid w:val="537B9DA3"/>
    <w:rsid w:val="5A474F5C"/>
    <w:rsid w:val="5DDF52D1"/>
    <w:rsid w:val="5EDB0B63"/>
    <w:rsid w:val="5F9F33EB"/>
    <w:rsid w:val="65CF13BA"/>
    <w:rsid w:val="6AC7B1A3"/>
    <w:rsid w:val="6B77FB6F"/>
    <w:rsid w:val="6EE9A86C"/>
    <w:rsid w:val="6FD43E60"/>
    <w:rsid w:val="763E871D"/>
    <w:rsid w:val="79B37409"/>
    <w:rsid w:val="79EBFCAD"/>
    <w:rsid w:val="7AFD70D9"/>
    <w:rsid w:val="7BBD97BD"/>
    <w:rsid w:val="7BFA9C5C"/>
    <w:rsid w:val="7BFE4A5B"/>
    <w:rsid w:val="7BFFEC6B"/>
    <w:rsid w:val="7DBF4FBB"/>
    <w:rsid w:val="7DCD9330"/>
    <w:rsid w:val="7DD758A1"/>
    <w:rsid w:val="7E562264"/>
    <w:rsid w:val="7E5EB5A1"/>
    <w:rsid w:val="7F2773F9"/>
    <w:rsid w:val="7F3909BD"/>
    <w:rsid w:val="7F7C49BA"/>
    <w:rsid w:val="7FBF70D0"/>
    <w:rsid w:val="7FF719AD"/>
    <w:rsid w:val="9766D464"/>
    <w:rsid w:val="99FFA230"/>
    <w:rsid w:val="9BFD2FEF"/>
    <w:rsid w:val="AFDDEFDC"/>
    <w:rsid w:val="B2DFF942"/>
    <w:rsid w:val="B5FC34C6"/>
    <w:rsid w:val="BAEFCA12"/>
    <w:rsid w:val="BD5D8A02"/>
    <w:rsid w:val="D4CEDA1A"/>
    <w:rsid w:val="D5A31DC0"/>
    <w:rsid w:val="D7FF1616"/>
    <w:rsid w:val="DFEAA56F"/>
    <w:rsid w:val="E6922BE3"/>
    <w:rsid w:val="EB5BB730"/>
    <w:rsid w:val="EDFF835A"/>
    <w:rsid w:val="EEBB59E1"/>
    <w:rsid w:val="EFCF022D"/>
    <w:rsid w:val="F37B3AB2"/>
    <w:rsid w:val="F6FF4047"/>
    <w:rsid w:val="F7E365DE"/>
    <w:rsid w:val="FA5A168B"/>
    <w:rsid w:val="FD3F40DC"/>
    <w:rsid w:val="FEF8056D"/>
    <w:rsid w:val="FEF82787"/>
    <w:rsid w:val="FEFD3F0E"/>
    <w:rsid w:val="FFBDEA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4">
    <w:name w:val="Body Text"/>
    <w:basedOn w:val="1"/>
    <w:next w:val="1"/>
    <w:qFormat/>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Hyperlink"/>
    <w:basedOn w:val="9"/>
    <w:qFormat/>
    <w:uiPriority w:val="0"/>
    <w:rPr>
      <w:color w:val="0000FF"/>
      <w:u w:val="single"/>
    </w:rPr>
  </w:style>
  <w:style w:type="character" w:customStyle="1" w:styleId="11">
    <w:name w:val="font81"/>
    <w:basedOn w:val="9"/>
    <w:qFormat/>
    <w:uiPriority w:val="0"/>
    <w:rPr>
      <w:rFonts w:hint="eastAsia" w:ascii="宋体" w:hAnsi="宋体" w:eastAsia="宋体" w:cs="宋体"/>
      <w:color w:val="000000"/>
      <w:sz w:val="20"/>
      <w:szCs w:val="20"/>
      <w:u w:val="none"/>
    </w:rPr>
  </w:style>
  <w:style w:type="character" w:customStyle="1" w:styleId="12">
    <w:name w:val="font11"/>
    <w:basedOn w:val="9"/>
    <w:qFormat/>
    <w:uiPriority w:val="0"/>
    <w:rPr>
      <w:rFonts w:hint="eastAsia" w:ascii="仿宋_GB2312" w:eastAsia="仿宋_GB2312" w:cs="仿宋_GB2312"/>
      <w:color w:val="000000"/>
      <w:sz w:val="24"/>
      <w:szCs w:val="24"/>
      <w:u w:val="none"/>
    </w:rPr>
  </w:style>
  <w:style w:type="character" w:customStyle="1" w:styleId="13">
    <w:name w:val="font61"/>
    <w:basedOn w:val="9"/>
    <w:qFormat/>
    <w:uiPriority w:val="0"/>
    <w:rPr>
      <w:rFonts w:hint="eastAsia" w:ascii="仿宋_GB2312" w:eastAsia="仿宋_GB2312" w:cs="仿宋_GB2312"/>
      <w:color w:val="000000"/>
      <w:sz w:val="24"/>
      <w:szCs w:val="24"/>
      <w:u w:val="none"/>
    </w:rPr>
  </w:style>
  <w:style w:type="character" w:customStyle="1" w:styleId="14">
    <w:name w:val="font71"/>
    <w:basedOn w:val="9"/>
    <w:qFormat/>
    <w:uiPriority w:val="0"/>
    <w:rPr>
      <w:rFonts w:hint="eastAsia" w:ascii="宋体" w:hAnsi="宋体" w:eastAsia="宋体" w:cs="宋体"/>
      <w:color w:val="FF0000"/>
      <w:sz w:val="20"/>
      <w:szCs w:val="20"/>
      <w:u w:val="none"/>
    </w:rPr>
  </w:style>
  <w:style w:type="paragraph" w:customStyle="1" w:styleId="15">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6">
    <w:name w:val="首行缩进"/>
    <w:basedOn w:val="1"/>
    <w:qFormat/>
    <w:uiPriority w:val="0"/>
    <w:pPr>
      <w:ind w:firstLine="480"/>
    </w:pPr>
    <w:rPr>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2024-03-14T03:08:00Z</dcterms:created>
  <dc:creator>user</dc:creator>
  <cp:lastModifiedBy>user</cp:lastModifiedBy>
  <cp:lastPrinted>2024-03-31T09:59:00Z</cp:lastPrinted>
  <dcterms:modified xsi:type="dcterms:W3CDTF">2024-04-17T14:55:21Z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