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jc w:val="left"/>
        <w:rPr>
          <w:rFonts w:hint="eastAsia" w:ascii="黑体" w:hAnsi="黑体" w:eastAsia="黑体" w:cs="黑体"/>
          <w:bCs/>
          <w:sz w:val="32"/>
          <w:szCs w:val="32"/>
          <w:lang w:val="en-US" w:eastAsia="zh-CN"/>
        </w:rPr>
      </w:pPr>
      <w:r>
        <w:rPr>
          <w:rFonts w:hint="eastAsia" w:ascii="黑体" w:hAnsi="黑体" w:eastAsia="黑体" w:cs="黑体"/>
          <w:bCs/>
          <w:sz w:val="32"/>
          <w:szCs w:val="32"/>
        </w:rPr>
        <w:t>附件</w:t>
      </w:r>
      <w:r>
        <w:rPr>
          <w:rFonts w:hint="eastAsia" w:ascii="黑体" w:hAnsi="黑体" w:eastAsia="黑体" w:cs="黑体"/>
          <w:bCs/>
          <w:sz w:val="32"/>
          <w:szCs w:val="32"/>
          <w:lang w:val="en-US" w:eastAsia="zh-CN"/>
        </w:rPr>
        <w:t>5</w:t>
      </w:r>
    </w:p>
    <w:p>
      <w:pPr>
        <w:jc w:val="center"/>
        <w:rPr>
          <w:rFonts w:hint="eastAsia" w:ascii="方正小标宋简体" w:hAnsi="方正小标宋简体" w:eastAsia="方正小标宋简体" w:cs="方正小标宋简体"/>
          <w:bCs/>
          <w:sz w:val="36"/>
          <w:szCs w:val="36"/>
        </w:rPr>
      </w:pPr>
      <w:r>
        <w:rPr>
          <w:rFonts w:ascii="方正小标宋简体" w:hAnsi="方正小标宋简体" w:eastAsia="方正小标宋简体" w:cs="方正小标宋简体"/>
          <w:bCs/>
          <w:sz w:val="36"/>
          <w:szCs w:val="36"/>
        </w:rPr>
        <w:t>交通运输专项补助</w:t>
      </w:r>
      <w:r>
        <w:rPr>
          <w:rFonts w:hint="eastAsia" w:ascii="方正小标宋简体" w:hAnsi="方正小标宋简体" w:eastAsia="方正小标宋简体" w:cs="方正小标宋简体"/>
          <w:bCs/>
          <w:sz w:val="36"/>
          <w:szCs w:val="36"/>
        </w:rPr>
        <w:t>转移支付通州区（京冀大运河跨区域水上安全监管系统</w:t>
      </w:r>
      <w:r>
        <w:rPr>
          <w:rFonts w:hint="eastAsia" w:ascii="方正小标宋简体" w:hAnsi="方正小标宋简体" w:eastAsia="方正小标宋简体" w:cs="方正小标宋简体"/>
          <w:bCs/>
          <w:sz w:val="36"/>
          <w:szCs w:val="36"/>
          <w:lang w:eastAsia="zh-CN"/>
        </w:rPr>
        <w:t>项目</w:t>
      </w:r>
      <w:r>
        <w:rPr>
          <w:rFonts w:hint="eastAsia" w:ascii="方正小标宋简体" w:hAnsi="方正小标宋简体" w:eastAsia="方正小标宋简体" w:cs="方正小标宋简体"/>
          <w:bCs/>
          <w:sz w:val="36"/>
          <w:szCs w:val="36"/>
        </w:rPr>
        <w:t>）202</w:t>
      </w:r>
      <w:r>
        <w:rPr>
          <w:rFonts w:hint="eastAsia" w:ascii="方正小标宋简体" w:hAnsi="方正小标宋简体" w:eastAsia="方正小标宋简体" w:cs="方正小标宋简体"/>
          <w:bCs/>
          <w:sz w:val="36"/>
          <w:szCs w:val="36"/>
          <w:lang w:val="en-US" w:eastAsia="zh-CN"/>
        </w:rPr>
        <w:t>3</w:t>
      </w:r>
      <w:r>
        <w:rPr>
          <w:rFonts w:hint="eastAsia" w:ascii="方正小标宋简体" w:hAnsi="方正小标宋简体" w:eastAsia="方正小标宋简体" w:cs="方正小标宋简体"/>
          <w:bCs/>
          <w:sz w:val="36"/>
          <w:szCs w:val="36"/>
        </w:rPr>
        <w:t>年度绩效自评报告</w:t>
      </w:r>
    </w:p>
    <w:p>
      <w:pPr>
        <w:jc w:val="center"/>
        <w:rPr>
          <w:rFonts w:hint="eastAsia" w:ascii="方正小标宋简体" w:hAnsi="方正小标宋简体" w:eastAsia="方正小标宋简体" w:cs="方正小标宋简体"/>
          <w:bCs/>
          <w:sz w:val="36"/>
          <w:szCs w:val="36"/>
        </w:rPr>
      </w:pPr>
    </w:p>
    <w:p>
      <w:pPr>
        <w:numPr>
          <w:ilvl w:val="0"/>
          <w:numId w:val="1"/>
        </w:numPr>
        <w:spacing w:line="360" w:lineRule="auto"/>
        <w:ind w:firstLine="640" w:firstLineChars="200"/>
        <w:outlineLvl w:val="0"/>
        <w:rPr>
          <w:rFonts w:hint="eastAsia" w:ascii="黑体" w:hAnsi="黑体" w:eastAsia="黑体" w:cs="仿宋_GB2312"/>
          <w:sz w:val="32"/>
          <w:szCs w:val="32"/>
        </w:rPr>
      </w:pPr>
      <w:r>
        <w:rPr>
          <w:rFonts w:hint="eastAsia" w:ascii="黑体" w:hAnsi="黑体" w:eastAsia="黑体" w:cs="仿宋_GB2312"/>
          <w:sz w:val="32"/>
          <w:szCs w:val="32"/>
        </w:rPr>
        <w:t>绩效目标分解下达情况</w:t>
      </w:r>
    </w:p>
    <w:p>
      <w:pPr>
        <w:spacing w:line="560" w:lineRule="exact"/>
        <w:ind w:firstLine="640" w:firstLineChars="200"/>
        <w:jc w:val="left"/>
        <w:rPr>
          <w:rFonts w:hint="eastAsia" w:ascii="仿宋_GB2312" w:hAnsi="仿宋" w:eastAsia="仿宋_GB2312" w:cs="仿宋"/>
          <w:sz w:val="32"/>
          <w:szCs w:val="32"/>
        </w:rPr>
      </w:pPr>
      <w:r>
        <w:rPr>
          <w:rFonts w:hint="eastAsia" w:ascii="仿宋_GB2312" w:hAnsi="仿宋" w:eastAsia="仿宋_GB2312" w:cs="仿宋"/>
          <w:sz w:val="32"/>
          <w:szCs w:val="32"/>
        </w:rPr>
        <w:t>为贯彻落实市委、市政府相关决策部署，支持通州区交通运输领域重点工作，北京市财政局下达2021年交通运输补助资金预算937.9144万元，其中</w:t>
      </w:r>
      <w:bookmarkStart w:id="0" w:name="_GoBack"/>
      <w:bookmarkEnd w:id="0"/>
      <w:r>
        <w:rPr>
          <w:rFonts w:hint="eastAsia" w:ascii="仿宋_GB2312" w:hAnsi="仿宋" w:eastAsia="仿宋_GB2312" w:cs="仿宋"/>
          <w:sz w:val="32"/>
          <w:szCs w:val="32"/>
        </w:rPr>
        <w:t>：京冀大运河跨区域水上安全监管系统</w:t>
      </w:r>
      <w:r>
        <w:rPr>
          <w:rFonts w:hint="eastAsia" w:ascii="仿宋_GB2312" w:hAnsi="仿宋" w:eastAsia="仿宋_GB2312" w:cs="仿宋"/>
          <w:sz w:val="32"/>
          <w:szCs w:val="32"/>
          <w:lang w:eastAsia="zh-CN"/>
        </w:rPr>
        <w:t>项目</w:t>
      </w:r>
      <w:r>
        <w:rPr>
          <w:rFonts w:hint="eastAsia" w:ascii="仿宋_GB2312" w:hAnsi="仿宋" w:eastAsia="仿宋_GB2312" w:cs="仿宋"/>
          <w:sz w:val="32"/>
          <w:szCs w:val="32"/>
          <w:lang w:val="en-US" w:eastAsia="zh-CN"/>
        </w:rPr>
        <w:t>310</w:t>
      </w:r>
      <w:r>
        <w:rPr>
          <w:rFonts w:hint="eastAsia" w:ascii="仿宋_GB2312" w:hAnsi="仿宋" w:eastAsia="仿宋_GB2312" w:cs="仿宋"/>
          <w:sz w:val="32"/>
          <w:szCs w:val="32"/>
        </w:rPr>
        <w:t>万元，</w:t>
      </w:r>
      <w:r>
        <w:rPr>
          <w:rFonts w:hint="eastAsia" w:ascii="仿宋_GB2312" w:hAnsi="仿宋" w:eastAsia="仿宋_GB2312" w:cs="仿宋"/>
          <w:sz w:val="32"/>
          <w:szCs w:val="32"/>
          <w:lang w:eastAsia="zh-CN"/>
        </w:rPr>
        <w:t>截至</w:t>
      </w:r>
      <w:r>
        <w:rPr>
          <w:rFonts w:hint="eastAsia" w:ascii="仿宋_GB2312" w:hAnsi="仿宋" w:eastAsia="仿宋_GB2312" w:cs="仿宋"/>
          <w:sz w:val="32"/>
          <w:szCs w:val="32"/>
          <w:lang w:val="en-US" w:eastAsia="zh-CN"/>
        </w:rPr>
        <w:t>2023年年底已拨付资金为261.28万元，</w:t>
      </w:r>
      <w:r>
        <w:rPr>
          <w:rFonts w:hint="eastAsia" w:ascii="仿宋_GB2312" w:hAnsi="仿宋" w:eastAsia="仿宋_GB2312" w:cs="仿宋"/>
          <w:sz w:val="32"/>
          <w:szCs w:val="32"/>
        </w:rPr>
        <w:t>该项目资金全部为市级专项资金支持。</w:t>
      </w:r>
    </w:p>
    <w:p>
      <w:pPr>
        <w:spacing w:line="560" w:lineRule="exact"/>
        <w:ind w:firstLine="640" w:firstLineChars="200"/>
        <w:jc w:val="left"/>
        <w:rPr>
          <w:rFonts w:hint="eastAsia" w:ascii="黑体" w:hAnsi="黑体" w:eastAsia="黑体" w:cs="仿宋_GB2312"/>
          <w:sz w:val="32"/>
          <w:szCs w:val="32"/>
        </w:rPr>
      </w:pPr>
      <w:r>
        <w:rPr>
          <w:rFonts w:hint="eastAsia" w:ascii="仿宋_GB2312" w:hAnsi="仿宋" w:eastAsia="仿宋_GB2312" w:cs="仿宋"/>
          <w:sz w:val="32"/>
          <w:szCs w:val="32"/>
        </w:rPr>
        <w:t>根据实际工作需要，</w:t>
      </w:r>
      <w:r>
        <w:rPr>
          <w:rFonts w:hint="eastAsia" w:ascii="仿宋_GB2312" w:hAnsi="仿宋" w:eastAsia="仿宋_GB2312" w:cs="仿宋"/>
          <w:sz w:val="32"/>
          <w:szCs w:val="32"/>
          <w:lang w:val="en-US" w:eastAsia="zh-CN"/>
        </w:rPr>
        <w:t>2023年3月启动</w:t>
      </w:r>
      <w:r>
        <w:rPr>
          <w:rFonts w:hint="eastAsia" w:ascii="仿宋_GB2312" w:hAnsi="仿宋" w:eastAsia="仿宋_GB2312" w:cs="仿宋"/>
          <w:sz w:val="32"/>
          <w:szCs w:val="32"/>
        </w:rPr>
        <w:t>京冀大运河跨区域水上安全监管系统</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2023年9月建设完成</w:t>
      </w:r>
      <w:r>
        <w:rPr>
          <w:rFonts w:hint="eastAsia" w:ascii="仿宋_GB2312" w:hAnsi="仿宋" w:eastAsia="仿宋_GB2312" w:cs="仿宋"/>
          <w:sz w:val="32"/>
          <w:szCs w:val="32"/>
        </w:rPr>
        <w:t>。</w:t>
      </w:r>
    </w:p>
    <w:p>
      <w:pPr>
        <w:numPr>
          <w:ilvl w:val="0"/>
          <w:numId w:val="1"/>
        </w:numPr>
        <w:spacing w:line="360" w:lineRule="auto"/>
        <w:ind w:left="0" w:leftChars="0" w:firstLine="640" w:firstLineChars="200"/>
        <w:outlineLvl w:val="0"/>
        <w:rPr>
          <w:rFonts w:hint="eastAsia" w:ascii="黑体" w:hAnsi="黑体" w:eastAsia="黑体" w:cs="仿宋_GB2312"/>
          <w:sz w:val="32"/>
          <w:szCs w:val="32"/>
        </w:rPr>
      </w:pPr>
      <w:r>
        <w:rPr>
          <w:rFonts w:hint="eastAsia" w:ascii="黑体" w:hAnsi="黑体" w:eastAsia="黑体" w:cs="仿宋_GB2312"/>
          <w:sz w:val="32"/>
          <w:szCs w:val="32"/>
        </w:rPr>
        <w:t>基本情况</w:t>
      </w:r>
    </w:p>
    <w:p>
      <w:pPr>
        <w:spacing w:line="360" w:lineRule="auto"/>
        <w:ind w:firstLine="640" w:firstLineChars="200"/>
        <w:outlineLvl w:val="0"/>
        <w:rPr>
          <w:rFonts w:hint="eastAsia" w:ascii="楷体_GB2312" w:hAnsi="楷体" w:eastAsia="楷体_GB2312" w:cs="仿宋_GB2312"/>
          <w:sz w:val="32"/>
          <w:szCs w:val="32"/>
        </w:rPr>
      </w:pPr>
      <w:r>
        <w:rPr>
          <w:rFonts w:hint="eastAsia" w:ascii="楷体_GB2312" w:hAnsi="楷体" w:eastAsia="楷体_GB2312" w:cs="仿宋_GB2312"/>
          <w:sz w:val="32"/>
          <w:szCs w:val="32"/>
        </w:rPr>
        <w:t>（一）转移支付概况。包括政策背景、资金情况等。</w:t>
      </w:r>
    </w:p>
    <w:p>
      <w:pPr>
        <w:ind w:firstLine="640" w:firstLineChars="200"/>
        <w:outlineLvl w:val="0"/>
        <w:rPr>
          <w:rFonts w:hint="eastAsia" w:ascii="黑体" w:hAnsi="黑体" w:eastAsia="黑体" w:cs="仿宋_GB2312"/>
          <w:sz w:val="32"/>
          <w:szCs w:val="32"/>
        </w:rPr>
      </w:pPr>
      <w:r>
        <w:rPr>
          <w:rFonts w:hint="eastAsia" w:ascii="仿宋_GB2312" w:hAnsi="宋体" w:eastAsia="仿宋_GB2312"/>
          <w:sz w:val="32"/>
          <w:szCs w:val="32"/>
          <w:lang w:eastAsia="zh-CN"/>
        </w:rPr>
        <w:t>该项目</w:t>
      </w:r>
      <w:r>
        <w:rPr>
          <w:rFonts w:hint="eastAsia" w:ascii="仿宋_GB2312" w:hAnsi="宋体" w:eastAsia="仿宋_GB2312"/>
          <w:sz w:val="32"/>
          <w:szCs w:val="32"/>
        </w:rPr>
        <w:t>市级财政拨款</w:t>
      </w:r>
      <w:r>
        <w:rPr>
          <w:rFonts w:hint="eastAsia" w:ascii="仿宋_GB2312" w:hAnsi="宋体" w:eastAsia="仿宋_GB2312"/>
          <w:sz w:val="32"/>
          <w:szCs w:val="32"/>
          <w:lang w:val="en-US" w:eastAsia="zh-CN"/>
        </w:rPr>
        <w:t>310</w:t>
      </w:r>
      <w:r>
        <w:rPr>
          <w:rFonts w:hint="eastAsia" w:ascii="仿宋_GB2312" w:hAnsi="宋体" w:eastAsia="仿宋_GB2312"/>
          <w:sz w:val="32"/>
          <w:szCs w:val="32"/>
        </w:rPr>
        <w:t>万元，</w:t>
      </w:r>
      <w:r>
        <w:rPr>
          <w:rFonts w:hint="eastAsia" w:ascii="仿宋_GB2312" w:hAnsi="宋体" w:eastAsia="仿宋_GB2312"/>
          <w:sz w:val="32"/>
          <w:szCs w:val="32"/>
          <w:lang w:eastAsia="zh-CN"/>
        </w:rPr>
        <w:t>项目资金主要用于建设前端智能视频感知系统、AIS信息采集系统、通航环境管理系统、船舶船员监管系统、现场执法调度系统，按照年初绩效目标，已按计划建设完成。</w:t>
      </w:r>
    </w:p>
    <w:p>
      <w:pPr>
        <w:numPr>
          <w:ilvl w:val="0"/>
          <w:numId w:val="2"/>
        </w:numPr>
        <w:spacing w:line="360" w:lineRule="auto"/>
        <w:ind w:firstLine="640" w:firstLineChars="200"/>
        <w:outlineLvl w:val="0"/>
        <w:rPr>
          <w:rFonts w:hint="eastAsia" w:ascii="楷体_GB2312" w:hAnsi="楷体" w:eastAsia="楷体_GB2312" w:cs="仿宋_GB2312"/>
          <w:sz w:val="32"/>
          <w:szCs w:val="32"/>
        </w:rPr>
      </w:pPr>
      <w:r>
        <w:rPr>
          <w:rFonts w:hint="eastAsia" w:ascii="楷体_GB2312" w:hAnsi="楷体" w:eastAsia="楷体_GB2312" w:cs="仿宋_GB2312"/>
          <w:sz w:val="32"/>
          <w:szCs w:val="32"/>
        </w:rPr>
        <w:t>整体绩效目标情况</w:t>
      </w:r>
    </w:p>
    <w:p>
      <w:pPr>
        <w:ind w:firstLine="640" w:firstLineChars="200"/>
        <w:outlineLvl w:val="0"/>
        <w:rPr>
          <w:rFonts w:hint="eastAsia" w:ascii="仿宋_GB2312" w:hAnsi="宋体" w:eastAsia="仿宋_GB2312"/>
          <w:sz w:val="32"/>
          <w:szCs w:val="32"/>
          <w:lang w:eastAsia="zh-CN"/>
        </w:rPr>
      </w:pPr>
      <w:r>
        <w:rPr>
          <w:rFonts w:hint="eastAsia" w:ascii="仿宋_GB2312" w:hAnsi="宋体" w:eastAsia="仿宋_GB2312"/>
          <w:sz w:val="32"/>
          <w:szCs w:val="32"/>
          <w:lang w:eastAsia="zh-CN"/>
        </w:rPr>
        <w:t>通过建设前端智能视频感知系统、AIS信息采集系统、水上语音通信系统、通航环境管理系统、船舶船员监管系统、现场执法调度系统、并对执法船进行部分改造，完成监管、执法数据协同，最终实现针对一线执法、监管及应急救助的水上船舶和人员的电子巡查、非接触安全监管，全面提升通州区水上交通综合监管和安全保障能力，保障水域交通安全，全面促进北京-河北区域协同发展。</w:t>
      </w:r>
    </w:p>
    <w:p>
      <w:pPr>
        <w:spacing w:line="360" w:lineRule="auto"/>
        <w:ind w:firstLine="640" w:firstLineChars="200"/>
        <w:outlineLvl w:val="0"/>
        <w:rPr>
          <w:rFonts w:hint="eastAsia" w:ascii="仿宋_GB2312" w:hAnsi="宋体" w:eastAsia="仿宋_GB2312"/>
          <w:sz w:val="32"/>
          <w:szCs w:val="32"/>
          <w:lang w:eastAsia="zh-CN"/>
        </w:rPr>
      </w:pPr>
      <w:r>
        <w:rPr>
          <w:rFonts w:hint="eastAsia" w:ascii="楷体_GB2312" w:hAnsi="楷体" w:eastAsia="楷体_GB2312" w:cs="仿宋_GB2312"/>
          <w:sz w:val="32"/>
          <w:szCs w:val="32"/>
        </w:rPr>
        <w:t>（三）区域绩效目标情况</w:t>
      </w:r>
    </w:p>
    <w:p>
      <w:pPr>
        <w:ind w:firstLine="640" w:firstLineChars="200"/>
        <w:outlineLvl w:val="0"/>
        <w:rPr>
          <w:rFonts w:hint="eastAsia" w:ascii="仿宋_GB2312" w:hAnsi="宋体" w:eastAsia="仿宋_GB2312"/>
          <w:sz w:val="32"/>
          <w:szCs w:val="32"/>
          <w:lang w:eastAsia="zh-CN"/>
        </w:rPr>
      </w:pPr>
      <w:r>
        <w:rPr>
          <w:rFonts w:hint="eastAsia" w:ascii="仿宋_GB2312" w:hAnsi="宋体" w:eastAsia="仿宋_GB2312"/>
          <w:sz w:val="32"/>
          <w:szCs w:val="32"/>
          <w:lang w:eastAsia="zh-CN"/>
        </w:rPr>
        <w:t>建设目标主要是围绕通州区交通局安全生产监管、通航设施监管、通航环境监管、船舶监管、船员监管、航道监管及码头设施监管等核心业务需求，以可视化的电子航道图作为平台支撑，最终实现一体的通州区水上交通综合指挥平台，作为北运河（通州段）交通安全应急指挥系统在北京市通州区水上交通管理工作的示范工程，健全北京市交通监管应急体系，有效提升水上交通监管应急能力，为全面建设北京市水上交通监管应急体系起到示范作用。</w:t>
      </w:r>
    </w:p>
    <w:p>
      <w:pPr>
        <w:spacing w:line="360" w:lineRule="auto"/>
        <w:ind w:firstLine="640" w:firstLineChars="200"/>
        <w:outlineLvl w:val="0"/>
        <w:rPr>
          <w:rFonts w:hint="eastAsia" w:ascii="楷体_GB2312" w:hAnsi="楷体" w:eastAsia="楷体_GB2312" w:cs="仿宋_GB2312"/>
          <w:sz w:val="32"/>
          <w:szCs w:val="32"/>
        </w:rPr>
      </w:pPr>
      <w:r>
        <w:rPr>
          <w:rFonts w:hint="eastAsia" w:ascii="楷体_GB2312" w:hAnsi="楷体" w:eastAsia="楷体_GB2312" w:cs="仿宋_GB2312"/>
          <w:sz w:val="32"/>
          <w:szCs w:val="32"/>
          <w:lang w:eastAsia="zh-CN"/>
        </w:rPr>
        <w:t>（四）</w:t>
      </w:r>
      <w:r>
        <w:rPr>
          <w:rFonts w:hint="eastAsia" w:ascii="楷体_GB2312" w:hAnsi="楷体" w:eastAsia="楷体_GB2312" w:cs="仿宋_GB2312"/>
          <w:sz w:val="32"/>
          <w:szCs w:val="32"/>
        </w:rPr>
        <w:t>年度预算执行情况</w:t>
      </w:r>
    </w:p>
    <w:p>
      <w:pPr>
        <w:ind w:firstLine="640" w:firstLineChars="200"/>
        <w:outlineLvl w:val="0"/>
        <w:rPr>
          <w:rFonts w:hint="default" w:ascii="仿宋_GB2312" w:hAnsi="宋体" w:eastAsia="仿宋_GB2312"/>
          <w:sz w:val="32"/>
          <w:szCs w:val="32"/>
          <w:lang w:val="en-US" w:eastAsia="zh-CN"/>
        </w:rPr>
      </w:pPr>
      <w:r>
        <w:rPr>
          <w:rFonts w:hint="eastAsia" w:ascii="仿宋_GB2312" w:hAnsi="宋体" w:eastAsia="仿宋_GB2312"/>
          <w:sz w:val="32"/>
          <w:szCs w:val="32"/>
          <w:lang w:eastAsia="zh-CN"/>
        </w:rPr>
        <w:t>该项目市级财政批复资金</w:t>
      </w:r>
      <w:r>
        <w:rPr>
          <w:rFonts w:hint="eastAsia" w:ascii="仿宋_GB2312" w:hAnsi="宋体" w:eastAsia="仿宋_GB2312"/>
          <w:sz w:val="32"/>
          <w:szCs w:val="32"/>
          <w:lang w:val="en-US" w:eastAsia="zh-CN"/>
        </w:rPr>
        <w:t>3100000</w:t>
      </w:r>
      <w:r>
        <w:rPr>
          <w:rFonts w:hint="eastAsia" w:ascii="仿宋_GB2312" w:hAnsi="宋体" w:eastAsia="仿宋_GB2312"/>
          <w:sz w:val="32"/>
          <w:szCs w:val="32"/>
          <w:lang w:eastAsia="zh-CN"/>
        </w:rPr>
        <w:t>元。截至202</w:t>
      </w:r>
      <w:r>
        <w:rPr>
          <w:rFonts w:hint="eastAsia" w:ascii="仿宋_GB2312" w:hAnsi="宋体" w:eastAsia="仿宋_GB2312"/>
          <w:sz w:val="32"/>
          <w:szCs w:val="32"/>
          <w:lang w:val="en-US" w:eastAsia="zh-CN"/>
        </w:rPr>
        <w:t>4</w:t>
      </w:r>
      <w:r>
        <w:rPr>
          <w:rFonts w:hint="eastAsia" w:ascii="仿宋_GB2312" w:hAnsi="宋体" w:eastAsia="仿宋_GB2312"/>
          <w:sz w:val="32"/>
          <w:szCs w:val="32"/>
          <w:lang w:eastAsia="zh-CN"/>
        </w:rPr>
        <w:t>年</w:t>
      </w:r>
      <w:r>
        <w:rPr>
          <w:rFonts w:hint="eastAsia" w:ascii="仿宋_GB2312" w:hAnsi="宋体" w:eastAsia="仿宋_GB2312"/>
          <w:sz w:val="32"/>
          <w:szCs w:val="32"/>
          <w:lang w:val="en-US" w:eastAsia="zh-CN"/>
        </w:rPr>
        <w:t>3</w:t>
      </w:r>
      <w:r>
        <w:rPr>
          <w:rFonts w:hint="eastAsia" w:ascii="仿宋_GB2312" w:hAnsi="宋体" w:eastAsia="仿宋_GB2312"/>
          <w:sz w:val="32"/>
          <w:szCs w:val="32"/>
          <w:lang w:eastAsia="zh-CN"/>
        </w:rPr>
        <w:t>月，该项目实际拨款</w:t>
      </w:r>
      <w:r>
        <w:rPr>
          <w:rFonts w:hint="eastAsia" w:ascii="仿宋_GB2312" w:hAnsi="宋体" w:eastAsia="仿宋_GB2312"/>
          <w:sz w:val="32"/>
          <w:szCs w:val="32"/>
          <w:lang w:val="en-US" w:eastAsia="zh-CN"/>
        </w:rPr>
        <w:t>2612800元（</w:t>
      </w:r>
      <w:r>
        <w:rPr>
          <w:rFonts w:hint="eastAsia" w:ascii="仿宋_GB2312" w:hAnsi="宋体" w:eastAsia="仿宋_GB2312"/>
          <w:sz w:val="32"/>
          <w:szCs w:val="32"/>
          <w:lang w:eastAsia="zh-CN"/>
        </w:rPr>
        <w:t>项目</w:t>
      </w:r>
      <w:r>
        <w:rPr>
          <w:rFonts w:hint="eastAsia" w:ascii="仿宋_GB2312" w:hAnsi="宋体" w:eastAsia="仿宋_GB2312"/>
          <w:sz w:val="32"/>
          <w:szCs w:val="32"/>
          <w:lang w:val="en-US" w:eastAsia="zh-CN"/>
        </w:rPr>
        <w:t>审减金额8229元，退回财政351420元），项目最终应支付尾款金额合计为126961</w:t>
      </w:r>
      <w:r>
        <w:rPr>
          <w:rFonts w:hint="eastAsia" w:ascii="仿宋_GB2312" w:hAnsi="宋体" w:eastAsia="仿宋_GB2312"/>
          <w:sz w:val="32"/>
          <w:szCs w:val="32"/>
          <w:lang w:eastAsia="zh-CN"/>
        </w:rPr>
        <w:t>元。目前预算执行率</w:t>
      </w:r>
      <w:r>
        <w:rPr>
          <w:rFonts w:hint="eastAsia" w:ascii="仿宋_GB2312" w:hAnsi="宋体" w:eastAsia="仿宋_GB2312"/>
          <w:sz w:val="32"/>
          <w:szCs w:val="32"/>
          <w:lang w:val="en-US" w:eastAsia="zh-CN"/>
        </w:rPr>
        <w:t>84.28</w:t>
      </w:r>
      <w:r>
        <w:rPr>
          <w:rFonts w:hint="eastAsia" w:ascii="仿宋_GB2312" w:hAnsi="宋体" w:eastAsia="仿宋_GB2312"/>
          <w:sz w:val="32"/>
          <w:szCs w:val="32"/>
          <w:lang w:eastAsia="zh-CN"/>
        </w:rPr>
        <w:t>%。</w:t>
      </w:r>
    </w:p>
    <w:p>
      <w:pPr>
        <w:keepNext/>
        <w:keepLines/>
        <w:numPr>
          <w:ilvl w:val="0"/>
          <w:numId w:val="1"/>
        </w:numPr>
        <w:snapToGrid w:val="0"/>
        <w:spacing w:line="520" w:lineRule="exact"/>
        <w:ind w:left="0" w:leftChars="0" w:firstLine="640" w:firstLineChars="200"/>
        <w:outlineLvl w:val="0"/>
        <w:rPr>
          <w:rFonts w:hint="eastAsia" w:ascii="黑体" w:hAnsi="黑体" w:eastAsia="黑体" w:cs="宋体"/>
          <w:bCs/>
          <w:kern w:val="0"/>
          <w:sz w:val="32"/>
          <w:szCs w:val="32"/>
        </w:rPr>
      </w:pPr>
      <w:r>
        <w:rPr>
          <w:rFonts w:hint="eastAsia" w:ascii="黑体" w:hAnsi="黑体" w:eastAsia="黑体" w:cs="宋体"/>
          <w:bCs/>
          <w:kern w:val="0"/>
          <w:sz w:val="32"/>
          <w:szCs w:val="32"/>
        </w:rPr>
        <w:t>绩效目标情况及分析</w:t>
      </w:r>
    </w:p>
    <w:p>
      <w:pPr>
        <w:ind w:firstLine="640" w:firstLineChars="200"/>
        <w:outlineLvl w:val="0"/>
        <w:rPr>
          <w:rFonts w:ascii="仿宋_GB2312" w:hAnsi="宋体" w:eastAsia="仿宋_GB2312"/>
          <w:sz w:val="32"/>
          <w:szCs w:val="32"/>
          <w:highlight w:val="none"/>
        </w:rPr>
      </w:pPr>
      <w:r>
        <w:rPr>
          <w:rFonts w:hint="eastAsia" w:ascii="楷体_GB2312" w:hAnsi="楷体" w:eastAsia="楷体_GB2312" w:cs="仿宋_GB2312"/>
          <w:sz w:val="32"/>
          <w:szCs w:val="32"/>
          <w:highlight w:val="none"/>
        </w:rPr>
        <w:t>（一）资金投入情况分析</w:t>
      </w:r>
    </w:p>
    <w:p>
      <w:pPr>
        <w:ind w:firstLine="640" w:firstLineChars="200"/>
        <w:outlineLvl w:val="0"/>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按照政府采购要求，经公开招标，确定水科远大（北京）交通设计院有限公司为项目建设单位，北京易科森特科技有限公司为项目监理单位，北京天宇顺德工程咨询有限公司为项目结算评审单位。资金主要用于购买</w:t>
      </w:r>
      <w:r>
        <w:rPr>
          <w:rFonts w:hint="eastAsia" w:ascii="仿宋_GB2312" w:hAnsi="宋体" w:eastAsia="仿宋_GB2312"/>
          <w:sz w:val="32"/>
          <w:szCs w:val="32"/>
          <w:lang w:eastAsia="zh-CN"/>
        </w:rPr>
        <w:t>终端设备</w:t>
      </w:r>
      <w:r>
        <w:rPr>
          <w:rFonts w:hint="eastAsia" w:ascii="仿宋_GB2312" w:hAnsi="宋体" w:eastAsia="仿宋_GB2312"/>
          <w:sz w:val="32"/>
          <w:szCs w:val="32"/>
          <w:lang w:val="en-US" w:eastAsia="zh-CN"/>
        </w:rPr>
        <w:t>105.79万元，应用软件139.82万元，配套工程9.6万元，其他需求29.8万元，项目监理费用9.558万元，评审费0.54万元。水上监管系统建设完成，</w:t>
      </w:r>
      <w:r>
        <w:rPr>
          <w:rFonts w:hint="eastAsia" w:ascii="仿宋_GB2312" w:hAnsi="宋体" w:eastAsia="仿宋_GB2312"/>
          <w:sz w:val="32"/>
          <w:szCs w:val="32"/>
          <w:lang w:eastAsia="zh-CN"/>
        </w:rPr>
        <w:t>有效提升水上交通监管能力。</w:t>
      </w:r>
    </w:p>
    <w:p>
      <w:pPr>
        <w:spacing w:line="520" w:lineRule="exact"/>
        <w:ind w:firstLine="640" w:firstLineChars="200"/>
        <w:rPr>
          <w:rFonts w:ascii="楷体_GB2312" w:hAnsi="宋体" w:eastAsia="楷体_GB2312"/>
          <w:sz w:val="32"/>
          <w:szCs w:val="32"/>
        </w:rPr>
      </w:pPr>
      <w:r>
        <w:rPr>
          <w:rFonts w:hint="eastAsia" w:ascii="楷体_GB2312" w:hAnsi="宋体" w:eastAsia="楷体_GB2312"/>
          <w:sz w:val="32"/>
          <w:szCs w:val="32"/>
        </w:rPr>
        <w:t>（</w:t>
      </w:r>
      <w:r>
        <w:rPr>
          <w:rFonts w:hint="eastAsia" w:ascii="楷体_GB2312" w:hAnsi="宋体" w:eastAsia="楷体_GB2312"/>
          <w:sz w:val="32"/>
          <w:szCs w:val="32"/>
          <w:lang w:eastAsia="zh-CN"/>
        </w:rPr>
        <w:t>二</w:t>
      </w:r>
      <w:r>
        <w:rPr>
          <w:rFonts w:hint="eastAsia" w:ascii="楷体_GB2312" w:hAnsi="宋体" w:eastAsia="楷体_GB2312"/>
          <w:sz w:val="32"/>
          <w:szCs w:val="32"/>
        </w:rPr>
        <w:t>）绩效目标完成情况</w:t>
      </w:r>
    </w:p>
    <w:p>
      <w:pPr>
        <w:ind w:firstLine="640" w:firstLineChars="200"/>
        <w:outlineLvl w:val="0"/>
        <w:rPr>
          <w:rFonts w:hint="eastAsia" w:ascii="仿宋_GB2312" w:hAnsi="宋体" w:eastAsia="仿宋_GB2312"/>
          <w:sz w:val="32"/>
          <w:szCs w:val="32"/>
          <w:lang w:eastAsia="zh-CN"/>
        </w:rPr>
      </w:pPr>
      <w:r>
        <w:rPr>
          <w:rFonts w:hint="eastAsia" w:ascii="仿宋_GB2312" w:hAnsi="宋体" w:eastAsia="仿宋_GB2312"/>
          <w:sz w:val="32"/>
          <w:szCs w:val="32"/>
          <w:lang w:eastAsia="zh-CN"/>
        </w:rPr>
        <w:t>截至2023年</w:t>
      </w:r>
      <w:r>
        <w:rPr>
          <w:rFonts w:hint="eastAsia" w:ascii="仿宋_GB2312" w:hAnsi="宋体" w:eastAsia="仿宋_GB2312"/>
          <w:sz w:val="32"/>
          <w:szCs w:val="32"/>
          <w:lang w:val="en-US" w:eastAsia="zh-CN"/>
        </w:rPr>
        <w:t>10</w:t>
      </w:r>
      <w:r>
        <w:rPr>
          <w:rFonts w:hint="eastAsia" w:ascii="仿宋_GB2312" w:hAnsi="宋体" w:eastAsia="仿宋_GB2312"/>
          <w:sz w:val="32"/>
          <w:szCs w:val="32"/>
          <w:lang w:eastAsia="zh-CN"/>
        </w:rPr>
        <w:t>月底，已建设前端智能视频感知系统、AIS信息采集系统、通航环境管理系统、船舶船员监管系统、现场执法调度系统、并对执法船系统进行部分改造，完成监管、执法数据协同，并实现了针对一线执法、监管及应急救助的水上船舶和人员的电子巡查、非接触安全监管，全面提升通州区水上交通综合监管和安全保障能力，保障水域交通安全。</w:t>
      </w:r>
    </w:p>
    <w:p>
      <w:pPr>
        <w:numPr>
          <w:ilvl w:val="0"/>
          <w:numId w:val="2"/>
        </w:numPr>
        <w:ind w:left="0" w:leftChars="0" w:firstLine="640" w:firstLineChars="200"/>
        <w:outlineLvl w:val="0"/>
        <w:rPr>
          <w:rFonts w:hint="eastAsia" w:ascii="楷体_GB2312" w:hAnsi="楷体" w:eastAsia="楷体_GB2312" w:cs="仿宋_GB2312"/>
          <w:sz w:val="32"/>
          <w:szCs w:val="32"/>
        </w:rPr>
      </w:pPr>
      <w:r>
        <w:rPr>
          <w:rFonts w:hint="eastAsia" w:ascii="楷体_GB2312" w:hAnsi="楷体" w:eastAsia="楷体_GB2312" w:cs="仿宋_GB2312"/>
          <w:sz w:val="32"/>
          <w:szCs w:val="32"/>
        </w:rPr>
        <w:t>绩效指标完成情况分析</w:t>
      </w:r>
    </w:p>
    <w:p>
      <w:pPr>
        <w:numPr>
          <w:ilvl w:val="0"/>
          <w:numId w:val="0"/>
        </w:numPr>
        <w:spacing w:line="560" w:lineRule="exact"/>
        <w:ind w:firstLine="640" w:firstLineChars="200"/>
        <w:jc w:val="lef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1.数量指标：完成1套前端感知系统（包含11个视频监控设备、4个AIS感知设备）建设。</w:t>
      </w:r>
    </w:p>
    <w:p>
      <w:pPr>
        <w:numPr>
          <w:ilvl w:val="0"/>
          <w:numId w:val="0"/>
        </w:numPr>
        <w:spacing w:line="560" w:lineRule="exact"/>
        <w:ind w:firstLine="640"/>
        <w:jc w:val="lef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2.质量指标：软件可靠性良好，不低于99%。硬件可靠性良好，不低于99%。</w:t>
      </w:r>
    </w:p>
    <w:p>
      <w:pPr>
        <w:numPr>
          <w:ilvl w:val="0"/>
          <w:numId w:val="0"/>
        </w:numPr>
        <w:spacing w:line="560" w:lineRule="exact"/>
        <w:ind w:firstLine="640"/>
        <w:jc w:val="left"/>
        <w:rPr>
          <w:rFonts w:hint="default" w:ascii="仿宋_GB2312" w:hAnsi="宋体" w:eastAsia="仿宋_GB2312"/>
          <w:sz w:val="32"/>
          <w:szCs w:val="32"/>
          <w:lang w:val="en-US" w:eastAsia="zh-CN"/>
        </w:rPr>
      </w:pPr>
      <w:r>
        <w:rPr>
          <w:rFonts w:hint="eastAsia" w:ascii="仿宋_GB2312" w:hAnsi="宋体" w:eastAsia="仿宋_GB2312"/>
          <w:sz w:val="32"/>
          <w:szCs w:val="32"/>
          <w:lang w:val="en-US" w:eastAsia="zh-CN"/>
        </w:rPr>
        <w:t>3.时效指标：系统运行维护时间（1.每月定期维护2.每年重大节假日前系统维护）不少于12次。系统故障修复时间，24小时内。</w:t>
      </w:r>
    </w:p>
    <w:p>
      <w:pPr>
        <w:numPr>
          <w:ilvl w:val="0"/>
          <w:numId w:val="0"/>
        </w:numPr>
        <w:spacing w:line="560" w:lineRule="exact"/>
        <w:ind w:firstLine="640"/>
        <w:jc w:val="lef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4.成本指标：系统建设成本不高于310万元。</w:t>
      </w:r>
    </w:p>
    <w:p>
      <w:pPr>
        <w:numPr>
          <w:ilvl w:val="0"/>
          <w:numId w:val="0"/>
        </w:numPr>
        <w:spacing w:line="560" w:lineRule="exact"/>
        <w:ind w:firstLine="640"/>
        <w:jc w:val="lef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5.经济效益指标：系统监测大运河（通州段）通航水域安全情况不少于365天。</w:t>
      </w:r>
    </w:p>
    <w:p>
      <w:pPr>
        <w:numPr>
          <w:ilvl w:val="0"/>
          <w:numId w:val="0"/>
        </w:numPr>
        <w:spacing w:line="560" w:lineRule="exact"/>
        <w:ind w:firstLine="640"/>
        <w:jc w:val="left"/>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6.社会效益指标：确保乘船乘客安全出行，不低于99%。</w:t>
      </w:r>
    </w:p>
    <w:p>
      <w:pPr>
        <w:numPr>
          <w:ilvl w:val="0"/>
          <w:numId w:val="0"/>
        </w:numPr>
        <w:spacing w:line="560" w:lineRule="exact"/>
        <w:ind w:firstLine="640"/>
        <w:jc w:val="left"/>
        <w:rPr>
          <w:rFonts w:hint="eastAsia" w:ascii="仿宋_GB2312" w:hAnsi="宋体" w:eastAsia="仿宋_GB2312"/>
          <w:sz w:val="32"/>
          <w:szCs w:val="32"/>
          <w:highlight w:val="yellow"/>
          <w:lang w:eastAsia="zh-CN"/>
        </w:rPr>
      </w:pPr>
      <w:r>
        <w:rPr>
          <w:rFonts w:hint="eastAsia" w:ascii="仿宋_GB2312" w:hAnsi="宋体" w:eastAsia="仿宋_GB2312"/>
          <w:sz w:val="32"/>
          <w:szCs w:val="32"/>
          <w:lang w:val="en-US" w:eastAsia="zh-CN"/>
        </w:rPr>
        <w:t>7.服务对象满意度指标:执法人员使用系统执法满意率,不低于99%。</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四、偏离绩效目标的原因和下一步改进措施</w:t>
      </w:r>
    </w:p>
    <w:p>
      <w:pPr>
        <w:spacing w:line="360" w:lineRule="auto"/>
        <w:ind w:firstLine="640" w:firstLineChars="200"/>
        <w:outlineLvl w:val="0"/>
        <w:rPr>
          <w:rFonts w:hint="eastAsia" w:ascii="仿宋_GB2312" w:hAnsi="宋体" w:eastAsia="仿宋_GB2312"/>
          <w:sz w:val="32"/>
          <w:szCs w:val="32"/>
          <w:lang w:eastAsia="zh-CN"/>
        </w:rPr>
      </w:pPr>
      <w:r>
        <w:rPr>
          <w:rFonts w:hint="eastAsia" w:ascii="仿宋_GB2312" w:hAnsi="宋体" w:eastAsia="仿宋_GB2312"/>
          <w:sz w:val="32"/>
          <w:szCs w:val="32"/>
          <w:lang w:eastAsia="zh-CN"/>
        </w:rPr>
        <w:t>无</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五、政策执行或项目实施中存在的问题、原因分析和改进措施。</w:t>
      </w:r>
    </w:p>
    <w:p>
      <w:pPr>
        <w:spacing w:line="360" w:lineRule="auto"/>
        <w:ind w:firstLine="640" w:firstLineChars="200"/>
        <w:outlineLvl w:val="0"/>
        <w:rPr>
          <w:rFonts w:hint="eastAsia" w:ascii="仿宋_GB2312" w:hAnsi="宋体" w:eastAsia="仿宋_GB2312"/>
          <w:sz w:val="32"/>
          <w:szCs w:val="32"/>
          <w:lang w:eastAsia="zh-CN"/>
        </w:rPr>
      </w:pPr>
      <w:r>
        <w:rPr>
          <w:rFonts w:hint="eastAsia" w:ascii="仿宋_GB2312" w:hAnsi="宋体" w:eastAsia="仿宋_GB2312"/>
          <w:sz w:val="32"/>
          <w:szCs w:val="32"/>
          <w:lang w:eastAsia="zh-CN"/>
        </w:rPr>
        <w:t>无</w:t>
      </w:r>
    </w:p>
    <w:p>
      <w:pPr>
        <w:numPr>
          <w:ilvl w:val="0"/>
          <w:numId w:val="3"/>
        </w:numPr>
        <w:spacing w:line="360" w:lineRule="auto"/>
        <w:ind w:firstLine="640" w:firstLineChars="200"/>
        <w:outlineLvl w:val="0"/>
        <w:rPr>
          <w:rFonts w:hint="eastAsia" w:ascii="黑体" w:hAnsi="黑体" w:eastAsia="黑体" w:cs="仿宋_GB2312"/>
          <w:sz w:val="32"/>
          <w:szCs w:val="32"/>
        </w:rPr>
      </w:pPr>
      <w:r>
        <w:rPr>
          <w:rFonts w:hint="eastAsia" w:ascii="黑体" w:hAnsi="黑体" w:eastAsia="黑体" w:cs="仿宋_GB2312"/>
          <w:sz w:val="32"/>
          <w:szCs w:val="32"/>
        </w:rPr>
        <w:t>绩效自评结果拟应用和公开情况</w:t>
      </w:r>
    </w:p>
    <w:p>
      <w:pPr>
        <w:spacing w:line="360" w:lineRule="auto"/>
        <w:ind w:firstLine="640" w:firstLineChars="200"/>
        <w:outlineLvl w:val="0"/>
        <w:rPr>
          <w:rFonts w:hint="eastAsia" w:ascii="仿宋_GB2312" w:hAnsi="宋体" w:eastAsia="仿宋_GB2312"/>
          <w:sz w:val="32"/>
          <w:szCs w:val="32"/>
          <w:lang w:eastAsia="zh-CN"/>
        </w:rPr>
      </w:pPr>
      <w:r>
        <w:rPr>
          <w:rFonts w:hint="eastAsia" w:ascii="仿宋_GB2312" w:hAnsi="宋体" w:eastAsia="仿宋_GB2312"/>
          <w:sz w:val="32"/>
          <w:szCs w:val="32"/>
          <w:lang w:eastAsia="zh-CN"/>
        </w:rPr>
        <w:t>无</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七、其他需要说明的问题</w:t>
      </w:r>
    </w:p>
    <w:p>
      <w:pPr>
        <w:spacing w:line="360" w:lineRule="auto"/>
        <w:ind w:firstLine="640" w:firstLineChars="200"/>
        <w:outlineLvl w:val="0"/>
        <w:rPr>
          <w:rFonts w:hint="eastAsia" w:ascii="仿宋_GB2312" w:hAnsi="宋体" w:eastAsia="仿宋_GB2312"/>
          <w:sz w:val="32"/>
          <w:szCs w:val="32"/>
          <w:lang w:eastAsia="zh-CN"/>
        </w:rPr>
      </w:pPr>
      <w:r>
        <w:rPr>
          <w:rFonts w:hint="eastAsia" w:ascii="仿宋_GB2312" w:hAnsi="宋体" w:eastAsia="仿宋_GB2312"/>
          <w:sz w:val="32"/>
          <w:szCs w:val="32"/>
          <w:lang w:eastAsia="zh-CN"/>
        </w:rPr>
        <w:t>无</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八、附件</w:t>
      </w:r>
    </w:p>
    <w:p>
      <w:pPr>
        <w:ind w:firstLine="640" w:firstLineChars="200"/>
        <w:rPr>
          <w:rFonts w:hint="eastAsia" w:ascii="仿宋_GB2312" w:hAnsi="宋体" w:eastAsia="仿宋_GB2312"/>
          <w:sz w:val="32"/>
          <w:szCs w:val="32"/>
        </w:rPr>
      </w:pPr>
      <w:r>
        <w:rPr>
          <w:rFonts w:hint="eastAsia" w:ascii="仿宋_GB2312" w:hAnsi="宋体" w:eastAsia="仿宋_GB2312"/>
          <w:sz w:val="32"/>
          <w:szCs w:val="32"/>
        </w:rPr>
        <w:t>转移支付区域（项目）绩效自评表</w:t>
      </w:r>
    </w:p>
    <w:p>
      <w:pPr>
        <w:ind w:firstLine="640" w:firstLineChars="200"/>
        <w:rPr>
          <w:rFonts w:hint="eastAsia" w:ascii="仿宋_GB2312" w:hAnsi="宋体" w:eastAsia="仿宋_GB2312"/>
          <w:sz w:val="32"/>
          <w:szCs w:val="32"/>
        </w:rPr>
      </w:pPr>
    </w:p>
    <w:p>
      <w:pPr>
        <w:spacing w:line="144" w:lineRule="auto"/>
        <w:ind w:firstLine="840" w:firstLineChars="400"/>
        <w:rPr>
          <w:rFonts w:hint="eastAsia" w:asciiTheme="minorEastAsia" w:hAnsiTheme="minorEastAsia" w:eastAsiaTheme="minorEastAsia"/>
        </w:rPr>
      </w:pPr>
    </w:p>
    <w:p>
      <w:pPr>
        <w:spacing w:line="144" w:lineRule="auto"/>
        <w:ind w:firstLine="840" w:firstLineChars="400"/>
        <w:rPr>
          <w:rFonts w:hint="eastAsia" w:asciiTheme="minorEastAsia" w:hAnsiTheme="minorEastAsia" w:eastAsiaTheme="minorEastAsia"/>
        </w:rPr>
      </w:pPr>
    </w:p>
    <w:p>
      <w:pPr>
        <w:spacing w:line="144" w:lineRule="auto"/>
        <w:ind w:firstLine="840" w:firstLineChars="400"/>
        <w:rPr>
          <w:rFonts w:hint="eastAsia" w:asciiTheme="minorEastAsia" w:hAnsiTheme="minorEastAsia" w:eastAsiaTheme="minorEastAsia"/>
        </w:rPr>
      </w:pPr>
    </w:p>
    <w:p>
      <w:pPr>
        <w:spacing w:line="144" w:lineRule="auto"/>
        <w:ind w:firstLine="840" w:firstLineChars="400"/>
        <w:rPr>
          <w:rFonts w:hint="eastAsia" w:asciiTheme="minorEastAsia" w:hAnsiTheme="minorEastAsia" w:eastAsiaTheme="minor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FFE2D8"/>
    <w:multiLevelType w:val="singleLevel"/>
    <w:tmpl w:val="C1FFE2D8"/>
    <w:lvl w:ilvl="0" w:tentative="0">
      <w:start w:val="2"/>
      <w:numFmt w:val="chineseCounting"/>
      <w:suff w:val="nothing"/>
      <w:lvlText w:val="（%1）"/>
      <w:lvlJc w:val="left"/>
      <w:rPr>
        <w:rFonts w:hint="eastAsia"/>
      </w:rPr>
    </w:lvl>
  </w:abstractNum>
  <w:abstractNum w:abstractNumId="1">
    <w:nsid w:val="DFB389ED"/>
    <w:multiLevelType w:val="singleLevel"/>
    <w:tmpl w:val="DFB389ED"/>
    <w:lvl w:ilvl="0" w:tentative="0">
      <w:start w:val="1"/>
      <w:numFmt w:val="chineseCounting"/>
      <w:suff w:val="nothing"/>
      <w:lvlText w:val="%1、"/>
      <w:lvlJc w:val="left"/>
      <w:rPr>
        <w:rFonts w:hint="eastAsia"/>
      </w:rPr>
    </w:lvl>
  </w:abstractNum>
  <w:abstractNum w:abstractNumId="2">
    <w:nsid w:val="3C4F70A8"/>
    <w:multiLevelType w:val="singleLevel"/>
    <w:tmpl w:val="3C4F70A8"/>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23F"/>
    <w:rsid w:val="0053051B"/>
    <w:rsid w:val="006F2782"/>
    <w:rsid w:val="0082523F"/>
    <w:rsid w:val="064F56ED"/>
    <w:rsid w:val="0C811EA9"/>
    <w:rsid w:val="16D761FE"/>
    <w:rsid w:val="1B8A67B3"/>
    <w:rsid w:val="1BD46B6A"/>
    <w:rsid w:val="21671C88"/>
    <w:rsid w:val="4D4B1596"/>
    <w:rsid w:val="75B51C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113</Words>
  <Characters>647</Characters>
  <Lines>5</Lines>
  <Paragraphs>1</Paragraphs>
  <TotalTime>8</TotalTime>
  <ScaleCrop>false</ScaleCrop>
  <LinksUpToDate>false</LinksUpToDate>
  <CharactersWithSpaces>759</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2024-03-06T02:49:00Z</dcterms:created>
  <dc:creator>THTF</dc:creator>
  <cp:lastModifiedBy>jtj201715</cp:lastModifiedBy>
  <dcterms:modified xsi:type="dcterms:W3CDTF">2024-03-13T06:06:04Z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