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SimSun" w:hAnsi="SimSun" w:eastAsia="SimSun" w:cs="SimSun"/>
                <w:sz w:val="15"/>
                <w:szCs w:val="15"/>
              </w:rPr>
            </w:pP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（</w:t>
            </w:r>
            <w:r>
              <w:rPr>
                <w:rFonts w:ascii="SimSun" w:hAnsi="SimSun" w:eastAsia="SimSun" w:cs="SimSun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202</w:t>
            </w:r>
            <w:r>
              <w:rPr>
                <w:rFonts w:hint="eastAsia" w:ascii="SimSun" w:hAnsi="SimSun" w:eastAsia="SimSun" w:cs="SimSun"/>
                <w:spacing w:val="1"/>
                <w:sz w:val="15"/>
                <w:szCs w:val="15"/>
                <w:lang w:val="en-US" w:eastAsia="zh-CN"/>
              </w:rPr>
              <w:t>3</w:t>
            </w:r>
            <w:r>
              <w:rPr>
                <w:rFonts w:ascii="SimSun" w:hAnsi="SimSun" w:eastAsia="SimSun" w:cs="SimSun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4" w:lineRule="auto"/>
              <w:ind w:left="3556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信访复查复核</w:t>
            </w: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  <w:lang w:eastAsia="zh-CN"/>
              </w:rPr>
              <w:t>法律服务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pacing w:val="6"/>
                <w:sz w:val="12"/>
                <w:szCs w:val="12"/>
                <w:lang w:eastAsia="zh-CN"/>
              </w:rPr>
              <w:t>孟秀娟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1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29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65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4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4"/>
                <w:position w:val="1"/>
                <w:sz w:val="12"/>
                <w:szCs w:val="12"/>
                <w:lang w:val="en-US" w:eastAsia="zh-CN"/>
              </w:rPr>
              <w:t>100</w:t>
            </w:r>
            <w:r>
              <w:rPr>
                <w:rFonts w:ascii="SimSun" w:hAnsi="SimSun" w:eastAsia="SimSun" w:cs="SimSun"/>
                <w:spacing w:val="4"/>
                <w:position w:val="1"/>
                <w:sz w:val="12"/>
                <w:szCs w:val="12"/>
              </w:rPr>
              <w:t>.00%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其中：</w:t>
            </w:r>
            <w:r>
              <w:rPr>
                <w:rFonts w:ascii="SimSun" w:hAnsi="SimSun" w:eastAsia="SimSun" w:cs="SimSun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1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29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65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4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4"/>
                <w:position w:val="1"/>
                <w:sz w:val="12"/>
                <w:szCs w:val="12"/>
                <w:lang w:val="en-US" w:eastAsia="zh-CN"/>
              </w:rPr>
              <w:t>100</w:t>
            </w:r>
            <w:r>
              <w:rPr>
                <w:rFonts w:ascii="SimSun" w:hAnsi="SimSun" w:eastAsia="SimSun" w:cs="SimSun"/>
                <w:spacing w:val="4"/>
                <w:position w:val="1"/>
                <w:sz w:val="12"/>
                <w:szCs w:val="12"/>
              </w:rPr>
              <w:t>.00%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年度总体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目标1：参与信访事项复查复核案件办理、甄别，对应当通过诉讼、仲裁、行政复议等法定途径解决的事项，指明正确的维权途径，并引导信访人依照法定途径和程序提出诉求。</w:t>
            </w:r>
          </w:p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目标2：依照《信访工作条例》正确出具信访处理意见，并指导.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ind w:firstLine="136" w:firstLineChars="100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目标1：完成年度信访事项复查复核案件办理、甄别，对应当通过诉讼、仲裁、行政复议等法定途径解决的事项，指明正确的维权途径，并引导信访人依照法定途径和程序提出诉求。</w:t>
            </w:r>
          </w:p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目标2：完成按照《信访工作条例》要求正确出具信访处理意见，并指导信访人维护权利的工作。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SimSun" w:hAnsi="SimSun" w:eastAsia="SimSun" w:cs="SimSun"/>
                <w:spacing w:val="2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指</w:t>
            </w:r>
          </w:p>
          <w:p>
            <w:pPr>
              <w:spacing w:before="43" w:line="231" w:lineRule="auto"/>
              <w:ind w:left="288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1" w:lineRule="auto"/>
              <w:ind w:left="288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4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4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5" w:line="234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5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5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指标1：聘请律师事务所</w:t>
            </w:r>
          </w:p>
        </w:tc>
        <w:tc>
          <w:tcPr>
            <w:tcW w:w="691" w:type="dxa"/>
            <w:vAlign w:val="top"/>
          </w:tcPr>
          <w:p>
            <w:pPr>
              <w:spacing w:before="55" w:line="235" w:lineRule="auto"/>
              <w:ind w:left="19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4"/>
                <w:sz w:val="12"/>
                <w:szCs w:val="12"/>
                <w:lang w:val="en-US" w:eastAsia="zh-CN"/>
              </w:rPr>
              <w:t>=</w:t>
            </w: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3家</w:t>
            </w:r>
          </w:p>
        </w:tc>
        <w:tc>
          <w:tcPr>
            <w:tcW w:w="691" w:type="dxa"/>
            <w:vAlign w:val="top"/>
          </w:tcPr>
          <w:p>
            <w:pPr>
              <w:spacing w:before="55" w:line="235" w:lineRule="auto"/>
              <w:ind w:left="25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3家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3" w:lineRule="auto"/>
              <w:ind w:left="6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3" w:lineRule="auto"/>
              <w:ind w:left="63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5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  <w:r>
              <w:rPr>
                <w:rFonts w:hint="eastAsia" w:ascii="SimSun" w:hAnsi="SimSun" w:eastAsia="SimSun" w:cs="SimSun"/>
                <w:spacing w:val="5"/>
                <w:sz w:val="12"/>
                <w:szCs w:val="12"/>
              </w:rPr>
              <w:t>聘用律师</w:t>
            </w:r>
          </w:p>
        </w:tc>
        <w:tc>
          <w:tcPr>
            <w:tcW w:w="691" w:type="dxa"/>
            <w:vAlign w:val="top"/>
          </w:tcPr>
          <w:p>
            <w:pPr>
              <w:spacing w:before="55" w:line="235" w:lineRule="auto"/>
              <w:ind w:left="195" w:leftChars="0"/>
              <w:rPr>
                <w:rFonts w:hint="eastAsia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4"/>
                <w:sz w:val="12"/>
                <w:szCs w:val="12"/>
                <w:lang w:val="en-US" w:eastAsia="zh-CN"/>
              </w:rPr>
              <w:t>=</w:t>
            </w: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3</w:t>
            </w:r>
            <w:r>
              <w:rPr>
                <w:rFonts w:hint="eastAsia" w:ascii="SimSun" w:hAnsi="SimSun" w:eastAsia="SimSun" w:cs="SimSun"/>
                <w:spacing w:val="4"/>
                <w:sz w:val="12"/>
                <w:szCs w:val="12"/>
                <w:lang w:eastAsia="zh-CN"/>
              </w:rPr>
              <w:t>人</w:t>
            </w:r>
          </w:p>
        </w:tc>
        <w:tc>
          <w:tcPr>
            <w:tcW w:w="691" w:type="dxa"/>
            <w:vAlign w:val="top"/>
          </w:tcPr>
          <w:p>
            <w:pPr>
              <w:spacing w:before="55" w:line="235" w:lineRule="auto"/>
              <w:ind w:left="254" w:leftChars="0"/>
              <w:rPr>
                <w:rFonts w:hint="eastAsia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3</w:t>
            </w:r>
            <w:r>
              <w:rPr>
                <w:rFonts w:hint="eastAsia" w:ascii="SimSun" w:hAnsi="SimSun" w:eastAsia="SimSun" w:cs="SimSun"/>
                <w:spacing w:val="4"/>
                <w:sz w:val="12"/>
                <w:szCs w:val="12"/>
                <w:lang w:eastAsia="zh-CN"/>
              </w:rPr>
              <w:t>人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3" w:lineRule="auto"/>
              <w:ind w:left="632" w:leftChars="0"/>
              <w:rPr>
                <w:rFonts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3" w:lineRule="auto"/>
              <w:ind w:left="635" w:leftChars="0"/>
              <w:rPr>
                <w:rFonts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5" w:line="160" w:lineRule="exact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185" w:line="235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02" w:line="244" w:lineRule="auto"/>
              <w:ind w:left="24" w:right="72" w:firstLine="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spacing w:before="185" w:line="164" w:lineRule="exact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185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207" w:line="192" w:lineRule="auto"/>
              <w:ind w:left="667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207" w:line="192" w:lineRule="auto"/>
              <w:ind w:left="66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</w:rPr>
              <w:t>服务时间</w:t>
            </w: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8" w:firstLine="136" w:firstLineChars="100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8"/>
                <w:sz w:val="12"/>
                <w:szCs w:val="12"/>
                <w:lang w:val="en-US" w:eastAsia="zh-CN"/>
              </w:rPr>
              <w:t>=12月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158" w:lineRule="exact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142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rPr>
                <w:rFonts w:hint="eastAsia" w:ascii="SimSun" w:hAnsi="SimSun" w:eastAsia="SimSun" w:cs="SimSun"/>
                <w:spacing w:val="8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8"/>
                <w:sz w:val="12"/>
                <w:szCs w:val="12"/>
                <w:lang w:val="en-US" w:eastAsia="zh-CN"/>
              </w:rPr>
              <w:t>指标1：项目预算控制数</w:t>
            </w: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8" w:firstLine="136" w:firstLineChars="100"/>
              <w:rPr>
                <w:rFonts w:hint="default" w:ascii="SimSun" w:hAnsi="SimSun" w:eastAsia="SimSun" w:cs="SimSun"/>
                <w:spacing w:val="8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8"/>
                <w:sz w:val="12"/>
                <w:szCs w:val="12"/>
                <w:lang w:val="en-US" w:eastAsia="zh-CN"/>
              </w:rPr>
              <w:t>≤20万</w:t>
            </w: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firstLine="136" w:firstLineChars="100"/>
              <w:rPr>
                <w:rFonts w:hint="eastAsia" w:ascii="SimSun" w:hAnsi="SimSun" w:eastAsia="SimSun" w:cs="SimSun"/>
                <w:spacing w:val="8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8"/>
                <w:sz w:val="12"/>
                <w:szCs w:val="12"/>
                <w:lang w:val="en-US" w:eastAsia="zh-CN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61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61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41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125" w:line="235" w:lineRule="auto"/>
              <w:ind w:left="8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43" w:line="237" w:lineRule="auto"/>
              <w:ind w:left="217" w:right="82" w:hanging="1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经济效益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6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spacing w:before="125" w:line="164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125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5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5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28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指标3：</w:t>
            </w: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28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75" w:line="245" w:lineRule="auto"/>
              <w:ind w:left="217" w:right="82" w:hanging="1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社会效益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57" w:line="234" w:lineRule="auto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8"/>
                <w:sz w:val="12"/>
                <w:szCs w:val="12"/>
                <w:lang w:val="en-US" w:eastAsia="zh-CN"/>
              </w:rPr>
              <w:t>指标1：引导信访人依照法定途径和程序提出诉求，维护个人利益，降低复查率。</w:t>
            </w:r>
          </w:p>
        </w:tc>
        <w:tc>
          <w:tcPr>
            <w:tcW w:w="691" w:type="dxa"/>
            <w:vAlign w:val="top"/>
          </w:tcPr>
          <w:p>
            <w:pPr>
              <w:spacing w:before="157" w:line="163" w:lineRule="exact"/>
              <w:ind w:left="199" w:leftChars="0"/>
              <w:rPr>
                <w:rFonts w:hint="eastAsia" w:ascii="SimSun" w:hAnsi="SimSun" w:eastAsia="SimSun" w:cs="SimSun"/>
                <w:snapToGrid w:val="0"/>
                <w:color w:val="000000"/>
                <w:spacing w:val="2"/>
                <w:kern w:val="0"/>
                <w:position w:val="1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2"/>
                <w:position w:val="1"/>
                <w:sz w:val="12"/>
                <w:szCs w:val="12"/>
                <w:lang w:eastAsia="zh-CN"/>
              </w:rPr>
              <w:t>定性</w:t>
            </w:r>
          </w:p>
        </w:tc>
        <w:tc>
          <w:tcPr>
            <w:tcW w:w="691" w:type="dxa"/>
            <w:vAlign w:val="top"/>
          </w:tcPr>
          <w:p>
            <w:pPr>
              <w:spacing w:before="157" w:line="163" w:lineRule="exact"/>
              <w:ind w:left="199" w:leftChars="0"/>
              <w:rPr>
                <w:rFonts w:hint="eastAsia" w:ascii="SimSun" w:hAnsi="SimSun" w:eastAsia="SimSun" w:cs="SimSun"/>
                <w:snapToGrid w:val="0"/>
                <w:color w:val="000000"/>
                <w:spacing w:val="2"/>
                <w:kern w:val="0"/>
                <w:position w:val="1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2"/>
                <w:position w:val="1"/>
                <w:sz w:val="12"/>
                <w:szCs w:val="12"/>
                <w:lang w:eastAsia="zh-CN"/>
              </w:rPr>
              <w:t>高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3" w:lineRule="auto"/>
              <w:ind w:left="632" w:leftChars="0"/>
              <w:rPr>
                <w:rFonts w:ascii="SimSun" w:hAnsi="SimSun" w:eastAsia="SimSun" w:cs="SimSun"/>
                <w:spacing w:val="1"/>
                <w:sz w:val="12"/>
                <w:szCs w:val="12"/>
              </w:rPr>
            </w:pPr>
          </w:p>
          <w:p>
            <w:pPr>
              <w:spacing w:before="76" w:line="193" w:lineRule="auto"/>
              <w:ind w:left="632" w:leftChars="0"/>
              <w:rPr>
                <w:rFonts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3" w:lineRule="auto"/>
              <w:ind w:left="635" w:leftChars="0"/>
              <w:rPr>
                <w:rFonts w:ascii="SimSun" w:hAnsi="SimSun" w:eastAsia="SimSun" w:cs="SimSun"/>
                <w:spacing w:val="1"/>
                <w:sz w:val="12"/>
                <w:szCs w:val="12"/>
              </w:rPr>
            </w:pPr>
          </w:p>
          <w:p>
            <w:pPr>
              <w:spacing w:before="76" w:line="193" w:lineRule="auto"/>
              <w:ind w:left="635" w:leftChars="0"/>
              <w:rPr>
                <w:rFonts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66" w:line="245" w:lineRule="auto"/>
              <w:ind w:left="217" w:right="82" w:hanging="1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生态效益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50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8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jc w:val="center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66" w:line="245" w:lineRule="auto"/>
              <w:ind w:right="82"/>
              <w:jc w:val="center"/>
              <w:rPr>
                <w:rFonts w:ascii="SimSun" w:hAnsi="SimSun" w:eastAsia="SimSun" w:cs="SimSun"/>
                <w:spacing w:val="8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66" w:line="245" w:lineRule="auto"/>
              <w:ind w:right="82"/>
              <w:jc w:val="center"/>
              <w:rPr>
                <w:rFonts w:ascii="SimSun" w:hAnsi="SimSun" w:eastAsia="SimSun" w:cs="SimSun"/>
                <w:spacing w:val="8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66" w:line="245" w:lineRule="auto"/>
              <w:ind w:left="217" w:right="82" w:hanging="132"/>
              <w:jc w:val="left"/>
              <w:rPr>
                <w:rFonts w:ascii="SimSun" w:hAnsi="SimSun" w:eastAsia="SimSun" w:cs="SimSun"/>
                <w:spacing w:val="8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8"/>
                <w:sz w:val="12"/>
                <w:szCs w:val="12"/>
                <w:lang w:val="en-US" w:eastAsia="zh-CN"/>
              </w:rPr>
              <w:t>指标1：保障服务年度内稳定提供律师服务，保障审核工作稳定开展</w:t>
            </w:r>
          </w:p>
        </w:tc>
        <w:tc>
          <w:tcPr>
            <w:tcW w:w="691" w:type="dxa"/>
            <w:vAlign w:val="top"/>
          </w:tcPr>
          <w:p>
            <w:pPr>
              <w:spacing w:before="157" w:line="163" w:lineRule="exact"/>
              <w:ind w:left="199"/>
              <w:rPr>
                <w:rFonts w:hint="eastAsia" w:ascii="SimSun" w:hAnsi="SimSun" w:eastAsia="SimSun" w:cs="SimSun"/>
                <w:spacing w:val="2"/>
                <w:position w:val="1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pacing w:val="2"/>
                <w:position w:val="1"/>
                <w:sz w:val="12"/>
                <w:szCs w:val="12"/>
                <w:lang w:eastAsia="zh-CN"/>
              </w:rPr>
              <w:t>定性</w:t>
            </w:r>
          </w:p>
        </w:tc>
        <w:tc>
          <w:tcPr>
            <w:tcW w:w="691" w:type="dxa"/>
            <w:vAlign w:val="top"/>
          </w:tcPr>
          <w:p>
            <w:pPr>
              <w:spacing w:before="157" w:line="163" w:lineRule="exact"/>
              <w:ind w:left="199"/>
              <w:rPr>
                <w:rFonts w:hint="eastAsia" w:ascii="SimSun" w:hAnsi="SimSun" w:eastAsia="SimSun" w:cs="SimSun"/>
                <w:spacing w:val="2"/>
                <w:position w:val="1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pacing w:val="2"/>
                <w:position w:val="1"/>
                <w:sz w:val="12"/>
                <w:szCs w:val="12"/>
                <w:lang w:eastAsia="zh-CN"/>
              </w:rPr>
              <w:t>高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145" w:line="234" w:lineRule="auto"/>
              <w:ind w:left="14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1" w:line="235" w:lineRule="auto"/>
              <w:ind w:left="21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63" w:line="234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服务对象</w:t>
            </w:r>
          </w:p>
          <w:p>
            <w:pPr>
              <w:spacing w:before="11" w:line="234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满意度指</w:t>
            </w:r>
          </w:p>
          <w:p>
            <w:pPr>
              <w:spacing w:before="10" w:line="235" w:lineRule="auto"/>
              <w:ind w:left="28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226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</w:rPr>
              <w:t>律师聘用单位满意度</w:t>
            </w:r>
          </w:p>
        </w:tc>
        <w:tc>
          <w:tcPr>
            <w:tcW w:w="691" w:type="dxa"/>
            <w:vAlign w:val="top"/>
          </w:tcPr>
          <w:p>
            <w:pPr>
              <w:spacing w:before="226" w:line="164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226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246" w:line="194" w:lineRule="auto"/>
              <w:ind w:left="640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246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222" w:lineRule="exact"/>
              <w:jc w:val="center"/>
              <w:rPr>
                <w:sz w:val="19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93B3608"/>
    <w:rsid w:val="5B9F234D"/>
    <w:rsid w:val="73FA4BC9"/>
    <w:rsid w:val="757AB6AA"/>
    <w:rsid w:val="C7F68144"/>
    <w:rsid w:val="DFB629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2023-09-14T14:56:00Z</dcterms:created>
  <dc:creator>user</dc:creator>
  <cp:lastModifiedBy>user</cp:lastModifiedBy>
  <dcterms:modified xsi:type="dcterms:W3CDTF">2024-09-09T12:21:01Z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2023-09-12T22:30:16Z</vt:filetime>
  </property>
  <property fmtid="{D5CDD505-2E9C-101B-9397-08002B2CF9AE}" pid="4" name="KSOProductBuildVer">
    <vt:lpwstr>2052-11.8.2.10489</vt:lpwstr>
  </property>
</Properties>
</file>