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469"/>
        <w:gridCol w:w="912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75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心理咨询</w:t>
            </w: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eastAsia="zh-CN"/>
              </w:rPr>
              <w:t>疏导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 xml:space="preserve">  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目标1：社会组织、心理疏导机构参与信访接待工作，辅助矛盾纠纷的调解，对长期缠访人员进行心理疏导；</w:t>
            </w:r>
          </w:p>
          <w:p>
            <w:pPr>
              <w:pStyle w:val="5"/>
              <w:spacing w:line="215" w:lineRule="exact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目标2：深入社区配合做好矛盾化解工作。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eastAsia="SimSun"/>
                <w:lang w:val="en-US" w:eastAsia="zh-CN"/>
              </w:rPr>
              <w:t xml:space="preserve">  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目标1：已完成社会组织、心理疏导机构参与信访接待工作，辅助矛盾纠纷的调解，对长期缠访人员进行心理疏导；</w:t>
            </w:r>
          </w:p>
          <w:p>
            <w:pPr>
              <w:pStyle w:val="5"/>
              <w:spacing w:line="215" w:lineRule="exact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目标2：已完成年度深入社区配合做好矛盾化解工作。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1850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912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85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85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850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指标1：聘请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  <w:lang w:eastAsia="zh-CN"/>
              </w:rPr>
              <w:t>单位</w:t>
            </w: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数量</w:t>
            </w:r>
          </w:p>
        </w:tc>
        <w:tc>
          <w:tcPr>
            <w:tcW w:w="912" w:type="dxa"/>
            <w:vAlign w:val="top"/>
          </w:tcPr>
          <w:p>
            <w:pPr>
              <w:spacing w:before="76" w:line="194" w:lineRule="auto"/>
              <w:ind w:left="32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</w:t>
            </w:r>
          </w:p>
        </w:tc>
        <w:tc>
          <w:tcPr>
            <w:tcW w:w="691" w:type="dxa"/>
            <w:vAlign w:val="top"/>
          </w:tcPr>
          <w:p>
            <w:pPr>
              <w:spacing w:before="76" w:line="194" w:lineRule="auto"/>
              <w:ind w:left="32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912" w:type="dxa"/>
            <w:vAlign w:val="top"/>
          </w:tcPr>
          <w:p>
            <w:pPr>
              <w:spacing w:before="57" w:line="242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项目预算控制数</w:t>
            </w:r>
          </w:p>
        </w:tc>
        <w:tc>
          <w:tcPr>
            <w:tcW w:w="912" w:type="dxa"/>
            <w:vAlign w:val="top"/>
          </w:tcPr>
          <w:p>
            <w:pPr>
              <w:spacing w:before="57" w:line="242" w:lineRule="auto"/>
              <w:ind w:left="199"/>
              <w:rPr>
                <w:rFonts w:hint="default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</w:rPr>
              <w:t>≤</w:t>
            </w: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15万元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99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912" w:type="dxa"/>
            <w:vAlign w:val="top"/>
          </w:tcPr>
          <w:p>
            <w:pPr>
              <w:spacing w:before="59"/>
              <w:ind w:left="165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</w:rPr>
              <w:t>社工师出勤率</w:t>
            </w:r>
          </w:p>
        </w:tc>
        <w:tc>
          <w:tcPr>
            <w:tcW w:w="912" w:type="dxa"/>
            <w:vAlign w:val="top"/>
          </w:tcPr>
          <w:p>
            <w:pPr>
              <w:spacing w:before="121" w:line="164" w:lineRule="exact"/>
              <w:ind w:left="199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</w:t>
            </w:r>
            <w:r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val="en-US" w:eastAsia="zh-CN"/>
              </w:rPr>
              <w:t>90</w:t>
            </w: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%</w:t>
            </w:r>
          </w:p>
        </w:tc>
        <w:tc>
          <w:tcPr>
            <w:tcW w:w="691" w:type="dxa"/>
            <w:vAlign w:val="top"/>
          </w:tcPr>
          <w:p>
            <w:pPr>
              <w:spacing w:before="121" w:line="165" w:lineRule="exact"/>
              <w:ind w:left="129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121" w:line="233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912" w:type="dxa"/>
            <w:vAlign w:val="top"/>
          </w:tcPr>
          <w:p>
            <w:pPr>
              <w:spacing w:before="121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21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人员聘用单位满意度</w:t>
            </w:r>
          </w:p>
        </w:tc>
        <w:tc>
          <w:tcPr>
            <w:tcW w:w="912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912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9CC2FE"/>
    <w:rsid w:val="77CE07C6"/>
    <w:rsid w:val="7F3B1A70"/>
    <w:rsid w:val="7F77CFF7"/>
    <w:rsid w:val="BFFFEC5D"/>
    <w:rsid w:val="FF9CDF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2023-09-14T06:38:00Z</dcterms:created>
  <dc:creator>user</dc:creator>
  <cp:lastModifiedBy>user</cp:lastModifiedBy>
  <dcterms:modified xsi:type="dcterms:W3CDTF">2024-09-09T12:20:22Z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2023-09-12T22:30:26Z</vt:filetime>
  </property>
  <property fmtid="{D5CDD505-2E9C-101B-9397-08002B2CF9AE}" pid="4" name="KSOProductBuildVer">
    <vt:lpwstr>2052-11.8.2.10489</vt:lpwstr>
  </property>
</Properties>
</file>