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p>
    <w:tbl>
      <w:tblPr>
        <w:tblStyle w:val="8"/>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1023"/>
        <w:gridCol w:w="763"/>
        <w:gridCol w:w="557"/>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w:t>
            </w:r>
            <w:r>
              <w:rPr>
                <w:rFonts w:hint="default" w:ascii="宋体" w:hAnsi="宋体" w:cs="宋体"/>
                <w:color w:val="auto"/>
                <w:kern w:val="0"/>
                <w:sz w:val="22"/>
                <w:lang w:val="en" w:eastAsia="zh-CN"/>
              </w:rPr>
              <w:t>3</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采暖</w:t>
            </w:r>
            <w:r>
              <w:rPr>
                <w:rFonts w:hint="eastAsia" w:ascii="宋体" w:hAnsi="宋体" w:cs="宋体"/>
                <w:color w:val="auto"/>
                <w:kern w:val="0"/>
                <w:sz w:val="18"/>
                <w:szCs w:val="18"/>
              </w:rPr>
              <w:t>救助</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民政局</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195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徐颖</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195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69541024</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445</w:t>
            </w:r>
          </w:p>
        </w:tc>
        <w:tc>
          <w:tcPr>
            <w:tcW w:w="11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399.69</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399.69</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445</w:t>
            </w:r>
          </w:p>
        </w:tc>
        <w:tc>
          <w:tcPr>
            <w:tcW w:w="11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399.69</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399.69</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7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7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77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79"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根据《关于通州区城乡低保家庭和分散供养特困人员采暖救助的实施意见》（通民政文〔2019〕49号）、《北京市城市管理委员会关于北京市城乡低收入家庭采暖救助的实施意见》（京民社救发【2018】429号）文件要求，对城乡低保家庭、分散供养特困人员和城乡低收入家庭采用清洁能源、燃煤采暖、集中供暖等形式供热，发放采暖救助金，使其平稳过冬。</w:t>
            </w:r>
          </w:p>
        </w:tc>
        <w:tc>
          <w:tcPr>
            <w:tcW w:w="327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color w:val="auto"/>
                <w:kern w:val="0"/>
                <w:sz w:val="18"/>
                <w:szCs w:val="18"/>
              </w:rPr>
            </w:pPr>
            <w:r>
              <w:rPr>
                <w:rFonts w:hint="eastAsia" w:ascii="宋体" w:hAnsi="宋体" w:cs="宋体"/>
                <w:color w:val="auto"/>
                <w:kern w:val="0"/>
                <w:sz w:val="18"/>
                <w:szCs w:val="18"/>
              </w:rPr>
              <w:t>对城乡低保家庭、分散供养特困人员和城乡低收入家庭采用清洁能源、燃煤采暖、集中供暖等形式供热，发放采暖救助金，使其平稳过冬。</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13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指标1：享受采暖补助家庭户数</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≥3400户</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3453户</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指标1：及时</w:t>
            </w:r>
            <w:r>
              <w:rPr>
                <w:rFonts w:hint="eastAsia" w:ascii="宋体" w:hAnsi="宋体" w:cs="宋体"/>
                <w:color w:val="auto"/>
                <w:kern w:val="0"/>
                <w:sz w:val="18"/>
                <w:szCs w:val="18"/>
                <w:lang w:eastAsia="zh-CN"/>
              </w:rPr>
              <w:t>足额</w:t>
            </w:r>
            <w:r>
              <w:rPr>
                <w:rFonts w:hint="eastAsia" w:ascii="宋体" w:hAnsi="宋体" w:cs="宋体"/>
                <w:color w:val="auto"/>
                <w:kern w:val="0"/>
                <w:sz w:val="18"/>
                <w:szCs w:val="18"/>
              </w:rPr>
              <w:t>发放救助金</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宋体" w:hAnsi="宋体" w:cs="宋体"/>
                <w:color w:val="auto"/>
                <w:kern w:val="0"/>
                <w:sz w:val="18"/>
                <w:szCs w:val="18"/>
                <w:lang w:val="en-US" w:eastAsia="zh-CN"/>
              </w:rPr>
              <w:t>≤</w:t>
            </w:r>
            <w:r>
              <w:rPr>
                <w:rFonts w:hint="eastAsia" w:ascii="宋体" w:hAnsi="宋体" w:cs="宋体"/>
                <w:color w:val="auto"/>
                <w:kern w:val="0"/>
                <w:sz w:val="18"/>
                <w:szCs w:val="18"/>
                <w:lang w:val="en-US" w:eastAsia="zh-CN"/>
              </w:rPr>
              <w:t>445万</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399.69万</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指标1：受理时间</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2月、   10月</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2月、10月</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指标2：发放时间</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3月、   11月</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3月、11月</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低保及分散特困</w:t>
            </w:r>
            <w:r>
              <w:rPr>
                <w:rFonts w:hint="eastAsia" w:ascii="宋体" w:hAnsi="宋体" w:cs="宋体"/>
                <w:color w:val="auto"/>
                <w:kern w:val="0"/>
                <w:sz w:val="18"/>
                <w:szCs w:val="18"/>
              </w:rPr>
              <w:t>发放标准</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1800/户</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1800/户</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低收入对象</w:t>
            </w:r>
            <w:r>
              <w:rPr>
                <w:rFonts w:hint="eastAsia" w:ascii="宋体" w:hAnsi="宋体" w:cs="宋体"/>
                <w:color w:val="auto"/>
                <w:kern w:val="0"/>
                <w:sz w:val="18"/>
                <w:szCs w:val="18"/>
              </w:rPr>
              <w:t>发放标准</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600/户</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600/户</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指标1：切实保障困难群众平稳过冬</w:t>
            </w:r>
          </w:p>
        </w:tc>
        <w:tc>
          <w:tcPr>
            <w:tcW w:w="1023"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 xml:space="preserve"> 100%平稳过冬</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 100%平稳过冬</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bookmarkStart w:id="0" w:name="_GoBack"/>
            <w:bookmarkEnd w:id="0"/>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指标1：满意度调查</w:t>
            </w:r>
          </w:p>
        </w:tc>
        <w:tc>
          <w:tcPr>
            <w:tcW w:w="10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90%以上满意</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600" w:lineRule="exact"/>
      </w:pPr>
    </w:p>
    <w:sectPr>
      <w:footerReference r:id="rId3"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30000003" w:usb1="2BDF3C1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path/>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hyphenationZone w:val="360"/>
  <w:drawingGridHorizontalSpacing w:val="1"/>
  <w:drawingGridVerticalSpacing w:val="1"/>
  <w:displayHorizontalDrawingGridEvery w:val="0"/>
  <w:displayVerticalDrawingGridEvery w:val="0"/>
  <w:doNotUseMarginsForDrawingGridOrigin w:val="1"/>
  <w:drawingGridHorizontalOrigin w:val="0"/>
  <w:drawingGridVerticalOrigin w:val="0"/>
  <w:characterSpacingControl w:val="compressPunctuation"/>
  <w:doNotValidateAgainstSchema/>
  <w:doNotDemarcateInvalidXml/>
  <w:hdrShapeDefaults>
    <o:shapelayout v:ext="edit">
      <o:idmap v:ext="edit" data="2"/>
    </o:shapelayout>
  </w:hdrShapeDefaults>
  <w:compat>
    <w:noLeading/>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7964235"/>
    <w:rsid w:val="1EDF777D"/>
    <w:rsid w:val="28764C83"/>
    <w:rsid w:val="3D1F37CF"/>
    <w:rsid w:val="3D39ADB1"/>
    <w:rsid w:val="3F9FC7C4"/>
    <w:rsid w:val="46250F4C"/>
    <w:rsid w:val="4F534AA2"/>
    <w:rsid w:val="5B3FF48F"/>
    <w:rsid w:val="5EB7BD1B"/>
    <w:rsid w:val="8FED46AB"/>
    <w:rsid w:val="D66F460C"/>
    <w:rsid w:val="DFFF8C83"/>
    <w:rsid w:val="EBDF97C9"/>
    <w:rsid w:val="F4CB844B"/>
    <w:rsid w:val="F56B0009"/>
    <w:rsid w:val="FBF34E6B"/>
    <w:rsid w:val="FD75AAD2"/>
    <w:rsid w:val="FF3F230C"/>
    <w:rsid w:val="FF5F6ACC"/>
    <w:rsid w:val="FFFE3E5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3">
    <w:name w:val="caption"/>
    <w:basedOn w:val="1"/>
    <w:uiPriority w:val="0"/>
    <w:pPr>
      <w:widowControl w:val="0"/>
      <w:suppressLineNumbers/>
      <w:suppressAutoHyphens/>
      <w:spacing w:before="120" w:after="120"/>
    </w:pPr>
    <w:rPr>
      <w:i/>
      <w:iCs/>
      <w:sz w:val="24"/>
      <w:szCs w:val="24"/>
    </w:rPr>
  </w:style>
  <w:style w:type="paragraph" w:styleId="4">
    <w:name w:val="Body Text"/>
    <w:basedOn w:val="1"/>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List"/>
    <w:basedOn w:val="4"/>
    <w:uiPriority w:val="0"/>
  </w:style>
  <w:style w:type="paragraph" w:customStyle="1" w:styleId="9">
    <w:name w:val="Heading"/>
    <w:basedOn w:val="1"/>
    <w:next w:val="4"/>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0">
    <w:name w:val="Index"/>
    <w:basedOn w:val="1"/>
    <w:uiPriority w:val="0"/>
    <w:pPr>
      <w:widowControl w:val="0"/>
      <w:suppressLineNumbers/>
      <w:suppressAutoHyphens/>
    </w:pPr>
  </w:style>
  <w:style w:type="character" w:customStyle="1" w:styleId="11">
    <w:name w:val="默认段落字体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2018-11-30T17:47:00Z</dcterms:created>
  <dc:creator>user</dc:creator>
  <cp:lastModifiedBy>mzj</cp:lastModifiedBy>
  <cp:lastPrinted>2024-04-12T11:13:25Z</cp:lastPrinted>
  <dcterms:modified xsi:type="dcterms:W3CDTF">2024-09-06T06:44:34Z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