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p>
    <w:tbl>
      <w:tblPr>
        <w:tblStyle w:val="8"/>
        <w:tblW w:w="9575" w:type="dxa"/>
        <w:jc w:val="center"/>
        <w:tblInd w:w="0" w:type="dxa"/>
        <w:tblLayout w:type="fixed"/>
        <w:tblCellMar>
          <w:top w:w="0" w:type="dxa"/>
          <w:left w:w="108" w:type="dxa"/>
          <w:bottom w:w="0" w:type="dxa"/>
          <w:right w:w="108" w:type="dxa"/>
        </w:tblCellMar>
      </w:tblPr>
      <w:tblGrid>
        <w:gridCol w:w="578"/>
        <w:gridCol w:w="969"/>
        <w:gridCol w:w="1086"/>
        <w:gridCol w:w="718"/>
        <w:gridCol w:w="1114"/>
        <w:gridCol w:w="1140"/>
        <w:gridCol w:w="1155"/>
        <w:gridCol w:w="497"/>
        <w:gridCol w:w="118"/>
        <w:gridCol w:w="585"/>
        <w:gridCol w:w="68"/>
        <w:gridCol w:w="836"/>
        <w:gridCol w:w="64"/>
        <w:gridCol w:w="635"/>
        <w:gridCol w:w="12"/>
      </w:tblGrid>
      <w:tr>
        <w:tblPrEx>
          <w:tblLayout w:type="fixed"/>
          <w:tblCellMar>
            <w:top w:w="0" w:type="dxa"/>
            <w:left w:w="108" w:type="dxa"/>
            <w:bottom w:w="0" w:type="dxa"/>
            <w:right w:w="108" w:type="dxa"/>
          </w:tblCellMar>
        </w:tblPrEx>
        <w:trPr>
          <w:gridAfter w:val="2"/>
          <w:wAfter w:w="647" w:type="dxa"/>
          <w:trHeight w:val="440" w:hRule="exact"/>
          <w:jc w:val="center"/>
        </w:trPr>
        <w:tc>
          <w:tcPr>
            <w:tcW w:w="8928" w:type="dxa"/>
            <w:gridSpan w:val="13"/>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gridAfter w:val="2"/>
          <w:wAfter w:w="647" w:type="dxa"/>
          <w:trHeight w:val="194" w:hRule="atLeast"/>
          <w:jc w:val="center"/>
        </w:trPr>
        <w:tc>
          <w:tcPr>
            <w:tcW w:w="8928" w:type="dxa"/>
            <w:gridSpan w:val="13"/>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Layout w:type="fixed"/>
          <w:tblCellMar>
            <w:top w:w="0" w:type="dxa"/>
            <w:left w:w="108" w:type="dxa"/>
            <w:bottom w:w="0" w:type="dxa"/>
            <w:right w:w="108" w:type="dxa"/>
          </w:tblCellMar>
        </w:tblPrEx>
        <w:trPr>
          <w:gridAfter w:val="2"/>
          <w:wAfter w:w="647" w:type="dxa"/>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区管征地超转人员医疗经费</w:t>
            </w:r>
          </w:p>
        </w:tc>
      </w:tr>
      <w:tr>
        <w:tblPrEx>
          <w:tblLayout w:type="fixed"/>
          <w:tblCellMar>
            <w:top w:w="0" w:type="dxa"/>
            <w:left w:w="108" w:type="dxa"/>
            <w:bottom w:w="0" w:type="dxa"/>
            <w:right w:w="108" w:type="dxa"/>
          </w:tblCellMar>
        </w:tblPrEx>
        <w:trPr>
          <w:gridAfter w:val="1"/>
          <w:wAfter w:w="12" w:type="dxa"/>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5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通州区民政局</w:t>
            </w:r>
          </w:p>
        </w:tc>
        <w:tc>
          <w:tcPr>
            <w:tcW w:w="1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民政局</w:t>
            </w:r>
          </w:p>
        </w:tc>
      </w:tr>
      <w:tr>
        <w:tblPrEx>
          <w:tblLayout w:type="fixed"/>
          <w:tblCellMar>
            <w:top w:w="0" w:type="dxa"/>
            <w:left w:w="108" w:type="dxa"/>
            <w:bottom w:w="0" w:type="dxa"/>
            <w:right w:w="108" w:type="dxa"/>
          </w:tblCellMar>
        </w:tblPrEx>
        <w:trPr>
          <w:gridAfter w:val="1"/>
          <w:wAfter w:w="12" w:type="dxa"/>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5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王东克</w:t>
            </w:r>
          </w:p>
        </w:tc>
        <w:tc>
          <w:tcPr>
            <w:tcW w:w="1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80549007</w:t>
            </w:r>
          </w:p>
        </w:tc>
      </w:tr>
      <w:tr>
        <w:tblPrEx>
          <w:tblLayout w:type="fixed"/>
          <w:tblCellMar>
            <w:top w:w="0" w:type="dxa"/>
            <w:left w:w="108" w:type="dxa"/>
            <w:bottom w:w="0" w:type="dxa"/>
            <w:right w:w="108" w:type="dxa"/>
          </w:tblCellMar>
        </w:tblPrEx>
        <w:trPr>
          <w:gridAfter w:val="1"/>
          <w:wAfter w:w="12" w:type="dxa"/>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bookmarkStart w:id="0" w:name="_GoBack"/>
            <w:bookmarkEnd w:id="0"/>
            <w:r>
              <w:rPr>
                <w:rFonts w:hint="eastAsia" w:ascii="宋体" w:hAnsi="宋体" w:cs="宋体"/>
                <w:color w:val="auto"/>
                <w:kern w:val="0"/>
                <w:sz w:val="18"/>
                <w:szCs w:val="18"/>
              </w:rPr>
              <w:t>执行数</w:t>
            </w: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gridAfter w:val="1"/>
          <w:wAfter w:w="12" w:type="dxa"/>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default" w:ascii="宋体" w:hAnsi="宋体" w:eastAsia="宋体" w:cs="宋体"/>
                <w:color w:val="auto"/>
                <w:kern w:val="0"/>
                <w:sz w:val="18"/>
                <w:szCs w:val="18"/>
                <w:lang w:val="en-US" w:eastAsia="zh-CN"/>
              </w:rPr>
            </w:pPr>
          </w:p>
        </w:tc>
        <w:tc>
          <w:tcPr>
            <w:tcW w:w="1114"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34241.4</w:t>
            </w:r>
          </w:p>
        </w:tc>
        <w:tc>
          <w:tcPr>
            <w:tcW w:w="1140"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34241.4</w:t>
            </w:r>
          </w:p>
        </w:tc>
        <w:tc>
          <w:tcPr>
            <w:tcW w:w="16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36160.2</w:t>
            </w: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gridAfter w:val="1"/>
          <w:wAfter w:w="12" w:type="dxa"/>
          <w:trHeight w:val="224"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textDirection w:val="lrTb"/>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34241.4</w:t>
            </w:r>
          </w:p>
        </w:tc>
        <w:tc>
          <w:tcPr>
            <w:tcW w:w="1140" w:type="dxa"/>
            <w:tcBorders>
              <w:top w:val="nil"/>
              <w:left w:val="nil"/>
              <w:bottom w:val="single" w:color="auto" w:sz="4" w:space="0"/>
              <w:right w:val="single" w:color="auto" w:sz="4" w:space="0"/>
            </w:tcBorders>
            <w:textDirection w:val="lrTb"/>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34241.4</w:t>
            </w:r>
          </w:p>
        </w:tc>
        <w:tc>
          <w:tcPr>
            <w:tcW w:w="16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36160.2</w:t>
            </w: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gridAfter w:val="1"/>
          <w:wAfter w:w="12" w:type="dxa"/>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gridAfter w:val="1"/>
          <w:wAfter w:w="12" w:type="dxa"/>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2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958"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gridAfter w:val="1"/>
          <w:wAfter w:w="12" w:type="dxa"/>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027" w:type="dxa"/>
            <w:gridSpan w:val="5"/>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3"/>
                <w:szCs w:val="13"/>
                <w:lang w:val="en-US" w:eastAsia="zh-CN"/>
              </w:rPr>
            </w:pPr>
            <w:r>
              <w:rPr>
                <w:rFonts w:hint="eastAsia"/>
              </w:rPr>
              <w:t>落实超转人员管理政策，使超转人员看病就医有保障。依据《北京市民政局、北京市财政局、北京市人力资源和社会保障局关于完善征地超转人员医疗待遇和管理有关问题的意见》（京民征发〔2012〕503号）文件精神</w:t>
            </w:r>
          </w:p>
        </w:tc>
        <w:tc>
          <w:tcPr>
            <w:tcW w:w="3958"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rPr>
              <w:t>落实超转人员管理政策，使超转人员看病就医有保障，实现应保尽保，维护社会稳定。</w:t>
            </w:r>
          </w:p>
        </w:tc>
      </w:tr>
      <w:tr>
        <w:tblPrEx>
          <w:tblLayout w:type="fixed"/>
          <w:tblCellMar>
            <w:top w:w="0" w:type="dxa"/>
            <w:left w:w="108" w:type="dxa"/>
            <w:bottom w:w="0" w:type="dxa"/>
            <w:right w:w="108" w:type="dxa"/>
          </w:tblCellMar>
        </w:tblPrEx>
        <w:trPr>
          <w:gridAfter w:val="1"/>
          <w:wAfter w:w="12" w:type="dxa"/>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gridAfter w:val="1"/>
          <w:wAfter w:w="12" w:type="dxa"/>
          <w:trHeight w:val="6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指标1：享受</w:t>
            </w:r>
            <w:r>
              <w:rPr>
                <w:rFonts w:hint="eastAsia" w:ascii="宋体" w:hAnsi="宋体" w:cs="宋体"/>
                <w:color w:val="auto"/>
                <w:kern w:val="0"/>
                <w:sz w:val="18"/>
                <w:szCs w:val="18"/>
                <w:lang w:eastAsia="zh-CN"/>
              </w:rPr>
              <w:t>区管医疗费</w:t>
            </w:r>
            <w:r>
              <w:rPr>
                <w:rFonts w:hint="eastAsia" w:ascii="宋体" w:hAnsi="宋体" w:cs="宋体"/>
                <w:color w:val="auto"/>
                <w:kern w:val="0"/>
                <w:sz w:val="18"/>
                <w:szCs w:val="18"/>
              </w:rPr>
              <w:t>人数</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rPr>
              <w:t>≤</w:t>
            </w:r>
            <w:r>
              <w:rPr>
                <w:rFonts w:hint="eastAsia" w:ascii="宋体" w:hAnsi="宋体" w:cs="宋体"/>
                <w:color w:val="auto"/>
                <w:kern w:val="0"/>
                <w:sz w:val="18"/>
                <w:szCs w:val="18"/>
                <w:lang w:val="en-US" w:eastAsia="zh-CN"/>
              </w:rPr>
              <w:t>20142</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20089</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动态管理，随时有去世人人员</w:t>
            </w: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109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指标1：按时，足额</w:t>
            </w:r>
            <w:r>
              <w:rPr>
                <w:rFonts w:hint="eastAsia" w:ascii="宋体" w:hAnsi="宋体" w:cs="宋体"/>
                <w:color w:val="auto"/>
                <w:kern w:val="0"/>
                <w:sz w:val="18"/>
                <w:szCs w:val="18"/>
                <w:lang w:eastAsia="zh-CN"/>
              </w:rPr>
              <w:t>上缴医疗经费</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34241.4</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36160.2</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2021年医疗经费没有结余，市局文件是18000元每人</w:t>
            </w: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：上缴时间</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每年</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按时上缴</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61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按指标标准完成</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2023年1月至12月</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1：</w:t>
            </w:r>
          </w:p>
        </w:tc>
        <w:tc>
          <w:tcPr>
            <w:tcW w:w="1140" w:type="dxa"/>
            <w:tcBorders>
              <w:top w:val="nil"/>
              <w:left w:val="nil"/>
              <w:bottom w:val="single" w:color="auto" w:sz="4" w:space="0"/>
              <w:right w:val="single" w:color="auto" w:sz="4" w:space="0"/>
            </w:tcBorders>
            <w:vAlign w:val="center"/>
          </w:tcPr>
          <w:tbl>
            <w:tblPr>
              <w:tblStyle w:val="8"/>
              <w:tblW w:w="332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3322" w:type="dxa"/>
                  <w:vMerge w:val="restart"/>
                  <w:tcBorders>
                    <w:top w:val="nil"/>
                    <w:left w:val="nil"/>
                    <w:bottom w:val="nil"/>
                    <w:right w:val="single" w:color="000000" w:sz="4" w:space="0"/>
                  </w:tcBorders>
                  <w:vAlign w:val="center"/>
                </w:tcPr>
                <w:p>
                  <w:pPr>
                    <w:jc w:val="both"/>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年每人1800元/年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3322" w:type="dxa"/>
                  <w:vMerge w:val="continue"/>
                  <w:tcBorders>
                    <w:top w:val="nil"/>
                    <w:left w:val="nil"/>
                    <w:bottom w:val="nil"/>
                    <w:right w:val="single" w:color="000000" w:sz="4" w:space="0"/>
                  </w:tcBorders>
                  <w:vAlign w:val="center"/>
                </w:tcPr>
                <w:p>
                  <w:pPr>
                    <w:jc w:val="center"/>
                    <w:rPr>
                      <w:rFonts w:hint="eastAsia" w:ascii="宋体" w:hAnsi="宋体" w:eastAsia="宋体" w:cs="宋体"/>
                      <w:i w:val="0"/>
                      <w:color w:val="000000"/>
                      <w:sz w:val="24"/>
                      <w:szCs w:val="24"/>
                      <w:u w:val="none"/>
                    </w:rPr>
                  </w:pPr>
                </w:p>
              </w:tc>
            </w:tr>
          </w:tbl>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上缴标准</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每人每年</w:t>
            </w:r>
            <w:r>
              <w:rPr>
                <w:rFonts w:hint="eastAsia" w:ascii="宋体" w:hAnsi="宋体" w:cs="宋体"/>
                <w:color w:val="auto"/>
                <w:kern w:val="0"/>
                <w:sz w:val="18"/>
                <w:szCs w:val="18"/>
                <w:lang w:val="en-US" w:eastAsia="zh-CN"/>
              </w:rPr>
              <w:t>17000元元</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东文宋体" w:hAnsi="东文宋体" w:eastAsia="东文宋体" w:cs="东文宋体"/>
                <w:color w:val="auto"/>
                <w:kern w:val="0"/>
                <w:sz w:val="18"/>
                <w:szCs w:val="18"/>
                <w:lang w:val="en-US" w:eastAsia="zh-CN"/>
              </w:rPr>
              <w:t>每人每年18000元</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106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指标1：社会效益</w:t>
            </w:r>
          </w:p>
        </w:tc>
        <w:tc>
          <w:tcPr>
            <w:tcW w:w="1140" w:type="dxa"/>
            <w:tcBorders>
              <w:top w:val="nil"/>
              <w:left w:val="nil"/>
              <w:bottom w:val="single" w:color="auto" w:sz="4" w:space="0"/>
              <w:right w:val="single" w:color="auto" w:sz="4" w:space="0"/>
            </w:tcBorders>
            <w:vAlign w:val="center"/>
          </w:tcPr>
          <w:tbl>
            <w:tblPr>
              <w:tblStyle w:val="8"/>
              <w:tblW w:w="2562"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256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落实超转人员管理政策，使超转人员看病就医有保障，实现应保尽保，维护社会稳定。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256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256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bl>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100%保障超转人就医</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gridAfter w:val="1"/>
          <w:wAfter w:w="12" w:type="dxa"/>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0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1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6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满意度调查</w:t>
            </w:r>
          </w:p>
        </w:tc>
        <w:tc>
          <w:tcPr>
            <w:tcW w:w="1140"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99%以上满意</w:t>
            </w:r>
          </w:p>
        </w:tc>
        <w:tc>
          <w:tcPr>
            <w:tcW w:w="1155"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99%</w:t>
            </w:r>
          </w:p>
        </w:tc>
        <w:tc>
          <w:tcPr>
            <w:tcW w:w="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76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16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600" w:lineRule="exact"/>
      </w:pPr>
    </w:p>
    <w:sectPr>
      <w:footerReference r:id="rId3" w:type="default"/>
      <w:pgSz w:w="11906" w:h="16838"/>
      <w:pgMar w:top="1440" w:right="1800" w:bottom="1440" w:left="1800" w:header="720" w:footer="720"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30000003" w:usb1="2BDF3C10" w:usb2="00000016" w:usb3="00000000" w:csb0="602E0107" w:csb1="00000000"/>
  </w:font>
  <w:font w:name="仿宋_GB2312">
    <w:panose1 w:val="02010609030101010101"/>
    <w:charset w:val="86"/>
    <w:family w:val="auto"/>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path/>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hdrShapeDefaults>
    <o:shapelayout v:ext="edit">
      <o:idmap v:ext="edit" data="2"/>
    </o:shapelayout>
  </w:hdrShapeDefaults>
  <w:compat>
    <w:noLeading/>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DFFBC91"/>
    <w:rsid w:val="1FD53ABD"/>
    <w:rsid w:val="2F8F3088"/>
    <w:rsid w:val="36093B63"/>
    <w:rsid w:val="373F8B91"/>
    <w:rsid w:val="37EAA0EA"/>
    <w:rsid w:val="37EFC33E"/>
    <w:rsid w:val="3BD6E744"/>
    <w:rsid w:val="3D39ADB1"/>
    <w:rsid w:val="3D570C63"/>
    <w:rsid w:val="3F9FC7C4"/>
    <w:rsid w:val="3FC23C15"/>
    <w:rsid w:val="4E50D480"/>
    <w:rsid w:val="52DDF8AA"/>
    <w:rsid w:val="57DAC37F"/>
    <w:rsid w:val="57FFAB60"/>
    <w:rsid w:val="5DBD9607"/>
    <w:rsid w:val="5E9626C3"/>
    <w:rsid w:val="5F67E97B"/>
    <w:rsid w:val="63FF4645"/>
    <w:rsid w:val="66FC8414"/>
    <w:rsid w:val="6BD20E8B"/>
    <w:rsid w:val="6F6FBE96"/>
    <w:rsid w:val="7376BBB5"/>
    <w:rsid w:val="75F6B553"/>
    <w:rsid w:val="76AFE6D4"/>
    <w:rsid w:val="79FA3235"/>
    <w:rsid w:val="7A0B6EC2"/>
    <w:rsid w:val="7AFD7152"/>
    <w:rsid w:val="7DDF6C08"/>
    <w:rsid w:val="7DFDA2B7"/>
    <w:rsid w:val="7F53B215"/>
    <w:rsid w:val="7F6F9712"/>
    <w:rsid w:val="7F938F33"/>
    <w:rsid w:val="7F9FA774"/>
    <w:rsid w:val="7FF439ED"/>
    <w:rsid w:val="7FFDEF67"/>
    <w:rsid w:val="7FFF6E10"/>
    <w:rsid w:val="977E683A"/>
    <w:rsid w:val="A77BCBCC"/>
    <w:rsid w:val="A7FFFC39"/>
    <w:rsid w:val="ABDB9653"/>
    <w:rsid w:val="AEFBDDF2"/>
    <w:rsid w:val="AFFF0A5C"/>
    <w:rsid w:val="B3ADA1E4"/>
    <w:rsid w:val="B7BFEE81"/>
    <w:rsid w:val="BBACA9C6"/>
    <w:rsid w:val="BDFED0AA"/>
    <w:rsid w:val="BEFF95D0"/>
    <w:rsid w:val="BFF37350"/>
    <w:rsid w:val="D57FD9DD"/>
    <w:rsid w:val="D5DF9C65"/>
    <w:rsid w:val="D65F43C5"/>
    <w:rsid w:val="D6FB6811"/>
    <w:rsid w:val="D7BF251A"/>
    <w:rsid w:val="DBCDFCA5"/>
    <w:rsid w:val="DCB739FE"/>
    <w:rsid w:val="DFFD2251"/>
    <w:rsid w:val="DFFE51C5"/>
    <w:rsid w:val="EDEA2DC6"/>
    <w:rsid w:val="EFBA9F15"/>
    <w:rsid w:val="EFDF83ED"/>
    <w:rsid w:val="F0BEDDD4"/>
    <w:rsid w:val="F3FF5D9A"/>
    <w:rsid w:val="F4CB844B"/>
    <w:rsid w:val="F69F3181"/>
    <w:rsid w:val="F7BF6DCF"/>
    <w:rsid w:val="F7FA84E5"/>
    <w:rsid w:val="F87FFDC7"/>
    <w:rsid w:val="F97E344D"/>
    <w:rsid w:val="FBF34E6B"/>
    <w:rsid w:val="FBF75C25"/>
    <w:rsid w:val="FBFF4797"/>
    <w:rsid w:val="FE7F146F"/>
    <w:rsid w:val="FEB4C540"/>
    <w:rsid w:val="FFBFB39C"/>
    <w:rsid w:val="FFD789B0"/>
    <w:rsid w:val="FFEDA941"/>
    <w:rsid w:val="FFFF3634"/>
    <w:rsid w:val="FFFF61CF"/>
    <w:rsid w:val="FFFFB8E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3">
    <w:name w:val="caption"/>
    <w:basedOn w:val="1"/>
    <w:uiPriority w:val="0"/>
    <w:pPr>
      <w:widowControl w:val="0"/>
      <w:suppressLineNumbers/>
      <w:suppressAutoHyphens/>
      <w:spacing w:before="120" w:after="120"/>
    </w:pPr>
    <w:rPr>
      <w:i/>
      <w:iCs/>
      <w:sz w:val="24"/>
      <w:szCs w:val="24"/>
    </w:rPr>
  </w:style>
  <w:style w:type="paragraph" w:styleId="4">
    <w:name w:val="Body Text"/>
    <w:basedOn w:val="1"/>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List"/>
    <w:basedOn w:val="4"/>
    <w:uiPriority w:val="0"/>
  </w:style>
  <w:style w:type="paragraph" w:customStyle="1" w:styleId="9">
    <w:name w:val="Heading"/>
    <w:basedOn w:val="1"/>
    <w:next w:val="4"/>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0">
    <w:name w:val="Index"/>
    <w:basedOn w:val="1"/>
    <w:uiPriority w:val="0"/>
    <w:pPr>
      <w:widowControl w:val="0"/>
      <w:suppressLineNumbers/>
      <w:suppressAutoHyphens/>
    </w:pPr>
  </w:style>
  <w:style w:type="character" w:customStyle="1" w:styleId="11">
    <w:name w:val="默认段落字体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2018-12-02T01:47:00Z</dcterms:created>
  <dc:creator>user</dc:creator>
  <cp:lastModifiedBy>mzj</cp:lastModifiedBy>
  <dcterms:modified xsi:type="dcterms:W3CDTF">2024-09-06T06:28:29Z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