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p>
    <w:tbl>
      <w:tblPr>
        <w:tblStyle w:val="8"/>
        <w:tblW w:w="9563"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1573"/>
        <w:gridCol w:w="213"/>
        <w:gridCol w:w="557"/>
        <w:gridCol w:w="280"/>
        <w:gridCol w:w="277"/>
        <w:gridCol w:w="247"/>
        <w:gridCol w:w="247"/>
        <w:gridCol w:w="310"/>
        <w:gridCol w:w="526"/>
        <w:gridCol w:w="31"/>
        <w:gridCol w:w="33"/>
        <w:gridCol w:w="635"/>
      </w:tblGrid>
      <w:tr>
        <w:tblPrEx>
          <w:tblLayout w:type="fixed"/>
          <w:tblCellMar>
            <w:top w:w="0" w:type="dxa"/>
            <w:left w:w="108" w:type="dxa"/>
            <w:bottom w:w="0" w:type="dxa"/>
            <w:right w:w="108" w:type="dxa"/>
          </w:tblCellMar>
        </w:tblPrEx>
        <w:trPr>
          <w:gridAfter w:val="1"/>
          <w:wAfter w:w="635" w:type="dxa"/>
          <w:trHeight w:val="440" w:hRule="exact"/>
          <w:jc w:val="center"/>
        </w:trPr>
        <w:tc>
          <w:tcPr>
            <w:tcW w:w="8928" w:type="dxa"/>
            <w:gridSpan w:val="17"/>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gridAfter w:val="1"/>
          <w:wAfter w:w="635" w:type="dxa"/>
          <w:trHeight w:val="194" w:hRule="atLeast"/>
          <w:jc w:val="center"/>
        </w:trPr>
        <w:tc>
          <w:tcPr>
            <w:tcW w:w="8928" w:type="dxa"/>
            <w:gridSpan w:val="17"/>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gridAfter w:val="1"/>
          <w:wAfter w:w="635"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征地超转人员全年所需服务管理费用</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6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通州区民政局</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6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王东克</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80549007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7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74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74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74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74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6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40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29"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3"/>
                <w:szCs w:val="13"/>
                <w:lang w:val="en-US" w:eastAsia="zh-CN"/>
              </w:rPr>
            </w:pPr>
            <w:r>
              <w:rPr>
                <w:rFonts w:hint="eastAsia"/>
              </w:rPr>
              <w:t>京民福字〔1986〕358号《关于对征地后农转居超转人员管理服务费使用原则暂行办法》、京民计发〔2002〕42号《北京市民政局 北京市财政局关于民政部门管理的征地超转人员管理工作经费有关问题的通知》落实超转人员管理服务政策，维护社会稳定。</w:t>
            </w:r>
          </w:p>
        </w:tc>
        <w:tc>
          <w:tcPr>
            <w:tcW w:w="335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保障超转人员切身利益，落实超转人员管理服务政策</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6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征地超转人员管理经费</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7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1"/>
                <w:szCs w:val="11"/>
              </w:rPr>
            </w:pPr>
            <w:r>
              <w:rPr>
                <w:rFonts w:hint="eastAsia" w:ascii="宋体" w:hAnsi="宋体" w:cs="宋体"/>
                <w:color w:val="auto"/>
                <w:kern w:val="0"/>
                <w:sz w:val="11"/>
                <w:szCs w:val="11"/>
              </w:rPr>
              <w:t>指标1：保障超转人员切身利益，落实超转人员管理服务政策</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000000"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3"/>
                <w:szCs w:val="13"/>
                <w:lang w:eastAsia="zh-CN"/>
              </w:rPr>
            </w:pPr>
            <w:r>
              <w:rPr>
                <w:rFonts w:hint="eastAsia" w:ascii="宋体" w:hAnsi="宋体" w:cs="宋体"/>
                <w:color w:val="auto"/>
                <w:kern w:val="0"/>
                <w:sz w:val="13"/>
                <w:szCs w:val="13"/>
              </w:rPr>
              <w:t>指标1</w:t>
            </w:r>
            <w:r>
              <w:rPr>
                <w:rFonts w:hint="eastAsia" w:ascii="宋体" w:hAnsi="宋体" w:cs="宋体"/>
                <w:color w:val="auto"/>
                <w:kern w:val="0"/>
                <w:sz w:val="13"/>
                <w:szCs w:val="13"/>
                <w:lang w:eastAsia="zh-CN"/>
              </w:rPr>
              <w:t xml:space="preserve">：重阳节、元旦和春节期间共两次慰问高龄、特困、孤老及生活困难超转人员 </w:t>
            </w:r>
          </w:p>
        </w:tc>
        <w:tc>
          <w:tcPr>
            <w:tcW w:w="1573" w:type="dxa"/>
            <w:tcBorders>
              <w:top w:val="nil"/>
              <w:left w:val="nil"/>
              <w:bottom w:val="single" w:color="auto" w:sz="4" w:space="0"/>
              <w:right w:val="single" w:color="000000"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按时间节点发放</w:t>
            </w:r>
          </w:p>
        </w:tc>
        <w:tc>
          <w:tcPr>
            <w:tcW w:w="1574"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single" w:color="000000"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3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1"/>
                <w:szCs w:val="11"/>
                <w:lang w:eastAsia="zh-CN"/>
              </w:rPr>
            </w:pPr>
            <w:r>
              <w:rPr>
                <w:rFonts w:hint="eastAsia" w:ascii="宋体" w:hAnsi="宋体" w:cs="宋体"/>
                <w:color w:val="auto"/>
                <w:kern w:val="0"/>
                <w:sz w:val="11"/>
                <w:szCs w:val="11"/>
              </w:rPr>
              <w:t>指标2：</w:t>
            </w:r>
            <w:r>
              <w:rPr>
                <w:rFonts w:hint="eastAsia" w:ascii="宋体" w:hAnsi="宋体" w:cs="宋体"/>
                <w:color w:val="auto"/>
                <w:kern w:val="0"/>
                <w:sz w:val="11"/>
                <w:szCs w:val="11"/>
                <w:lang w:eastAsia="zh-CN"/>
              </w:rPr>
              <w:t>为超转对象中的高龄独居、特困、大病、残疾人员购买、就医及养老服务，</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2023年1月至2023年12月</w:t>
            </w:r>
          </w:p>
        </w:tc>
        <w:tc>
          <w:tcPr>
            <w:tcW w:w="1574" w:type="dxa"/>
            <w:gridSpan w:val="5"/>
            <w:tcBorders>
              <w:top w:val="single" w:color="000000"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1"/>
                <w:szCs w:val="11"/>
                <w:lang w:val="en-US" w:eastAsia="zh-CN"/>
              </w:rPr>
            </w:pPr>
            <w:r>
              <w:rPr>
                <w:rFonts w:hint="eastAsia" w:ascii="宋体" w:hAnsi="宋体" w:cs="宋体"/>
                <w:color w:val="auto"/>
                <w:kern w:val="0"/>
                <w:sz w:val="11"/>
                <w:szCs w:val="11"/>
                <w:lang w:eastAsia="zh-CN"/>
              </w:rPr>
              <w:t>指标</w:t>
            </w:r>
            <w:r>
              <w:rPr>
                <w:rFonts w:hint="eastAsia" w:ascii="宋体" w:hAnsi="宋体" w:cs="宋体"/>
                <w:color w:val="auto"/>
                <w:kern w:val="0"/>
                <w:sz w:val="11"/>
                <w:szCs w:val="11"/>
                <w:lang w:val="en-US" w:eastAsia="zh-CN"/>
              </w:rPr>
              <w:t>3：超转人员生存、失联信息核查.定点医疗变更、社区首诊提醒。</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2023年1月至2023年12月</w:t>
            </w: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1：</w:t>
            </w:r>
          </w:p>
        </w:tc>
        <w:tc>
          <w:tcPr>
            <w:tcW w:w="1573" w:type="dxa"/>
            <w:tcBorders>
              <w:top w:val="nil"/>
              <w:left w:val="nil"/>
              <w:bottom w:val="single" w:color="auto" w:sz="4" w:space="0"/>
              <w:right w:val="single" w:color="auto" w:sz="4" w:space="0"/>
            </w:tcBorders>
            <w:vAlign w:val="center"/>
          </w:tcPr>
          <w:tbl>
            <w:tblPr>
              <w:tblStyle w:val="8"/>
              <w:tblW w:w="332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restart"/>
                  <w:tcBorders>
                    <w:top w:val="nil"/>
                    <w:left w:val="nil"/>
                    <w:bottom w:val="nil"/>
                    <w:right w:val="single" w:color="000000" w:sz="4" w:space="0"/>
                  </w:tcBorders>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年每人1800元/年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continue"/>
                  <w:tcBorders>
                    <w:top w:val="nil"/>
                    <w:left w:val="nil"/>
                    <w:bottom w:val="nil"/>
                    <w:right w:val="single" w:color="000000" w:sz="4" w:space="0"/>
                  </w:tcBorders>
                  <w:vAlign w:val="center"/>
                </w:tcPr>
                <w:p>
                  <w:pPr>
                    <w:jc w:val="center"/>
                    <w:rPr>
                      <w:rFonts w:hint="eastAsia" w:ascii="宋体" w:hAnsi="宋体" w:eastAsia="宋体" w:cs="宋体"/>
                      <w:i w:val="0"/>
                      <w:color w:val="000000"/>
                      <w:sz w:val="24"/>
                      <w:szCs w:val="24"/>
                      <w:u w:val="none"/>
                    </w:rPr>
                  </w:pPr>
                </w:p>
              </w:tc>
            </w:tr>
          </w:tbl>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c>
          <w:tcPr>
            <w:tcW w:w="1573" w:type="dxa"/>
            <w:tcBorders>
              <w:top w:val="nil"/>
              <w:left w:val="nil"/>
              <w:bottom w:val="single" w:color="auto" w:sz="4" w:space="0"/>
              <w:right w:val="single" w:color="auto" w:sz="4" w:space="0"/>
            </w:tcBorders>
            <w:vAlign w:val="center"/>
          </w:tcPr>
          <w:p>
            <w:pPr>
              <w:widowControl/>
              <w:spacing w:line="240" w:lineRule="exact"/>
              <w:jc w:val="both"/>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1"/>
                <w:szCs w:val="11"/>
              </w:rPr>
            </w:pPr>
            <w:r>
              <w:rPr>
                <w:rFonts w:hint="eastAsia"/>
                <w:sz w:val="11"/>
                <w:szCs w:val="11"/>
              </w:rPr>
              <w:t>保障超转人员切身利益，落实超转人员管理服务政策</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c>
          <w:tcPr>
            <w:tcW w:w="1573"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99%以上满意</w:t>
            </w:r>
          </w:p>
        </w:tc>
        <w:tc>
          <w:tcPr>
            <w:tcW w:w="1574"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4" w:type="dxa"/>
            <w:gridSpan w:val="5"/>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635" w:type="dxa"/>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600" w:lineRule="exact"/>
      </w:pPr>
      <w:bookmarkStart w:id="0" w:name="_GoBack"/>
      <w:bookmarkEnd w:id="0"/>
    </w:p>
    <w:sectPr>
      <w:footerReference r:id="rId3" w:type="default"/>
      <w:pgSz w:w="11906" w:h="16838"/>
      <w:pgMar w:top="1440" w:right="1800" w:bottom="1440" w:left="1800" w:header="720" w:footer="720"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hdrShapeDefaults>
    <o:shapelayout v:ext="edit">
      <o:idmap v:ext="edit" data="2"/>
    </o:shapelayout>
  </w:hdrShapeDefaults>
  <w:compat>
    <w:noLeading/>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FBF95ED"/>
    <w:rsid w:val="297315C6"/>
    <w:rsid w:val="36093B63"/>
    <w:rsid w:val="37B576CF"/>
    <w:rsid w:val="37EFC33E"/>
    <w:rsid w:val="3D39ADB1"/>
    <w:rsid w:val="3D570C63"/>
    <w:rsid w:val="3D7A140B"/>
    <w:rsid w:val="3F9FC7C4"/>
    <w:rsid w:val="3FC23C15"/>
    <w:rsid w:val="48FF9B1F"/>
    <w:rsid w:val="4FDBA734"/>
    <w:rsid w:val="4FFF31EE"/>
    <w:rsid w:val="52DDF8AA"/>
    <w:rsid w:val="57DAC37F"/>
    <w:rsid w:val="57FFAB60"/>
    <w:rsid w:val="5F67E97B"/>
    <w:rsid w:val="5FFE79F8"/>
    <w:rsid w:val="6366787D"/>
    <w:rsid w:val="63FF4645"/>
    <w:rsid w:val="66FC8414"/>
    <w:rsid w:val="6BD20E8B"/>
    <w:rsid w:val="6D7F079B"/>
    <w:rsid w:val="6F6FBE96"/>
    <w:rsid w:val="73B7578F"/>
    <w:rsid w:val="76AFE6D4"/>
    <w:rsid w:val="77F0F106"/>
    <w:rsid w:val="79FA3235"/>
    <w:rsid w:val="7B744522"/>
    <w:rsid w:val="7DB9165E"/>
    <w:rsid w:val="7DFDA2B7"/>
    <w:rsid w:val="7F9FA774"/>
    <w:rsid w:val="7FF439ED"/>
    <w:rsid w:val="9DED6EDD"/>
    <w:rsid w:val="A77BCBCC"/>
    <w:rsid w:val="ABDB9653"/>
    <w:rsid w:val="AEFBDDF2"/>
    <w:rsid w:val="BBACA9C6"/>
    <w:rsid w:val="BDFED0AA"/>
    <w:rsid w:val="BEFF95D0"/>
    <w:rsid w:val="BFF37350"/>
    <w:rsid w:val="CEBF4911"/>
    <w:rsid w:val="DAF4E833"/>
    <w:rsid w:val="DFFBECA8"/>
    <w:rsid w:val="DFFD2251"/>
    <w:rsid w:val="DFFE51C5"/>
    <w:rsid w:val="EF4411ED"/>
    <w:rsid w:val="EFBA9F15"/>
    <w:rsid w:val="F3FF5D9A"/>
    <w:rsid w:val="F4CB844B"/>
    <w:rsid w:val="F7BF6DCF"/>
    <w:rsid w:val="F7FA84E5"/>
    <w:rsid w:val="FBF34E6B"/>
    <w:rsid w:val="FBFF4797"/>
    <w:rsid w:val="FEB2B84A"/>
    <w:rsid w:val="FEB4C540"/>
    <w:rsid w:val="FFBFB39C"/>
    <w:rsid w:val="FFD789B0"/>
    <w:rsid w:val="FFEDA941"/>
    <w:rsid w:val="FFF724F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3">
    <w:name w:val="caption"/>
    <w:basedOn w:val="1"/>
    <w:uiPriority w:val="0"/>
    <w:pPr>
      <w:widowControl w:val="0"/>
      <w:suppressLineNumbers/>
      <w:suppressAutoHyphens/>
      <w:spacing w:before="120" w:after="120"/>
    </w:pPr>
    <w:rPr>
      <w:i/>
      <w:iCs/>
      <w:sz w:val="24"/>
      <w:szCs w:val="24"/>
    </w:rPr>
  </w:style>
  <w:style w:type="paragraph" w:styleId="4">
    <w:name w:val="Body Text"/>
    <w:basedOn w:val="1"/>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List"/>
    <w:basedOn w:val="4"/>
    <w:uiPriority w:val="0"/>
  </w:style>
  <w:style w:type="paragraph" w:customStyle="1" w:styleId="9">
    <w:name w:val="Heading"/>
    <w:basedOn w:val="1"/>
    <w:next w:val="4"/>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0">
    <w:name w:val="Index"/>
    <w:basedOn w:val="1"/>
    <w:uiPriority w:val="0"/>
    <w:pPr>
      <w:widowControl w:val="0"/>
      <w:suppressLineNumbers/>
      <w:suppressAutoHyphens/>
    </w:pPr>
  </w:style>
  <w:style w:type="character" w:customStyle="1" w:styleId="11">
    <w:name w:val="默认段落字体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2018-11-30T09:47:00Z</dcterms:created>
  <dc:creator>user</dc:creator>
  <cp:lastModifiedBy>mzj</cp:lastModifiedBy>
  <dcterms:modified xsi:type="dcterms:W3CDTF">2024-09-06T06:34:51Z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