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附件1</w:t>
      </w:r>
      <w:r>
        <w:rPr>
          <w:rFonts w:hint="eastAsia" w:ascii="黑体" w:hAnsi="黑体" w:eastAsia="黑体"/>
          <w:color w:val="auto"/>
          <w:sz w:val="32"/>
          <w:szCs w:val="32"/>
          <w:lang w:val="en-US" w:eastAsia="zh-CN"/>
        </w:rPr>
        <w:t>-1</w:t>
      </w:r>
    </w:p>
    <w:tbl>
      <w:tblPr>
        <w:tblStyle w:val="10"/>
        <w:tblW w:w="8928" w:type="dxa"/>
        <w:jc w:val="center"/>
        <w:tblInd w:w="0" w:type="dxa"/>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141"/>
        <w:gridCol w:w="695"/>
        <w:gridCol w:w="699"/>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w:t>
            </w:r>
            <w:r>
              <w:rPr>
                <w:rFonts w:hint="eastAsia" w:ascii="宋体" w:hAnsi="宋体" w:cs="宋体"/>
                <w:color w:val="auto"/>
                <w:kern w:val="0"/>
                <w:sz w:val="22"/>
                <w:lang w:val="en-US" w:eastAsia="zh-CN"/>
              </w:rPr>
              <w:t>2023</w:t>
            </w:r>
            <w:r>
              <w:rPr>
                <w:rFonts w:hint="eastAsia" w:ascii="宋体" w:hAnsi="宋体" w:cs="宋体"/>
                <w:color w:val="auto"/>
                <w:kern w:val="0"/>
                <w:sz w:val="22"/>
              </w:rPr>
              <w:t>年度）</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法律顾问服务费</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通州区民政局</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法制和行政审批科</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马兆东</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20"/>
                <w:szCs w:val="20"/>
                <w:lang w:val="en-US" w:eastAsia="zh-CN"/>
              </w:rPr>
              <w:t>13641339886</w:t>
            </w:r>
          </w:p>
        </w:tc>
      </w:tr>
      <w:tr>
        <w:tblPrEx>
          <w:tblLayout w:type="fixed"/>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9.9</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9.9</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9.9</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9.9</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9.9</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9.9</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Layout w:type="fixed"/>
          <w:tblCellMar>
            <w:top w:w="0" w:type="dxa"/>
            <w:left w:w="108" w:type="dxa"/>
            <w:bottom w:w="0" w:type="dxa"/>
            <w:right w:w="108" w:type="dxa"/>
          </w:tblCellMar>
        </w:tblPrEx>
        <w:trPr>
          <w:trHeight w:val="2005"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依据北京市通州区人民政府法制办公室关于印发《通州区外聘政府法律顾问工作管理规定》的通知（通政法制〔2018〕85号）文件精神，聘请一个律师事务所承接我局行政应诉、行政复议、法律咨询、规范性文件审查等相关法律事务的处理工作。加强本区外聘政府法律顾问工作管理，促进外聘政府法律顾问工作制度化、规范化。</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2023 年度处理民政局的各项法律事务，办理复议案件，审查、起草、修改合同，解答口头、电话法律咨询，出具法律</w:t>
            </w:r>
            <w:r>
              <w:rPr>
                <w:rFonts w:hint="eastAsia" w:ascii="宋体" w:hAnsi="宋体" w:cs="宋体"/>
                <w:color w:val="auto"/>
                <w:kern w:val="0"/>
                <w:sz w:val="18"/>
                <w:szCs w:val="18"/>
                <w:lang w:eastAsia="zh-CN"/>
              </w:rPr>
              <w:t>意</w:t>
            </w:r>
            <w:r>
              <w:rPr>
                <w:rFonts w:hint="eastAsia" w:ascii="宋体" w:hAnsi="宋体" w:cs="宋体"/>
                <w:color w:val="auto"/>
                <w:kern w:val="0"/>
                <w:sz w:val="18"/>
                <w:szCs w:val="18"/>
              </w:rPr>
              <w:t>见书等法律服务工作。</w:t>
            </w:r>
            <w:r>
              <w:rPr>
                <w:rFonts w:hint="eastAsia" w:ascii="宋体" w:hAnsi="宋体" w:cs="宋体"/>
                <w:color w:val="auto"/>
                <w:kern w:val="0"/>
                <w:sz w:val="18"/>
                <w:szCs w:val="18"/>
                <w:lang w:eastAsia="zh-CN"/>
              </w:rPr>
              <w:t>协助行政诉讼及复议案件</w:t>
            </w:r>
            <w:r>
              <w:rPr>
                <w:rFonts w:hint="eastAsia" w:ascii="宋体" w:hAnsi="宋体" w:cs="宋体"/>
                <w:color w:val="auto"/>
                <w:kern w:val="0"/>
                <w:sz w:val="18"/>
                <w:szCs w:val="18"/>
                <w:lang w:val="en-US" w:eastAsia="zh-CN"/>
              </w:rPr>
              <w:t>5件，对合同提出修改意见210份，提供法律咨询，对于涉及张家湾镇环湖养老照料中心退费相关问题进行解释回答以及接待来访人员。</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Layout w:type="fixed"/>
          <w:tblCellMar>
            <w:top w:w="0" w:type="dxa"/>
            <w:left w:w="108" w:type="dxa"/>
            <w:bottom w:w="0" w:type="dxa"/>
            <w:right w:w="108" w:type="dxa"/>
          </w:tblCellMar>
        </w:tblPrEx>
        <w:trPr>
          <w:trHeight w:val="36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指标1：审核文件数量</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≥50件</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210份</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20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20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指标1：完成时限</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=1年</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1年</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p>
        </w:tc>
      </w:tr>
      <w:tr>
        <w:tblPrEx>
          <w:tblLayout w:type="fixed"/>
          <w:tblCellMar>
            <w:top w:w="0" w:type="dxa"/>
            <w:left w:w="108" w:type="dxa"/>
            <w:bottom w:w="0" w:type="dxa"/>
            <w:right w:w="108" w:type="dxa"/>
          </w:tblCellMar>
        </w:tblPrEx>
        <w:trPr>
          <w:trHeight w:val="50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指标1：行政诉讼</w:t>
            </w:r>
            <w:r>
              <w:rPr>
                <w:rFonts w:hint="eastAsia" w:ascii="宋体" w:hAnsi="宋体" w:cs="宋体"/>
                <w:color w:val="auto"/>
                <w:kern w:val="0"/>
                <w:sz w:val="18"/>
                <w:szCs w:val="18"/>
                <w:lang w:eastAsia="zh-CN"/>
              </w:rPr>
              <w:t>和行政复议</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≥2件</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5件</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20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20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指标1：依法行政绩效考核</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≥80分</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95分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30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30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指标1：满意度评价</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≥95分</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100分</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widowControl/>
        <w:spacing w:line="480" w:lineRule="exact"/>
        <w:ind w:firstLine="440" w:firstLineChars="200"/>
        <w:jc w:val="left"/>
        <w:outlineLvl w:val="0"/>
        <w:rPr>
          <w:rFonts w:hint="eastAsia" w:ascii="宋体" w:hAnsi="宋体" w:eastAsia="宋体" w:cs="宋体"/>
          <w:color w:val="auto"/>
          <w:kern w:val="0"/>
          <w:sz w:val="22"/>
          <w:szCs w:val="24"/>
        </w:rPr>
      </w:pPr>
    </w:p>
    <w:p>
      <w:pPr>
        <w:widowControl/>
        <w:spacing w:line="480" w:lineRule="exact"/>
        <w:ind w:firstLine="440" w:firstLineChars="200"/>
        <w:jc w:val="left"/>
        <w:outlineLvl w:val="0"/>
        <w:rPr>
          <w:rFonts w:hint="eastAsia" w:ascii="宋体" w:hAnsi="宋体" w:eastAsia="宋体" w:cs="宋体"/>
          <w:color w:val="auto"/>
          <w:kern w:val="0"/>
          <w:sz w:val="22"/>
          <w:szCs w:val="24"/>
        </w:rPr>
      </w:pPr>
    </w:p>
    <w:p>
      <w:pPr>
        <w:widowControl/>
        <w:spacing w:line="480" w:lineRule="exact"/>
        <w:ind w:firstLine="440" w:firstLineChars="200"/>
        <w:jc w:val="left"/>
        <w:outlineLvl w:val="0"/>
        <w:rPr>
          <w:rFonts w:hint="eastAsia" w:ascii="宋体" w:hAnsi="宋体" w:eastAsia="宋体" w:cs="宋体"/>
          <w:color w:val="auto"/>
          <w:kern w:val="0"/>
          <w:sz w:val="22"/>
          <w:szCs w:val="24"/>
        </w:rPr>
      </w:pPr>
    </w:p>
    <w:p>
      <w:pPr>
        <w:widowControl/>
        <w:spacing w:line="480" w:lineRule="exact"/>
        <w:ind w:firstLine="440" w:firstLineChars="200"/>
        <w:jc w:val="left"/>
        <w:outlineLvl w:val="0"/>
        <w:rPr>
          <w:rFonts w:hint="eastAsia" w:ascii="宋体" w:hAnsi="宋体" w:eastAsia="宋体" w:cs="宋体"/>
          <w:color w:val="auto"/>
          <w:kern w:val="0"/>
          <w:sz w:val="22"/>
          <w:szCs w:val="24"/>
        </w:rPr>
      </w:pPr>
    </w:p>
    <w:p>
      <w:pPr>
        <w:widowControl/>
        <w:spacing w:line="480" w:lineRule="exact"/>
        <w:ind w:firstLine="440" w:firstLineChars="200"/>
        <w:jc w:val="left"/>
        <w:outlineLvl w:val="0"/>
        <w:rPr>
          <w:rFonts w:hint="eastAsia" w:ascii="宋体" w:hAnsi="宋体" w:eastAsia="宋体" w:cs="宋体"/>
          <w:color w:val="auto"/>
          <w:kern w:val="0"/>
          <w:sz w:val="22"/>
          <w:szCs w:val="24"/>
        </w:rPr>
      </w:pPr>
    </w:p>
    <w:p>
      <w:pPr>
        <w:widowControl/>
        <w:spacing w:line="480" w:lineRule="exact"/>
        <w:ind w:firstLine="440" w:firstLineChars="200"/>
        <w:jc w:val="left"/>
        <w:outlineLvl w:val="0"/>
        <w:rPr>
          <w:rFonts w:hint="eastAsia" w:ascii="宋体" w:hAnsi="宋体" w:eastAsia="宋体" w:cs="宋体"/>
          <w:color w:val="auto"/>
          <w:kern w:val="0"/>
          <w:sz w:val="22"/>
          <w:szCs w:val="24"/>
        </w:rPr>
      </w:pPr>
    </w:p>
    <w:p>
      <w:pPr>
        <w:widowControl/>
        <w:spacing w:line="480" w:lineRule="exact"/>
        <w:ind w:firstLine="440" w:firstLineChars="200"/>
        <w:jc w:val="left"/>
        <w:outlineLvl w:val="0"/>
        <w:rPr>
          <w:rFonts w:hint="eastAsia" w:ascii="宋体" w:hAnsi="宋体" w:eastAsia="宋体" w:cs="宋体"/>
          <w:color w:val="auto"/>
          <w:kern w:val="0"/>
          <w:sz w:val="22"/>
          <w:szCs w:val="24"/>
        </w:rPr>
      </w:pPr>
    </w:p>
    <w:p>
      <w:pPr>
        <w:widowControl/>
        <w:numPr>
          <w:ilvl w:val="0"/>
          <w:numId w:val="0"/>
        </w:numPr>
        <w:spacing w:line="480" w:lineRule="exact"/>
        <w:jc w:val="left"/>
        <w:outlineLvl w:val="0"/>
        <w:rPr>
          <w:rFonts w:hint="eastAsia" w:ascii="宋体" w:hAnsi="宋体" w:eastAsia="宋体" w:cs="宋体"/>
          <w:color w:val="auto"/>
          <w:kern w:val="0"/>
          <w:sz w:val="22"/>
          <w:szCs w:val="24"/>
          <w:lang w:val="en-US" w:eastAsia="zh-CN"/>
        </w:rPr>
      </w:pPr>
      <w:bookmarkStart w:id="0" w:name="_GoBack"/>
      <w:bookmarkEnd w:id="0"/>
    </w:p>
    <w:sectPr>
      <w:footerReference r:id="rId3"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DejaVu Sans">
    <w:altName w:val="Segoe Print"/>
    <w:panose1 w:val="020B0603030804020204"/>
    <w:charset w:val="00"/>
    <w:family w:val="auto"/>
    <w:pitch w:val="default"/>
    <w:sig w:usb0="00000000" w:usb1="00000000" w:usb2="0A246029" w:usb3="0400200C" w:csb0="600001FF" w:csb1="DFFF0000"/>
  </w:font>
  <w:font w:name="Nimbus Roman No9 L">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5"/>
                          </w:pPr>
                          <w:r>
                            <w:fldChar w:fldCharType="begin"/>
                          </w:r>
                          <w:r>
                            <w:instrText xml:space="preserve"> PAGE  \* MERGEFORMAT </w:instrText>
                          </w:r>
                          <w:r>
                            <w:fldChar w:fldCharType="separate"/>
                          </w:r>
                          <w:r>
                            <w:t>21</w:t>
                          </w:r>
                          <w:r>
                            <w:fldChar w:fldCharType="end"/>
                          </w:r>
                        </w:p>
                      </w:txbxContent>
                    </wps:txbx>
                    <wps:bodyPr vert="horz" wrap="none" lIns="0" tIns="0" rIns="0" bIns="0" anchor="t" anchorCtr="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LNJWO7QAAAABQEAAA8AAAAAAAAAAQAgAAAAIgAAAGRycy9kb3ducmV2&#10;LnhtbFBLAQIUABQAAAAIAIdO4kCEXiZ/ywEAAHkDAAAOAAAAAAAAAAEAIAAAAB8BAABkcnMvZTJv&#10;RG9jLnhtbFBLBQYAAAAABgAGAFkBAAB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21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DB0B63"/>
    <w:rsid w:val="01534994"/>
    <w:rsid w:val="0C8165E0"/>
    <w:rsid w:val="2CBF8107"/>
    <w:rsid w:val="2EB70209"/>
    <w:rsid w:val="30FF2B40"/>
    <w:rsid w:val="35D339CB"/>
    <w:rsid w:val="3FF79B31"/>
    <w:rsid w:val="4BA31FDB"/>
    <w:rsid w:val="4BFF9656"/>
    <w:rsid w:val="537B9DA3"/>
    <w:rsid w:val="5A474F5C"/>
    <w:rsid w:val="5DDF52D1"/>
    <w:rsid w:val="5EDB0B63"/>
    <w:rsid w:val="5F9F33EB"/>
    <w:rsid w:val="6AC7B1A3"/>
    <w:rsid w:val="6B77FB6F"/>
    <w:rsid w:val="6EE9A86C"/>
    <w:rsid w:val="6FD43E60"/>
    <w:rsid w:val="763E871D"/>
    <w:rsid w:val="79EBFCAD"/>
    <w:rsid w:val="7BBD97BD"/>
    <w:rsid w:val="7BFE4A5B"/>
    <w:rsid w:val="7BFFEC6B"/>
    <w:rsid w:val="7C1D05F0"/>
    <w:rsid w:val="7D3F1218"/>
    <w:rsid w:val="7DBF4FBB"/>
    <w:rsid w:val="7DCD9330"/>
    <w:rsid w:val="7DD758A1"/>
    <w:rsid w:val="7E562264"/>
    <w:rsid w:val="7E5EB5A1"/>
    <w:rsid w:val="7EB24D6B"/>
    <w:rsid w:val="7EDFAA54"/>
    <w:rsid w:val="7F2773F9"/>
    <w:rsid w:val="7F3909BD"/>
    <w:rsid w:val="7F3F1B32"/>
    <w:rsid w:val="7F7C49BA"/>
    <w:rsid w:val="7FBF70D0"/>
    <w:rsid w:val="7FF719AD"/>
    <w:rsid w:val="9BFD2FEF"/>
    <w:rsid w:val="A9FEE08D"/>
    <w:rsid w:val="AFDDEFDC"/>
    <w:rsid w:val="B2DFF942"/>
    <w:rsid w:val="B5FC34C6"/>
    <w:rsid w:val="BAEFCA12"/>
    <w:rsid w:val="BD5D8A02"/>
    <w:rsid w:val="D3FE28E7"/>
    <w:rsid w:val="D4CEDA1A"/>
    <w:rsid w:val="D5A31DC0"/>
    <w:rsid w:val="D7BD4092"/>
    <w:rsid w:val="D7FF1616"/>
    <w:rsid w:val="DFEAA56F"/>
    <w:rsid w:val="E6922BE3"/>
    <w:rsid w:val="EB5BB730"/>
    <w:rsid w:val="ECFD62AA"/>
    <w:rsid w:val="EDFF835A"/>
    <w:rsid w:val="EEBB59E1"/>
    <w:rsid w:val="EFCF022D"/>
    <w:rsid w:val="F37B3AB2"/>
    <w:rsid w:val="F6FF4047"/>
    <w:rsid w:val="F7E365DE"/>
    <w:rsid w:val="FA5A168B"/>
    <w:rsid w:val="FB7F913C"/>
    <w:rsid w:val="FD3F40DC"/>
    <w:rsid w:val="FEF8056D"/>
    <w:rsid w:val="FEF82787"/>
    <w:rsid w:val="FEFD3F0E"/>
    <w:rsid w:val="FFBDEA55"/>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4">
    <w:name w:val="Body Text"/>
    <w:basedOn w:val="1"/>
    <w:next w:val="1"/>
    <w:qFormat/>
    <w:uiPriority w:val="0"/>
    <w:pPr>
      <w:spacing w:before="0" w:after="140" w:line="276" w:lineRule="auto"/>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Hyperlink"/>
    <w:basedOn w:val="8"/>
    <w:qFormat/>
    <w:uiPriority w:val="0"/>
    <w:rPr>
      <w:color w:val="0000FF"/>
      <w:u w:val="single"/>
    </w:rPr>
  </w:style>
  <w:style w:type="character" w:customStyle="1" w:styleId="11">
    <w:name w:val="font81"/>
    <w:basedOn w:val="8"/>
    <w:qFormat/>
    <w:uiPriority w:val="0"/>
    <w:rPr>
      <w:rFonts w:hint="eastAsia" w:ascii="宋体" w:hAnsi="宋体" w:eastAsia="宋体" w:cs="宋体"/>
      <w:color w:val="000000"/>
      <w:sz w:val="20"/>
      <w:szCs w:val="20"/>
      <w:u w:val="none"/>
    </w:rPr>
  </w:style>
  <w:style w:type="character" w:customStyle="1" w:styleId="12">
    <w:name w:val="font11"/>
    <w:basedOn w:val="8"/>
    <w:qFormat/>
    <w:uiPriority w:val="0"/>
    <w:rPr>
      <w:rFonts w:hint="eastAsia" w:ascii="仿宋_GB2312" w:eastAsia="仿宋_GB2312" w:cs="仿宋_GB2312"/>
      <w:color w:val="000000"/>
      <w:sz w:val="24"/>
      <w:szCs w:val="24"/>
      <w:u w:val="none"/>
    </w:rPr>
  </w:style>
  <w:style w:type="character" w:customStyle="1" w:styleId="13">
    <w:name w:val="font61"/>
    <w:basedOn w:val="8"/>
    <w:qFormat/>
    <w:uiPriority w:val="0"/>
    <w:rPr>
      <w:rFonts w:hint="eastAsia" w:ascii="仿宋_GB2312" w:eastAsia="仿宋_GB2312" w:cs="仿宋_GB2312"/>
      <w:color w:val="000000"/>
      <w:sz w:val="24"/>
      <w:szCs w:val="24"/>
      <w:u w:val="none"/>
    </w:rPr>
  </w:style>
  <w:style w:type="character" w:customStyle="1" w:styleId="14">
    <w:name w:val="font71"/>
    <w:basedOn w:val="8"/>
    <w:qFormat/>
    <w:uiPriority w:val="0"/>
    <w:rPr>
      <w:rFonts w:hint="eastAsia" w:ascii="宋体" w:hAnsi="宋体" w:eastAsia="宋体" w:cs="宋体"/>
      <w:color w:val="FF0000"/>
      <w:sz w:val="20"/>
      <w:szCs w:val="20"/>
      <w:u w:val="none"/>
    </w:rPr>
  </w:style>
  <w:style w:type="paragraph" w:customStyle="1" w:styleId="15">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16">
    <w:name w:val="首行缩进"/>
    <w:basedOn w:val="1"/>
    <w:qFormat/>
    <w:uiPriority w:val="0"/>
    <w:pPr>
      <w:ind w:firstLine="480"/>
    </w:pPr>
    <w:rPr>
      <w:szCs w:val="20"/>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2024-03-14T11:08:00Z</dcterms:created>
  <dc:creator>user</dc:creator>
  <cp:lastModifiedBy>mzj</cp:lastModifiedBy>
  <cp:lastPrinted>2024-04-11T05:58:00Z</cp:lastPrinted>
  <dcterms:modified xsi:type="dcterms:W3CDTF">2024-09-06T03:10:15Z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