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11"/>
        <w:tblW w:w="8928" w:type="dxa"/>
        <w:jc w:val="center"/>
        <w:tblInd w:w="0" w:type="dxa"/>
        <w:tblLayout w:type="fixed"/>
        <w:tblCellMar>
          <w:top w:w="0" w:type="dxa"/>
          <w:left w:w="108" w:type="dxa"/>
          <w:bottom w:w="0" w:type="dxa"/>
          <w:right w:w="108" w:type="dxa"/>
        </w:tblCellMar>
      </w:tblPr>
      <w:tblGrid>
        <w:gridCol w:w="578"/>
        <w:gridCol w:w="969"/>
        <w:gridCol w:w="1086"/>
        <w:gridCol w:w="718"/>
        <w:gridCol w:w="1114"/>
        <w:gridCol w:w="87"/>
        <w:gridCol w:w="1100"/>
        <w:gridCol w:w="768"/>
        <w:gridCol w:w="202"/>
        <w:gridCol w:w="355"/>
        <w:gridCol w:w="416"/>
        <w:gridCol w:w="209"/>
        <w:gridCol w:w="627"/>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仿宋_GB2312" w:hAnsi="宋体" w:eastAsia="仿宋_GB2312" w:cs="宋体"/>
                <w:kern w:val="0"/>
                <w:szCs w:val="21"/>
                <w:lang w:eastAsia="zh-CN"/>
              </w:rPr>
              <w:t>行政</w:t>
            </w:r>
            <w:r>
              <w:rPr>
                <w:rFonts w:hint="eastAsia" w:ascii="仿宋_GB2312" w:hAnsi="宋体" w:eastAsia="仿宋_GB2312" w:cs="宋体"/>
                <w:kern w:val="0"/>
                <w:szCs w:val="21"/>
              </w:rPr>
              <w:t>许可审批经费</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105" w:type="dxa"/>
            <w:gridSpan w:val="5"/>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color w:val="auto"/>
                <w:kern w:val="0"/>
                <w:sz w:val="18"/>
                <w:szCs w:val="18"/>
                <w:lang w:val="en" w:eastAsia="zh-CN"/>
              </w:rPr>
            </w:pPr>
            <w:r>
              <w:rPr>
                <w:rFonts w:hint="eastAsia" w:ascii="宋体" w:hAnsi="宋体" w:cs="宋体"/>
                <w:color w:val="auto"/>
                <w:kern w:val="0"/>
                <w:sz w:val="18"/>
                <w:szCs w:val="18"/>
                <w:lang w:val="en" w:eastAsia="zh-CN"/>
              </w:rPr>
              <w:t>通州区民政局</w:t>
            </w:r>
          </w:p>
        </w:tc>
        <w:tc>
          <w:tcPr>
            <w:tcW w:w="9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社会组织工作科</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1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曹新亮</w:t>
            </w:r>
          </w:p>
        </w:tc>
        <w:tc>
          <w:tcPr>
            <w:tcW w:w="9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6954 4425</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8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9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65</w:t>
            </w:r>
          </w:p>
        </w:tc>
        <w:tc>
          <w:tcPr>
            <w:tcW w:w="118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51.95</w:t>
            </w:r>
          </w:p>
        </w:tc>
        <w:tc>
          <w:tcPr>
            <w:tcW w:w="97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51.95</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65</w:t>
            </w:r>
          </w:p>
        </w:tc>
        <w:tc>
          <w:tcPr>
            <w:tcW w:w="118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51.95</w:t>
            </w:r>
          </w:p>
        </w:tc>
        <w:tc>
          <w:tcPr>
            <w:tcW w:w="97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51.95</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8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8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07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27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1436"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074"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eastAsia="zh-CN"/>
              </w:rPr>
              <w:t>目标</w:t>
            </w:r>
            <w:r>
              <w:rPr>
                <w:rFonts w:hint="eastAsia" w:ascii="宋体" w:hAnsi="宋体" w:cs="宋体"/>
                <w:color w:val="auto"/>
                <w:kern w:val="0"/>
                <w:sz w:val="18"/>
                <w:szCs w:val="18"/>
                <w:lang w:val="en-US" w:eastAsia="zh-CN"/>
              </w:rPr>
              <w:t>1：完成通州区民办非企业单位和社会团体的注销清算审计和法定代表人离任审计相关工作。（预算金额10万）</w:t>
            </w:r>
          </w:p>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目标2：完成通州区民办非企业单位和社会团体所有行政许可公告、证书购买等工作。（预算金额5万）</w:t>
            </w:r>
          </w:p>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val="en-US" w:eastAsia="zh-CN"/>
              </w:rPr>
              <w:t>目标3：完成通州区民办非企业单位和社会团体的等级评估工作。（预算金额50万）</w:t>
            </w:r>
          </w:p>
        </w:tc>
        <w:tc>
          <w:tcPr>
            <w:tcW w:w="3276"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目标1：社会组织注销清算审计和法人离任</w:t>
            </w:r>
            <w:r>
              <w:rPr>
                <w:rFonts w:hint="default" w:ascii="宋体" w:hAnsi="宋体" w:cs="宋体"/>
                <w:color w:val="auto"/>
                <w:kern w:val="0"/>
                <w:sz w:val="18"/>
                <w:szCs w:val="18"/>
                <w:lang w:val="en-US" w:eastAsia="zh-CN"/>
              </w:rPr>
              <w:t>审计</w:t>
            </w:r>
            <w:r>
              <w:rPr>
                <w:rFonts w:hint="eastAsia" w:ascii="宋体" w:hAnsi="宋体" w:cs="宋体"/>
                <w:color w:val="auto"/>
                <w:kern w:val="0"/>
                <w:sz w:val="18"/>
                <w:szCs w:val="18"/>
                <w:lang w:val="en-US" w:eastAsia="zh-CN"/>
              </w:rPr>
              <w:t>，结余10万。</w:t>
            </w:r>
          </w:p>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目标2：已完成行政许可公告工作，结余3.05万。</w:t>
            </w:r>
          </w:p>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val="en-US" w:eastAsia="zh-CN"/>
              </w:rPr>
              <w:t>目标3：已</w:t>
            </w:r>
            <w:r>
              <w:rPr>
                <w:rFonts w:hint="default" w:ascii="宋体" w:hAnsi="宋体" w:cs="宋体"/>
                <w:color w:val="auto"/>
                <w:kern w:val="0"/>
                <w:sz w:val="18"/>
                <w:szCs w:val="18"/>
                <w:lang w:val="en-US" w:eastAsia="zh-CN"/>
              </w:rPr>
              <w:t>完成社会组织</w:t>
            </w:r>
            <w:r>
              <w:rPr>
                <w:rFonts w:hint="eastAsia" w:ascii="宋体" w:hAnsi="宋体" w:cs="宋体"/>
                <w:color w:val="auto"/>
                <w:kern w:val="0"/>
                <w:sz w:val="18"/>
                <w:szCs w:val="18"/>
                <w:lang w:val="en-US" w:eastAsia="zh-CN"/>
              </w:rPr>
              <w:t>等级</w:t>
            </w:r>
            <w:r>
              <w:rPr>
                <w:rFonts w:hint="default" w:ascii="宋体" w:hAnsi="宋体" w:cs="宋体"/>
                <w:color w:val="auto"/>
                <w:kern w:val="0"/>
                <w:sz w:val="18"/>
                <w:szCs w:val="18"/>
                <w:lang w:val="en-US" w:eastAsia="zh-CN"/>
              </w:rPr>
              <w:t>评估工作</w:t>
            </w:r>
            <w:r>
              <w:rPr>
                <w:rFonts w:hint="eastAsia" w:ascii="宋体" w:hAnsi="宋体" w:cs="宋体"/>
                <w:color w:val="auto"/>
                <w:kern w:val="0"/>
                <w:sz w:val="18"/>
                <w:szCs w:val="18"/>
                <w:lang w:val="en-US" w:eastAsia="zh-CN"/>
              </w:rPr>
              <w:t>。</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90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指标1：</w:t>
            </w:r>
            <w:r>
              <w:rPr>
                <w:rFonts w:hint="eastAsia" w:ascii="宋体" w:hAnsi="宋体" w:eastAsia="宋体" w:cs="宋体"/>
                <w:color w:val="auto"/>
                <w:kern w:val="0"/>
                <w:sz w:val="18"/>
                <w:szCs w:val="18"/>
                <w:lang w:eastAsia="zh-CN"/>
              </w:rPr>
              <w:t>社会组织注销清算审计和法定代表人离任审计</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rPr>
            </w:pPr>
            <w:r>
              <w:rPr>
                <w:rFonts w:hint="eastAsia" w:ascii="宋体" w:hAnsi="宋体" w:eastAsia="宋体" w:cs="宋体"/>
                <w:kern w:val="0"/>
                <w:sz w:val="18"/>
                <w:szCs w:val="18"/>
                <w:lang w:val="en" w:eastAsia="zh-CN"/>
              </w:rPr>
              <w:t>≤</w:t>
            </w:r>
            <w:r>
              <w:rPr>
                <w:rFonts w:hint="eastAsia" w:ascii="宋体" w:hAnsi="宋体" w:eastAsia="宋体" w:cs="宋体"/>
                <w:kern w:val="0"/>
                <w:sz w:val="18"/>
                <w:szCs w:val="18"/>
                <w:lang w:val="en-US" w:eastAsia="zh-CN"/>
              </w:rPr>
              <w:t>2</w:t>
            </w:r>
            <w:r>
              <w:rPr>
                <w:rFonts w:hint="eastAsia" w:ascii="宋体" w:hAnsi="宋体" w:eastAsia="宋体" w:cs="宋体"/>
                <w:kern w:val="0"/>
                <w:sz w:val="18"/>
                <w:szCs w:val="18"/>
                <w:lang w:val="en" w:eastAsia="zh-CN"/>
              </w:rPr>
              <w:t>0家</w:t>
            </w: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0家</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bookmarkStart w:id="0" w:name="_GoBack"/>
            <w:bookmarkEnd w:id="0"/>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rPr>
            </w:pPr>
          </w:p>
        </w:tc>
      </w:tr>
      <w:tr>
        <w:tblPrEx>
          <w:tblLayout w:type="fixed"/>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rPr>
              <w:t>指标2：</w:t>
            </w:r>
            <w:r>
              <w:rPr>
                <w:rFonts w:hint="eastAsia" w:ascii="宋体" w:hAnsi="宋体" w:eastAsia="宋体" w:cs="宋体"/>
                <w:color w:val="auto"/>
                <w:kern w:val="0"/>
                <w:sz w:val="18"/>
                <w:szCs w:val="18"/>
                <w:lang w:eastAsia="zh-CN"/>
              </w:rPr>
              <w:t>报纸公告</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1版</w:t>
            </w:r>
            <w:r>
              <w:rPr>
                <w:rFonts w:hint="eastAsia" w:ascii="宋体" w:hAnsi="宋体" w:cs="宋体"/>
                <w:color w:val="auto"/>
                <w:kern w:val="0"/>
                <w:sz w:val="18"/>
                <w:szCs w:val="18"/>
                <w:lang w:eastAsia="zh-CN"/>
              </w:rPr>
              <w:t>）</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=1版</w:t>
            </w: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rPr>
            </w:pPr>
          </w:p>
        </w:tc>
      </w:tr>
      <w:tr>
        <w:tblPrEx>
          <w:tblLayout w:type="fixed"/>
          <w:tblCellMar>
            <w:top w:w="0" w:type="dxa"/>
            <w:left w:w="108" w:type="dxa"/>
            <w:bottom w:w="0" w:type="dxa"/>
            <w:right w:w="108" w:type="dxa"/>
          </w:tblCellMar>
        </w:tblPrEx>
        <w:trPr>
          <w:trHeight w:val="6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eastAsia="zh-CN"/>
              </w:rPr>
              <w:t>指标</w:t>
            </w:r>
            <w:r>
              <w:rPr>
                <w:rFonts w:hint="eastAsia" w:ascii="宋体" w:hAnsi="宋体" w:eastAsia="宋体" w:cs="宋体"/>
                <w:color w:val="auto"/>
                <w:kern w:val="0"/>
                <w:sz w:val="18"/>
                <w:szCs w:val="18"/>
                <w:lang w:val="en-US" w:eastAsia="zh-CN"/>
              </w:rPr>
              <w:t>3：社会组织等级评估</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rPr>
            </w:pPr>
            <w:r>
              <w:rPr>
                <w:rFonts w:hint="eastAsia" w:ascii="宋体" w:hAnsi="宋体" w:eastAsia="宋体" w:cs="宋体"/>
                <w:kern w:val="0"/>
                <w:sz w:val="18"/>
                <w:szCs w:val="18"/>
                <w:lang w:val="en" w:eastAsia="zh-CN"/>
              </w:rPr>
              <w:t>≤</w:t>
            </w:r>
            <w:r>
              <w:rPr>
                <w:rFonts w:hint="eastAsia" w:ascii="宋体" w:hAnsi="宋体" w:eastAsia="宋体" w:cs="宋体"/>
                <w:kern w:val="0"/>
                <w:sz w:val="18"/>
                <w:szCs w:val="18"/>
                <w:lang w:val="en-US" w:eastAsia="zh-CN"/>
              </w:rPr>
              <w:t>100家</w:t>
            </w: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100家</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rPr>
            </w:pPr>
          </w:p>
        </w:tc>
      </w:tr>
      <w:tr>
        <w:tblPrEx>
          <w:tblLayout w:type="fixed"/>
          <w:tblCellMar>
            <w:top w:w="0" w:type="dxa"/>
            <w:left w:w="108" w:type="dxa"/>
            <w:bottom w:w="0" w:type="dxa"/>
            <w:right w:w="108" w:type="dxa"/>
          </w:tblCellMar>
        </w:tblPrEx>
        <w:trPr>
          <w:trHeight w:val="50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eastAsia="zh-CN"/>
              </w:rPr>
              <w:t>指标</w:t>
            </w:r>
            <w:r>
              <w:rPr>
                <w:rFonts w:hint="eastAsia" w:ascii="宋体" w:hAnsi="宋体" w:eastAsia="宋体" w:cs="宋体"/>
                <w:color w:val="auto"/>
                <w:kern w:val="0"/>
                <w:sz w:val="18"/>
                <w:szCs w:val="18"/>
                <w:lang w:val="en-US" w:eastAsia="zh-CN"/>
              </w:rPr>
              <w:t>4：证书购买</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 w:eastAsia="zh-CN"/>
              </w:rPr>
              <w:t>≤</w:t>
            </w:r>
            <w:r>
              <w:rPr>
                <w:rFonts w:hint="eastAsia" w:ascii="宋体" w:hAnsi="宋体" w:cs="宋体"/>
                <w:kern w:val="0"/>
                <w:sz w:val="18"/>
                <w:szCs w:val="18"/>
                <w:lang w:val="en-US" w:eastAsia="zh-CN"/>
              </w:rPr>
              <w:t>5</w:t>
            </w:r>
            <w:r>
              <w:rPr>
                <w:rFonts w:hint="eastAsia" w:ascii="宋体" w:hAnsi="宋体" w:eastAsia="宋体" w:cs="宋体"/>
                <w:kern w:val="0"/>
                <w:sz w:val="18"/>
                <w:szCs w:val="18"/>
                <w:lang w:val="en-US" w:eastAsia="zh-CN"/>
              </w:rPr>
              <w:t>万</w:t>
            </w: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r>
              <w:rPr>
                <w:rFonts w:hint="eastAsia" w:ascii="宋体" w:hAnsi="宋体" w:eastAsia="宋体" w:cs="宋体"/>
                <w:color w:val="auto"/>
                <w:kern w:val="0"/>
                <w:sz w:val="18"/>
                <w:szCs w:val="18"/>
                <w:lang w:val="en-US" w:eastAsia="zh-CN"/>
              </w:rPr>
              <w:t>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p>
        </w:tc>
      </w:tr>
      <w:tr>
        <w:tblPrEx>
          <w:tblLayout w:type="fixed"/>
          <w:tblCellMar>
            <w:top w:w="0" w:type="dxa"/>
            <w:left w:w="108" w:type="dxa"/>
            <w:bottom w:w="0" w:type="dxa"/>
            <w:right w:w="108" w:type="dxa"/>
          </w:tblCellMar>
        </w:tblPrEx>
        <w:trPr>
          <w:trHeight w:val="45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45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资金支付</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eastAsia="宋体" w:cs="宋体"/>
                <w:kern w:val="0"/>
                <w:sz w:val="18"/>
                <w:szCs w:val="18"/>
                <w:lang w:val="en" w:eastAsia="zh-CN"/>
              </w:rPr>
              <w:t>≤</w:t>
            </w:r>
            <w:r>
              <w:rPr>
                <w:rFonts w:hint="eastAsia" w:ascii="宋体" w:hAnsi="宋体" w:cs="宋体"/>
                <w:kern w:val="0"/>
                <w:sz w:val="18"/>
                <w:szCs w:val="18"/>
                <w:lang w:val="en-US" w:eastAsia="zh-CN"/>
              </w:rPr>
              <w:t>6月</w:t>
            </w: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5月</w:t>
            </w:r>
          </w:p>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等级评估工作</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eastAsia="宋体" w:cs="宋体"/>
                <w:kern w:val="0"/>
                <w:sz w:val="18"/>
                <w:szCs w:val="18"/>
                <w:lang w:val="en" w:eastAsia="zh-CN"/>
              </w:rPr>
              <w:t>≤</w:t>
            </w:r>
            <w:r>
              <w:rPr>
                <w:rFonts w:hint="eastAsia" w:ascii="宋体" w:hAnsi="宋体" w:cs="宋体"/>
                <w:kern w:val="0"/>
                <w:sz w:val="18"/>
                <w:szCs w:val="18"/>
                <w:lang w:val="en-US" w:eastAsia="zh-CN"/>
              </w:rPr>
              <w:t>12月</w:t>
            </w: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xml:space="preserve">12月   </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3：报纸公告</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eastAsia="宋体" w:cs="宋体"/>
                <w:kern w:val="0"/>
                <w:sz w:val="18"/>
                <w:szCs w:val="18"/>
                <w:lang w:val="en" w:eastAsia="zh-CN"/>
              </w:rPr>
              <w:t>≤</w:t>
            </w:r>
            <w:r>
              <w:rPr>
                <w:rFonts w:hint="eastAsia" w:ascii="宋体" w:hAnsi="宋体" w:cs="宋体"/>
                <w:kern w:val="0"/>
                <w:sz w:val="18"/>
                <w:szCs w:val="18"/>
                <w:lang w:val="en-US" w:eastAsia="zh-CN"/>
              </w:rPr>
              <w:t>12月</w:t>
            </w: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12月</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离任、注销审计收费标准</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eastAsia="宋体" w:cs="宋体"/>
                <w:kern w:val="0"/>
                <w:sz w:val="18"/>
                <w:szCs w:val="18"/>
                <w:lang w:val="en" w:eastAsia="zh-CN"/>
              </w:rPr>
              <w:t>≤</w:t>
            </w:r>
            <w:r>
              <w:rPr>
                <w:rFonts w:hint="eastAsia" w:ascii="宋体" w:hAnsi="宋体" w:cs="宋体"/>
                <w:kern w:val="0"/>
                <w:sz w:val="18"/>
                <w:szCs w:val="18"/>
                <w:lang w:val="en-US" w:eastAsia="zh-CN"/>
              </w:rPr>
              <w:t>5000元</w:t>
            </w: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整版中国社会报</w:t>
            </w:r>
            <w:r>
              <w:rPr>
                <w:rFonts w:hint="eastAsia" w:ascii="宋体" w:hAnsi="宋体" w:cs="宋体"/>
                <w:color w:val="auto"/>
                <w:kern w:val="0"/>
                <w:sz w:val="18"/>
                <w:szCs w:val="18"/>
                <w:lang w:val="en-US" w:eastAsia="zh-CN"/>
              </w:rPr>
              <w:t>公告收费标准</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东文宋体" w:hAnsi="东文宋体" w:eastAsia="东文宋体" w:cs="东文宋体"/>
                <w:color w:val="auto"/>
                <w:kern w:val="0"/>
                <w:sz w:val="18"/>
                <w:szCs w:val="18"/>
                <w:lang w:val="en-US" w:eastAsia="zh-CN"/>
              </w:rPr>
              <w:t>≤</w:t>
            </w:r>
            <w:r>
              <w:rPr>
                <w:rFonts w:hint="eastAsia" w:ascii="宋体" w:hAnsi="宋体" w:cs="宋体"/>
                <w:color w:val="auto"/>
                <w:kern w:val="0"/>
                <w:sz w:val="18"/>
                <w:szCs w:val="18"/>
                <w:lang w:val="en-US" w:eastAsia="zh-CN"/>
              </w:rPr>
              <w:t>50000元</w:t>
            </w: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19500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3：等级评估收费标准</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eastAsia="宋体" w:cs="宋体"/>
                <w:kern w:val="0"/>
                <w:sz w:val="18"/>
                <w:szCs w:val="18"/>
                <w:lang w:val="en" w:eastAsia="zh-CN"/>
              </w:rPr>
              <w:t>≤</w:t>
            </w:r>
            <w:r>
              <w:rPr>
                <w:rFonts w:hint="eastAsia" w:ascii="宋体" w:hAnsi="宋体" w:cs="宋体"/>
                <w:kern w:val="0"/>
                <w:sz w:val="18"/>
                <w:szCs w:val="18"/>
                <w:lang w:val="en-US" w:eastAsia="zh-CN"/>
              </w:rPr>
              <w:t>5000</w:t>
            </w: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4：证书购买</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 w:eastAsia="zh-CN"/>
              </w:rPr>
              <w:t>≤</w:t>
            </w:r>
            <w:r>
              <w:rPr>
                <w:rFonts w:hint="eastAsia" w:ascii="宋体" w:hAnsi="宋体" w:cs="宋体"/>
                <w:kern w:val="0"/>
                <w:sz w:val="18"/>
                <w:szCs w:val="18"/>
                <w:lang w:val="en-US" w:eastAsia="zh-CN"/>
              </w:rPr>
              <w:t>50000元</w:t>
            </w: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34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91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34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98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等级评估结果作为政府部门推动职能转移、授权委托事项、向社会组织购买服务，落实社会组织社会公益性捐助税前扣除政策优惠等方面的参考评判依据</w:t>
            </w:r>
          </w:p>
        </w:tc>
        <w:tc>
          <w:tcPr>
            <w:tcW w:w="11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东文宋体" w:cs="宋体"/>
                <w:color w:val="auto"/>
                <w:kern w:val="0"/>
                <w:sz w:val="18"/>
                <w:szCs w:val="18"/>
                <w:lang w:val="en-US" w:eastAsia="zh-CN"/>
              </w:rPr>
            </w:pPr>
            <w:r>
              <w:rPr>
                <w:rFonts w:hint="eastAsia" w:ascii="东文宋体" w:hAnsi="东文宋体" w:eastAsia="东文宋体" w:cs="东文宋体"/>
                <w:color w:val="auto"/>
                <w:kern w:val="0"/>
                <w:sz w:val="18"/>
                <w:szCs w:val="18"/>
              </w:rPr>
              <w:t>≥</w:t>
            </w:r>
            <w:r>
              <w:rPr>
                <w:rFonts w:hint="eastAsia" w:ascii="宋体" w:hAnsi="宋体" w:eastAsia="东文宋体" w:cs="宋体"/>
                <w:color w:val="auto"/>
                <w:kern w:val="0"/>
                <w:sz w:val="18"/>
                <w:szCs w:val="18"/>
                <w:lang w:val="en-US" w:eastAsia="zh-CN"/>
              </w:rPr>
              <w:t>90%</w:t>
            </w:r>
          </w:p>
        </w:tc>
        <w:tc>
          <w:tcPr>
            <w:tcW w:w="7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6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34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34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34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34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340"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37"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以评促建，以评促改，以评促管，以评促强</w:t>
            </w:r>
          </w:p>
        </w:tc>
        <w:tc>
          <w:tcPr>
            <w:tcW w:w="11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东文宋体" w:hAnsi="东文宋体" w:eastAsia="东文宋体" w:cs="东文宋体"/>
                <w:color w:val="auto"/>
                <w:kern w:val="0"/>
                <w:sz w:val="18"/>
                <w:szCs w:val="18"/>
              </w:rPr>
              <w:t>≥</w:t>
            </w:r>
            <w:r>
              <w:rPr>
                <w:rFonts w:hint="eastAsia" w:ascii="宋体" w:hAnsi="宋体" w:eastAsia="东文宋体" w:cs="宋体"/>
                <w:color w:val="auto"/>
                <w:kern w:val="0"/>
                <w:sz w:val="18"/>
                <w:szCs w:val="18"/>
                <w:lang w:val="en-US" w:eastAsia="zh-CN"/>
              </w:rPr>
              <w:t>90%</w:t>
            </w:r>
          </w:p>
        </w:tc>
        <w:tc>
          <w:tcPr>
            <w:tcW w:w="7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34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34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等级评估对象对评估工作满意度</w:t>
            </w:r>
          </w:p>
        </w:tc>
        <w:tc>
          <w:tcPr>
            <w:tcW w:w="11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东文宋体" w:hAnsi="东文宋体" w:eastAsia="东文宋体" w:cs="东文宋体"/>
                <w:color w:val="auto"/>
                <w:kern w:val="0"/>
                <w:sz w:val="18"/>
                <w:szCs w:val="18"/>
              </w:rPr>
              <w:t>≥</w:t>
            </w:r>
            <w:r>
              <w:rPr>
                <w:rFonts w:hint="eastAsia" w:ascii="宋体" w:hAnsi="宋体" w:eastAsia="东文宋体" w:cs="宋体"/>
                <w:color w:val="auto"/>
                <w:kern w:val="0"/>
                <w:sz w:val="18"/>
                <w:szCs w:val="18"/>
                <w:lang w:val="en-US" w:eastAsia="zh-CN"/>
              </w:rPr>
              <w:t>90%</w:t>
            </w:r>
          </w:p>
        </w:tc>
        <w:tc>
          <w:tcPr>
            <w:tcW w:w="7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34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340"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346"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p>
    <w:p>
      <w:pPr>
        <w:pStyle w:val="2"/>
        <w:rPr>
          <w:rFonts w:hint="eastAsia" w:ascii="宋体" w:hAnsi="宋体" w:eastAsia="宋体" w:cs="宋体"/>
          <w:color w:val="auto"/>
          <w:kern w:val="0"/>
          <w:sz w:val="22"/>
          <w:szCs w:val="24"/>
        </w:rPr>
      </w:pPr>
    </w:p>
    <w:p>
      <w:pPr>
        <w:pStyle w:val="2"/>
        <w:rPr>
          <w:rFonts w:hint="eastAsia" w:ascii="宋体" w:hAnsi="宋体" w:eastAsia="宋体" w:cs="宋体"/>
          <w:color w:val="auto"/>
          <w:kern w:val="0"/>
          <w:sz w:val="22"/>
          <w:szCs w:val="24"/>
        </w:rPr>
      </w:pPr>
    </w:p>
    <w:p>
      <w:pPr>
        <w:pStyle w:val="2"/>
        <w:rPr>
          <w:rFonts w:hint="eastAsia" w:ascii="宋体" w:hAnsi="宋体" w:eastAsia="宋体" w:cs="宋体"/>
          <w:color w:val="auto"/>
          <w:kern w:val="0"/>
          <w:sz w:val="22"/>
          <w:szCs w:val="24"/>
        </w:rPr>
      </w:pPr>
    </w:p>
    <w:p>
      <w:pPr>
        <w:pStyle w:val="2"/>
        <w:rPr>
          <w:rFonts w:hint="eastAsia" w:ascii="宋体" w:hAnsi="宋体" w:eastAsia="宋体" w:cs="宋体"/>
          <w:color w:val="auto"/>
          <w:kern w:val="0"/>
          <w:sz w:val="22"/>
          <w:szCs w:val="24"/>
        </w:rPr>
      </w:pPr>
    </w:p>
    <w:p>
      <w:pPr>
        <w:pStyle w:val="2"/>
        <w:rPr>
          <w:rFonts w:hint="eastAsia" w:ascii="宋体" w:hAnsi="宋体" w:eastAsia="宋体" w:cs="宋体"/>
          <w:color w:val="auto"/>
          <w:kern w:val="0"/>
          <w:sz w:val="22"/>
          <w:szCs w:val="24"/>
        </w:rPr>
      </w:pPr>
    </w:p>
    <w:p>
      <w:pPr>
        <w:pStyle w:val="2"/>
        <w:rPr>
          <w:rFonts w:hint="eastAsia" w:ascii="宋体" w:hAnsi="宋体" w:eastAsia="宋体" w:cs="宋体"/>
          <w:color w:val="auto"/>
          <w:kern w:val="0"/>
          <w:sz w:val="22"/>
          <w:szCs w:val="24"/>
        </w:rPr>
      </w:pPr>
    </w:p>
    <w:p>
      <w:pPr>
        <w:pStyle w:val="2"/>
        <w:rPr>
          <w:rFonts w:hint="eastAsia" w:ascii="宋体" w:hAnsi="宋体" w:eastAsia="宋体" w:cs="宋体"/>
          <w:color w:val="auto"/>
          <w:kern w:val="0"/>
          <w:sz w:val="22"/>
          <w:szCs w:val="24"/>
        </w:rPr>
      </w:pPr>
    </w:p>
    <w:p>
      <w:pPr>
        <w:pStyle w:val="2"/>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p>
    <w:p>
      <w:pPr>
        <w:pStyle w:val="2"/>
        <w:rPr>
          <w:rFonts w:hint="eastAsia" w:ascii="宋体" w:hAnsi="宋体" w:eastAsia="宋体" w:cs="宋体"/>
          <w:color w:val="auto"/>
          <w:kern w:val="0"/>
          <w:sz w:val="22"/>
          <w:szCs w:val="24"/>
        </w:rPr>
      </w:pPr>
    </w:p>
    <w:p>
      <w:pPr>
        <w:pStyle w:val="2"/>
        <w:rPr>
          <w:rFonts w:hint="eastAsia" w:ascii="宋体" w:hAnsi="宋体" w:eastAsia="宋体" w:cs="宋体"/>
          <w:color w:val="auto"/>
          <w:kern w:val="0"/>
          <w:sz w:val="22"/>
          <w:szCs w:val="24"/>
        </w:rPr>
      </w:pPr>
    </w:p>
    <w:p>
      <w:pPr>
        <w:rPr>
          <w:rFonts w:hint="eastAsia" w:eastAsia="宋体"/>
          <w:b w:val="0"/>
          <w:bCs w:val="0"/>
          <w:lang w:val="en-US" w:eastAsia="zh-CN"/>
        </w:rPr>
      </w:pPr>
    </w:p>
    <w:sectPr>
      <w:footerReference r:id="rId3" w:type="default"/>
      <w:pgSz w:w="11906" w:h="16838"/>
      <w:pgMar w:top="1440" w:right="1803" w:bottom="1440" w:left="1803" w:header="851" w:footer="992" w:gutter="0"/>
      <w:pgBorders>
        <w:top w:val="none" w:color="auto" w:sz="0" w:space="0"/>
        <w:left w:val="none" w:color="auto" w:sz="0" w:space="0"/>
        <w:bottom w:val="none" w:color="auto" w:sz="0" w:space="0"/>
        <w:right w:val="none" w:color="auto" w:sz="0" w:space="0"/>
      </w:pgBorders>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东文宋体">
    <w:altName w:val="宋体"/>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Nimbus Roman No9 L">
    <w:altName w:val="Segoe Print"/>
    <w:panose1 w:val="00000000000000000000"/>
    <w:charset w:val="00"/>
    <w:family w:val="auto"/>
    <w:pitch w:val="default"/>
    <w:sig w:usb0="00000000" w:usb1="00000000" w:usb2="00000000" w:usb3="00000000" w:csb0="00000000" w:csb1="00000000"/>
  </w:font>
  <w:font w:name="方正书宋_GBK">
    <w:altName w:val="Arial Unicode MS"/>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C8165E0"/>
    <w:rsid w:val="276911B0"/>
    <w:rsid w:val="2CBF8107"/>
    <w:rsid w:val="2EB70209"/>
    <w:rsid w:val="30FF2B40"/>
    <w:rsid w:val="35D339CB"/>
    <w:rsid w:val="3AB72102"/>
    <w:rsid w:val="3AFBE56B"/>
    <w:rsid w:val="3FF79B31"/>
    <w:rsid w:val="4BA31FDB"/>
    <w:rsid w:val="4BFF9656"/>
    <w:rsid w:val="4E345184"/>
    <w:rsid w:val="537B9DA3"/>
    <w:rsid w:val="556DBA2E"/>
    <w:rsid w:val="55FE003F"/>
    <w:rsid w:val="5A474F5C"/>
    <w:rsid w:val="5BDF534B"/>
    <w:rsid w:val="5DDF52D1"/>
    <w:rsid w:val="5DFA3751"/>
    <w:rsid w:val="5EDB0B63"/>
    <w:rsid w:val="5F9F33EB"/>
    <w:rsid w:val="5FEA8B71"/>
    <w:rsid w:val="6AC7B1A3"/>
    <w:rsid w:val="6B77FB6F"/>
    <w:rsid w:val="6DB74883"/>
    <w:rsid w:val="6EE9A86C"/>
    <w:rsid w:val="6FD43E60"/>
    <w:rsid w:val="763E871D"/>
    <w:rsid w:val="78773813"/>
    <w:rsid w:val="79EBFCAD"/>
    <w:rsid w:val="7AC91AA5"/>
    <w:rsid w:val="7BBD97BD"/>
    <w:rsid w:val="7BFE4A5B"/>
    <w:rsid w:val="7BFFEC6B"/>
    <w:rsid w:val="7DBF4FBB"/>
    <w:rsid w:val="7DCD9330"/>
    <w:rsid w:val="7DD758A1"/>
    <w:rsid w:val="7DF755DB"/>
    <w:rsid w:val="7E562264"/>
    <w:rsid w:val="7E5EB5A1"/>
    <w:rsid w:val="7F2773F9"/>
    <w:rsid w:val="7F3909BD"/>
    <w:rsid w:val="7F7C49BA"/>
    <w:rsid w:val="7FBF70D0"/>
    <w:rsid w:val="7FCFC4A9"/>
    <w:rsid w:val="7FDF631C"/>
    <w:rsid w:val="7FF719AD"/>
    <w:rsid w:val="7FF7CBF2"/>
    <w:rsid w:val="7FFD6F15"/>
    <w:rsid w:val="7FFED785"/>
    <w:rsid w:val="7FFF64CB"/>
    <w:rsid w:val="9BFD2FEF"/>
    <w:rsid w:val="AFDDEFDC"/>
    <w:rsid w:val="AFF608CA"/>
    <w:rsid w:val="B2DFF942"/>
    <w:rsid w:val="B5E72E3A"/>
    <w:rsid w:val="B5FC34C6"/>
    <w:rsid w:val="B7F4FDD5"/>
    <w:rsid w:val="B9E5D4CE"/>
    <w:rsid w:val="BAEFCA12"/>
    <w:rsid w:val="BD5D8A02"/>
    <w:rsid w:val="BEBED4DF"/>
    <w:rsid w:val="CFFF8CF7"/>
    <w:rsid w:val="D4CEDA1A"/>
    <w:rsid w:val="D5A31DC0"/>
    <w:rsid w:val="D7FF1616"/>
    <w:rsid w:val="DFEAA56F"/>
    <w:rsid w:val="E3455D2C"/>
    <w:rsid w:val="E6922BE3"/>
    <w:rsid w:val="EB5BB730"/>
    <w:rsid w:val="EDFF835A"/>
    <w:rsid w:val="EEBB59E1"/>
    <w:rsid w:val="EFCF022D"/>
    <w:rsid w:val="F37B3AB2"/>
    <w:rsid w:val="F6F507D0"/>
    <w:rsid w:val="F6FF4047"/>
    <w:rsid w:val="F7E365DE"/>
    <w:rsid w:val="F7F10E4D"/>
    <w:rsid w:val="F85F5781"/>
    <w:rsid w:val="FA5A168B"/>
    <w:rsid w:val="FBFFE7B3"/>
    <w:rsid w:val="FCF3A690"/>
    <w:rsid w:val="FD3F40DC"/>
    <w:rsid w:val="FD9A5A1F"/>
    <w:rsid w:val="FDB90F86"/>
    <w:rsid w:val="FDFF8444"/>
    <w:rsid w:val="FEF8056D"/>
    <w:rsid w:val="FEF82787"/>
    <w:rsid w:val="FEFD3F0E"/>
    <w:rsid w:val="FF6F9D1B"/>
    <w:rsid w:val="FFBDEA55"/>
    <w:rsid w:val="FFCEC3D1"/>
    <w:rsid w:val="FFDB9A8A"/>
    <w:rsid w:val="FFEF3C3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Normal Indent"/>
    <w:basedOn w:val="1"/>
    <w:next w:val="1"/>
    <w:qFormat/>
    <w:uiPriority w:val="0"/>
    <w:pPr>
      <w:ind w:firstLine="200" w:firstLineChars="200"/>
    </w:pPr>
  </w:style>
  <w:style w:type="paragraph" w:styleId="5">
    <w:name w:val="Body Text"/>
    <w:basedOn w:val="1"/>
    <w:next w:val="1"/>
    <w:qFormat/>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2">
    <w:name w:val="font81"/>
    <w:basedOn w:val="9"/>
    <w:qFormat/>
    <w:uiPriority w:val="0"/>
    <w:rPr>
      <w:rFonts w:hint="eastAsia" w:ascii="宋体" w:hAnsi="宋体" w:eastAsia="宋体" w:cs="宋体"/>
      <w:color w:val="000000"/>
      <w:sz w:val="20"/>
      <w:szCs w:val="20"/>
      <w:u w:val="none"/>
    </w:rPr>
  </w:style>
  <w:style w:type="character" w:customStyle="1" w:styleId="13">
    <w:name w:val="font11"/>
    <w:basedOn w:val="9"/>
    <w:qFormat/>
    <w:uiPriority w:val="0"/>
    <w:rPr>
      <w:rFonts w:hint="eastAsia" w:ascii="仿宋_GB2312" w:eastAsia="仿宋_GB2312" w:cs="仿宋_GB2312"/>
      <w:color w:val="000000"/>
      <w:sz w:val="24"/>
      <w:szCs w:val="24"/>
      <w:u w:val="none"/>
    </w:rPr>
  </w:style>
  <w:style w:type="character" w:customStyle="1" w:styleId="14">
    <w:name w:val="font61"/>
    <w:basedOn w:val="9"/>
    <w:qFormat/>
    <w:uiPriority w:val="0"/>
    <w:rPr>
      <w:rFonts w:hint="eastAsia" w:ascii="仿宋_GB2312" w:eastAsia="仿宋_GB2312" w:cs="仿宋_GB2312"/>
      <w:color w:val="000000"/>
      <w:sz w:val="24"/>
      <w:szCs w:val="24"/>
      <w:u w:val="none"/>
    </w:rPr>
  </w:style>
  <w:style w:type="character" w:customStyle="1" w:styleId="15">
    <w:name w:val="font71"/>
    <w:basedOn w:val="9"/>
    <w:qFormat/>
    <w:uiPriority w:val="0"/>
    <w:rPr>
      <w:rFonts w:hint="eastAsia" w:ascii="宋体" w:hAnsi="宋体" w:eastAsia="宋体" w:cs="宋体"/>
      <w:color w:val="FF0000"/>
      <w:sz w:val="20"/>
      <w:szCs w:val="20"/>
      <w:u w:val="none"/>
    </w:rPr>
  </w:style>
  <w:style w:type="paragraph" w:customStyle="1" w:styleId="16">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7">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2024-03-13T19:08:00Z</dcterms:created>
  <dc:creator>user</dc:creator>
  <cp:lastModifiedBy>mzj</cp:lastModifiedBy>
  <cp:lastPrinted>2024-04-11T00:04:00Z</cp:lastPrinted>
  <dcterms:modified xsi:type="dcterms:W3CDTF">2024-09-06T03:13:55Z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