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未成年人救助保护服务</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刘嵩</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61519200</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683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国务院关于加强农村留守儿童关爱保护工作的意见》（国发〔2016〕13号）、《国务院关于加强困境儿童保障工作的意见》（国发〔2016〕36号）、《民政部关于进一步健全农村留守儿童和困境儿童关爱服务体系的意见》（民发〔2019〕34号）、《关于建立北京市困境儿童分类保障制度的意见》（京民福发〔2016〕228号）、北京市民政局 北京市财政局等14家单位《关于进一步加强事实无人抚养儿童保障工作的实施意见》（京社委儿福发〔2019〕36号）和《未成年人保护法》有关要求：“各地要将农村留守儿童关爱保护和困境儿童保障纳入政府购买服务指导性目录，并结合实际需要做好资金保障，重点购买走访核查、热线运行、监护评估、精准帮扶、政策宣传、业务培训、家庭探访督导检查等关爱服务。支持社会工作者、法律工作者、心理咨询工作者等专业人员，针对农村留守儿童和困境儿童不同特点，提供心理疏导、亲情关爱、权益维护等服务。”区民政局拟以政府购买服务的形式，引入法律服务机构和专业社会组织，加强农村留守儿童和困境儿童的关爱服务工作，加强基层未成年人救助保护业务工作能力。</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根据《国务院关于加强农村留守儿童关爱保护工作的意见》（国发〔2016〕13号）、《国务院关于加强困境儿童保障工作的意见》（国发〔2016〕36号）、《民政部关于进一步健全农村留守儿童和困境儿童关爱服务体系的意见》（民发〔2019〕34号）、《关于建立北京市困境儿童分类保障制度的意见》（京民福发〔2016〕228号）、北京市民政局 北京市财政局等14家单位《关于进一步加强事实无人抚养儿童保障工作的实施意见》（京社委儿福发〔2019〕36号）和《未成年人保护法》有关要求：“各地要将农村留守儿童关爱保护和困境儿童保障纳入政府购买服务指导性目录，并结合实际需要做好资金保障，重点购买走访核查、热线运行、监护评估、精准帮扶、政策宣传、业务培训、家庭探访督导检查等关爱服务。支持社会工作者、法律工作者、心理咨询工作者等专业人员，针对农村留守儿童和困境儿童不同特点，提供心理疏导、亲情关爱、权益维护等服务。”区民政局以政府购买服务的形式，引入法律服务机构和专业社会组织，加强农村留守儿童和困境儿童的关爱服务工作，加强基层未成年人救助保护业务工作能力。</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指标1：政府购买服务项目数量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w:t>
            </w:r>
            <w:r>
              <w:rPr>
                <w:rFonts w:hint="eastAsia" w:ascii="宋体" w:hAnsi="宋体" w:cs="宋体"/>
                <w:color w:val="auto"/>
                <w:kern w:val="0"/>
                <w:sz w:val="18"/>
                <w:szCs w:val="18"/>
                <w:lang w:val="en-US" w:eastAsia="zh-CN"/>
              </w:rPr>
              <w:t>3个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2：</w:t>
            </w:r>
            <w:r>
              <w:rPr>
                <w:rFonts w:hint="eastAsia" w:ascii="宋体" w:hAnsi="宋体" w:cs="宋体"/>
                <w:color w:val="000000"/>
                <w:kern w:val="0"/>
                <w:sz w:val="20"/>
                <w:szCs w:val="20"/>
                <w:highlight w:val="none"/>
                <w:lang w:val="en-US" w:eastAsia="zh-CN"/>
              </w:rPr>
              <w:t>项目惠及儿童人次数</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highlight w:val="none"/>
                <w:lang w:val="en-US" w:eastAsia="zh-CN"/>
              </w:rPr>
              <w:t>≥</w:t>
            </w:r>
            <w:r>
              <w:rPr>
                <w:rFonts w:hint="eastAsia" w:ascii="宋体" w:hAnsi="宋体" w:cs="宋体"/>
                <w:kern w:val="0"/>
                <w:sz w:val="20"/>
                <w:szCs w:val="20"/>
                <w:highlight w:val="none"/>
                <w:lang w:val="en-US" w:eastAsia="zh-CN"/>
              </w:rPr>
              <w:t>200人次</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highlight w:val="none"/>
                <w:lang w:val="en-US" w:eastAsia="zh-CN"/>
              </w:rPr>
              <w:t>1552人次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1：</w:t>
            </w:r>
            <w:r>
              <w:rPr>
                <w:rFonts w:hint="eastAsia" w:ascii="宋体" w:hAnsi="宋体" w:cs="宋体"/>
                <w:color w:val="000000"/>
                <w:kern w:val="0"/>
                <w:sz w:val="20"/>
                <w:szCs w:val="20"/>
                <w:highlight w:val="none"/>
                <w:lang w:val="en-US" w:eastAsia="zh-CN"/>
              </w:rPr>
              <w:t>项目按协议约定工作完成率</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highlight w:val="none"/>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6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auto"/>
                <w:kern w:val="0"/>
                <w:sz w:val="18"/>
                <w:szCs w:val="18"/>
              </w:rPr>
              <w:t>未成年人救助保护</w:t>
            </w:r>
            <w:r>
              <w:rPr>
                <w:rFonts w:hint="eastAsia" w:ascii="宋体" w:hAnsi="宋体" w:cs="宋体"/>
                <w:color w:val="auto"/>
                <w:kern w:val="0"/>
                <w:sz w:val="18"/>
                <w:szCs w:val="18"/>
                <w:lang w:val="en-US" w:eastAsia="zh-CN"/>
              </w:rPr>
              <w:t>类服务项目服务期限</w:t>
            </w:r>
          </w:p>
        </w:tc>
        <w:tc>
          <w:tcPr>
            <w:tcW w:w="938" w:type="dxa"/>
            <w:tcBorders>
              <w:top w:val="nil"/>
              <w:left w:val="nil"/>
              <w:bottom w:val="single" w:color="auto" w:sz="4" w:space="0"/>
              <w:right w:val="single" w:color="auto" w:sz="4" w:space="0"/>
            </w:tcBorders>
            <w:vAlign w:val="center"/>
          </w:tcPr>
          <w:p>
            <w:pPr>
              <w:spacing w:line="240" w:lineRule="exact"/>
              <w:jc w:val="both"/>
              <w:rPr>
                <w:rFonts w:hint="default" w:ascii="宋体" w:hAnsi="宋体" w:cs="宋体"/>
                <w:color w:val="auto"/>
                <w:kern w:val="0"/>
                <w:sz w:val="18"/>
                <w:szCs w:val="18"/>
                <w:lang w:val="en-US"/>
              </w:rPr>
            </w:pPr>
            <w:r>
              <w:rPr>
                <w:rFonts w:hint="eastAsia" w:ascii="宋体" w:hAnsi="宋体" w:cs="宋体"/>
                <w:kern w:val="0"/>
                <w:sz w:val="20"/>
                <w:szCs w:val="20"/>
                <w:lang w:val="en-US" w:eastAsia="zh-CN"/>
              </w:rPr>
              <w:t>=1年</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1年</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政府购买服务项目投入总金额</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75万元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项目服务的保障对象妥善保障率</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受助儿童及家庭满意度</w:t>
            </w:r>
          </w:p>
        </w:tc>
        <w:tc>
          <w:tcPr>
            <w:tcW w:w="938" w:type="dxa"/>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rFonts w:hint="eastAsia" w:eastAsia="宋体"/>
          <w:b w:val="0"/>
          <w:bCs w:val="0"/>
          <w:lang w:val="en-US" w:eastAsia="zh-CN"/>
        </w:rPr>
      </w:pPr>
      <w:bookmarkStart w:id="0" w:name="_GoBack"/>
      <w:bookmarkEnd w:id="0"/>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OWU5ZjI5ZDlhZTYwNGY2OGIxOTIxZDMxNDNkYjEifQ=="/>
  </w:docVars>
  <w:rsids>
    <w:rsidRoot w:val="5EDB0B63"/>
    <w:rsid w:val="01534994"/>
    <w:rsid w:val="0C8165E0"/>
    <w:rsid w:val="0F384E0F"/>
    <w:rsid w:val="1C9E3AF5"/>
    <w:rsid w:val="22BD65DF"/>
    <w:rsid w:val="2CBF8107"/>
    <w:rsid w:val="2EB70209"/>
    <w:rsid w:val="30FF2B40"/>
    <w:rsid w:val="35D339CB"/>
    <w:rsid w:val="3FF79B31"/>
    <w:rsid w:val="4AAA4B66"/>
    <w:rsid w:val="4B9F289F"/>
    <w:rsid w:val="4BA31FDB"/>
    <w:rsid w:val="4BFF9656"/>
    <w:rsid w:val="537B9DA3"/>
    <w:rsid w:val="5A474F5C"/>
    <w:rsid w:val="5DDF52D1"/>
    <w:rsid w:val="5EDB0B63"/>
    <w:rsid w:val="5F9F33EB"/>
    <w:rsid w:val="6AC7B1A3"/>
    <w:rsid w:val="6B77FB6F"/>
    <w:rsid w:val="6EE9A86C"/>
    <w:rsid w:val="6FD43E60"/>
    <w:rsid w:val="763E871D"/>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1">
    <w:name w:val="font81"/>
    <w:basedOn w:val="8"/>
    <w:qFormat/>
    <w:uiPriority w:val="0"/>
    <w:rPr>
      <w:rFonts w:hint="eastAsia" w:ascii="宋体" w:hAnsi="宋体" w:eastAsia="宋体" w:cs="宋体"/>
      <w:color w:val="000000"/>
      <w:sz w:val="20"/>
      <w:szCs w:val="20"/>
      <w:u w:val="none"/>
    </w:rPr>
  </w:style>
  <w:style w:type="character" w:customStyle="1" w:styleId="12">
    <w:name w:val="font11"/>
    <w:basedOn w:val="8"/>
    <w:qFormat/>
    <w:uiPriority w:val="0"/>
    <w:rPr>
      <w:rFonts w:hint="eastAsia" w:ascii="仿宋_GB2312" w:eastAsia="仿宋_GB2312" w:cs="仿宋_GB2312"/>
      <w:color w:val="000000"/>
      <w:sz w:val="24"/>
      <w:szCs w:val="24"/>
      <w:u w:val="none"/>
    </w:rPr>
  </w:style>
  <w:style w:type="character" w:customStyle="1" w:styleId="13">
    <w:name w:val="font61"/>
    <w:basedOn w:val="8"/>
    <w:qFormat/>
    <w:uiPriority w:val="0"/>
    <w:rPr>
      <w:rFonts w:hint="eastAsia" w:ascii="仿宋_GB2312" w:eastAsia="仿宋_GB2312" w:cs="仿宋_GB2312"/>
      <w:color w:val="000000"/>
      <w:sz w:val="24"/>
      <w:szCs w:val="24"/>
      <w:u w:val="none"/>
    </w:rPr>
  </w:style>
  <w:style w:type="character" w:customStyle="1" w:styleId="14">
    <w:name w:val="font71"/>
    <w:basedOn w:val="8"/>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mzj</cp:lastModifiedBy>
  <cp:lastPrinted>2024-03-30T01:59:00Z</cp:lastPrinted>
  <dcterms:modified xsi:type="dcterms:W3CDTF">2024-09-06T07:08:17Z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D05120C2BE4A474F9F15C3DAC2CDEDCA_13</vt:lpwstr>
  </property>
</Properties>
</file>