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horzAnchor="margin" w:tblpY="-1800"/>
        <w:tblW w:w="14832"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tblGrid>
      <w:tr>
        <w:tblPrEx>
          <w:tblCellMar>
            <w:top w:w="0" w:type="dxa"/>
            <w:left w:w="108" w:type="dxa"/>
            <w:bottom w:w="0" w:type="dxa"/>
            <w:right w:w="108" w:type="dxa"/>
          </w:tblCellMar>
        </w:tblPrEx>
        <w:trPr>
          <w:gridAfter w:val="1"/>
          <w:wAfter w:w="3809" w:type="dxa"/>
          <w:trHeight w:val="484" w:hRule="atLeast"/>
        </w:trPr>
        <w:tc>
          <w:tcPr>
            <w:tcW w:w="11023" w:type="dxa"/>
            <w:gridSpan w:val="12"/>
            <w:tcBorders>
              <w:top w:val="nil"/>
              <w:left w:val="nil"/>
              <w:bottom w:val="nil"/>
              <w:right w:val="nil"/>
            </w:tcBorders>
            <w:shd w:val="clear" w:color="auto" w:fill="auto"/>
            <w:vAlign w:val="center"/>
          </w:tcPr>
          <w:p>
            <w:pPr>
              <w:widowControl/>
              <w:rPr>
                <w:rFonts w:hint="default" w:ascii="仿宋_GB2312" w:eastAsia="仿宋_GB2312"/>
                <w:sz w:val="32"/>
                <w:szCs w:val="32"/>
                <w:lang w:val="en-US" w:eastAsia="zh-CN"/>
              </w:rPr>
            </w:pPr>
          </w:p>
          <w:p>
            <w:pPr>
              <w:widowControl/>
              <w:rPr>
                <w:rFonts w:ascii="仿宋_GB2312" w:eastAsia="仿宋_GB2312"/>
                <w:sz w:val="32"/>
                <w:szCs w:val="32"/>
              </w:rPr>
            </w:pPr>
            <w:r>
              <w:rPr>
                <w:rFonts w:hint="eastAsia" w:ascii="仿宋_GB2312" w:eastAsia="仿宋_GB2312"/>
                <w:sz w:val="32"/>
                <w:szCs w:val="32"/>
              </w:rPr>
              <w:t>附件:6：</w:t>
            </w: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项目支出绩效自评表</w:t>
            </w:r>
          </w:p>
        </w:tc>
      </w:tr>
      <w:tr>
        <w:tblPrEx>
          <w:tblCellMar>
            <w:top w:w="0" w:type="dxa"/>
            <w:left w:w="108" w:type="dxa"/>
            <w:bottom w:w="0" w:type="dxa"/>
            <w:right w:w="108" w:type="dxa"/>
          </w:tblCellMar>
        </w:tblPrEx>
        <w:trPr>
          <w:gridAfter w:val="1"/>
          <w:wAfter w:w="3809" w:type="dxa"/>
          <w:trHeight w:val="311" w:hRule="atLeast"/>
        </w:trPr>
        <w:tc>
          <w:tcPr>
            <w:tcW w:w="11023" w:type="dxa"/>
            <w:gridSpan w:val="12"/>
            <w:tcBorders>
              <w:top w:val="nil"/>
              <w:left w:val="nil"/>
              <w:bottom w:val="nil"/>
              <w:right w:val="nil"/>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r>
              <w:rPr>
                <w:rFonts w:ascii="宋体" w:hAnsi="宋体" w:cs="宋体"/>
                <w:color w:val="000000"/>
                <w:kern w:val="0"/>
                <w:sz w:val="22"/>
              </w:rPr>
              <w:t>2</w:t>
            </w:r>
            <w:r>
              <w:rPr>
                <w:rFonts w:hint="eastAsia" w:ascii="宋体" w:hAnsi="宋体" w:cs="宋体"/>
                <w:color w:val="000000"/>
                <w:kern w:val="0"/>
                <w:sz w:val="22"/>
                <w:lang w:val="en-US" w:eastAsia="zh-CN"/>
              </w:rPr>
              <w:t>3</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80" w:hRule="atLeast"/>
        </w:trPr>
        <w:tc>
          <w:tcPr>
            <w:tcW w:w="846"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3809"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上年结转农药使用动态监测</w:t>
            </w:r>
          </w:p>
        </w:tc>
      </w:tr>
      <w:tr>
        <w:tblPrEx>
          <w:tblCellMar>
            <w:top w:w="0" w:type="dxa"/>
            <w:left w:w="108" w:type="dxa"/>
            <w:bottom w:w="0" w:type="dxa"/>
            <w:right w:w="108" w:type="dxa"/>
          </w:tblCellMar>
        </w:tblPrEx>
        <w:trPr>
          <w:gridAfter w:val="1"/>
          <w:wAfter w:w="3809"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北京市通州区农业农村局</w:t>
            </w:r>
            <w:r>
              <w:rPr>
                <w:rFonts w:ascii="宋体" w:hAnsi="宋体" w:cs="宋体"/>
                <w:color w:val="000000"/>
                <w:kern w:val="0"/>
                <w:sz w:val="24"/>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216535</wp:posOffset>
                      </wp:positionV>
                      <wp:extent cx="1152525" cy="609600"/>
                      <wp:effectExtent l="2540" t="4445" r="6985" b="14605"/>
                      <wp:wrapNone/>
                      <wp:docPr id="1" name="自选图形 3"/>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4.2pt;margin-top:17.05pt;height:48pt;width:90.75pt;z-index:251659264;mso-width-relative:page;mso-height-relative:page;" filled="f" stroked="t" coordsize="21600,21600" o:gfxdata="UEsDBAoAAAAAAIdO4kAAAAAAAAAAAAAAAAAEAAAAZHJzL1BLAwQUAAAACACHTuJAoYtmMNcAAAAJ&#10;AQAADwAAAGRycy9kb3ducmV2LnhtbE2PwU7DMBBE70j8g7VIXFBruylQQpwKIXHgSFuJqxsvSSBe&#10;R7HTlH492xO9zWpGs2+K9dF34oBDbAMZ0HMFAqkKrqXawG77NluBiMmSs10gNPCLEdbl9VVhcxcm&#10;+sDDJtWCSyjm1kCTUp9LGasGvY3z0COx9xUGbxOfQy3dYCcu951cKPUgvW2JPzS2x9cGq5/N6A1g&#10;HO+1enny9e79NN19Lk7fU7815vZGq2cQCY/pPwxnfEaHkpn2YSQXRWdgtlpy0kC21CDO/mPGYs8i&#10;UxpkWcjLBeUfUEsDBBQAAAAIAIdO4kCyar2j9wEAAOgDAAAOAAAAZHJzL2Uyb0RvYy54bWytU82O&#10;0zAQviPxDpbvNEkRFRs13UPLckFQCXiAqeMklvwnj7dpb9wQz8CNI+8Ab7MSvAVjp3RhufRAIiVj&#10;z8w3830eL68PRrO9DKicbXg1KzmTVrhW2b7h79/dPHnOGUawLWhnZcOPEvn16vGj5ehrOXeD060M&#10;jEAs1qNv+BCjr4sCxSAN4Mx5acnZuWAg0jL0RRtgJHSji3lZLorRhdYHJyQi7W4mJz8hhksAXdcp&#10;ITdO3Bpp44QapIZIlHBQHvkqd9t1UsQ3XYcyMt1wYhrzl4qQvUvfYrWEug/gByVOLcAlLTzgZEBZ&#10;KnqG2kAEdhvUP1BGieDQdXEmnCkmIlkRYlGVD7R5O4CXmQtJjf4sOv4/WPF6vw1MtTQJnFkwdOA/&#10;Pn79+eHT3efvd9++sKdJodFjTYFruw2nFfptSHQPXTDpT0TYIat6PKsqD5EJ2qyqZ3N6ORPkW5RX&#10;izLLXtxn+4DxpXSGJaPhGAOofohrZy0doAtVlhb2rzBSfUr8nZBKa8vGhl9NFYAGsqNBoGLGEym0&#10;fc5Fp1V7o7ROGRj63VoHtoc0FPlJLAn3r7BUZAM4THHZNY3LIKF9YVsWj57ksnRLeGrByJYzLelS&#10;JYsAoY6g9CWRVFpb6iAJPUmbrJ1rj1nxvE8DkHs8DWuasD/XOfv+gq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GLZjDXAAAACQEAAA8AAAAAAAAAAQAgAAAAIgAAAGRycy9kb3ducmV2LnhtbFBL&#10;AQIUABQAAAAIAIdO4kCyar2j9wEAAOgDAAAOAAAAAAAAAAEAIAAAACYBAABkcnMvZTJvRG9jLnht&#10;bFBLBQYAAAAABgAGAFkBAACPBQAAAAA=&#10;">
                      <v:fill on="f" focussize="0,0"/>
                      <v:stroke color="#000000" joinstyle="round"/>
                      <v:imagedata o:title=""/>
                      <o:lock v:ext="edit" aspectratio="f"/>
                    </v:shape>
                  </w:pict>
                </mc:Fallback>
              </mc:AlternateContent>
            </w: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北京市通州区植物保护中心</w:t>
            </w:r>
          </w:p>
        </w:tc>
      </w:tr>
      <w:tr>
        <w:tblPrEx>
          <w:tblCellMar>
            <w:top w:w="0" w:type="dxa"/>
            <w:left w:w="108" w:type="dxa"/>
            <w:bottom w:w="0" w:type="dxa"/>
            <w:right w:w="108" w:type="dxa"/>
          </w:tblCellMar>
        </w:tblPrEx>
        <w:trPr>
          <w:gridAfter w:val="1"/>
          <w:wAfter w:w="3809"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1"/>
          <w:wAfter w:w="3809"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shd w:val="clear" w:color="auto" w:fill="auto"/>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7.5</w:t>
            </w:r>
          </w:p>
        </w:tc>
        <w:tc>
          <w:tcPr>
            <w:tcW w:w="127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7.5</w:t>
            </w:r>
          </w:p>
        </w:tc>
        <w:tc>
          <w:tcPr>
            <w:tcW w:w="992" w:type="dxa"/>
            <w:tcBorders>
              <w:top w:val="nil"/>
              <w:left w:val="nil"/>
              <w:bottom w:val="single" w:color="auto" w:sz="4" w:space="0"/>
              <w:right w:val="single" w:color="auto" w:sz="4" w:space="0"/>
            </w:tcBorders>
            <w:shd w:val="clear" w:color="auto" w:fill="auto"/>
            <w:noWrap/>
            <w:vAlign w:val="center"/>
          </w:tcPr>
          <w:p>
            <w:pPr>
              <w:widowControl/>
              <w:rPr>
                <w:rFonts w:hint="default" w:ascii="宋体" w:hAnsi="宋体" w:cs="宋体" w:eastAsiaTheme="minorEastAsia"/>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10</w:t>
            </w:r>
          </w:p>
        </w:tc>
      </w:tr>
      <w:tr>
        <w:tblPrEx>
          <w:tblCellMar>
            <w:top w:w="0" w:type="dxa"/>
            <w:left w:w="108" w:type="dxa"/>
            <w:bottom w:w="0" w:type="dxa"/>
            <w:right w:w="108" w:type="dxa"/>
          </w:tblCellMar>
        </w:tblPrEx>
        <w:trPr>
          <w:gridAfter w:val="1"/>
          <w:wAfter w:w="3809"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7.5</w:t>
            </w:r>
          </w:p>
        </w:tc>
        <w:tc>
          <w:tcPr>
            <w:tcW w:w="127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7.5</w:t>
            </w:r>
          </w:p>
        </w:tc>
        <w:tc>
          <w:tcPr>
            <w:tcW w:w="992"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1"/>
          <w:wAfter w:w="3809"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27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992"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1172" w:hRule="atLeast"/>
        </w:trPr>
        <w:tc>
          <w:tcPr>
            <w:tcW w:w="846" w:type="dxa"/>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shd w:val="clear" w:color="auto" w:fill="auto"/>
          </w:tcPr>
          <w:p>
            <w:pPr>
              <w:widowControl/>
              <w:rPr>
                <w:rFonts w:hint="eastAsia" w:ascii="宋体" w:hAnsi="宋体" w:cs="宋体" w:eastAsiaTheme="minorEastAsia"/>
                <w:color w:val="000000"/>
                <w:kern w:val="0"/>
                <w:sz w:val="24"/>
                <w:lang w:eastAsia="zh-CN"/>
              </w:rPr>
            </w:pPr>
            <w:bookmarkStart w:id="0" w:name="_GoBack"/>
            <w:bookmarkEnd w:id="0"/>
          </w:p>
        </w:tc>
        <w:tc>
          <w:tcPr>
            <w:tcW w:w="4536" w:type="dxa"/>
            <w:gridSpan w:val="7"/>
            <w:tcBorders>
              <w:top w:val="single" w:color="auto" w:sz="4" w:space="0"/>
              <w:left w:val="nil"/>
              <w:bottom w:val="single" w:color="auto" w:sz="4" w:space="0"/>
              <w:right w:val="single" w:color="000000" w:sz="4" w:space="0"/>
            </w:tcBorders>
            <w:shd w:val="clear" w:color="auto" w:fill="auto"/>
          </w:tcPr>
          <w:p>
            <w:pPr>
              <w:widowControl/>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1"/>
          <w:wAfter w:w="3809" w:type="dxa"/>
          <w:trHeight w:val="81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24"/>
                <w:lang w:eastAsia="zh-CN"/>
              </w:rPr>
            </w:pPr>
            <w:r>
              <w:rPr>
                <w:rFonts w:hint="eastAsia" w:ascii="宋体" w:hAnsi="宋体" w:cs="宋体"/>
                <w:kern w:val="0"/>
                <w:sz w:val="24"/>
              </w:rPr>
              <w:t>产</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出</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指</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标</w:t>
            </w:r>
          </w:p>
          <w:p>
            <w:pPr>
              <w:widowControl/>
              <w:jc w:val="center"/>
              <w:rPr>
                <w:rFonts w:ascii="宋体" w:hAnsi="宋体" w:cs="宋体"/>
                <w:kern w:val="0"/>
                <w:sz w:val="24"/>
              </w:rPr>
            </w:pPr>
            <w:r>
              <w:rPr>
                <w:rFonts w:hint="eastAsia" w:ascii="宋体" w:hAnsi="宋体" w:cs="宋体"/>
                <w:kern w:val="0"/>
                <w:sz w:val="24"/>
              </w:rPr>
              <w:t>(50分)</w:t>
            </w:r>
          </w:p>
        </w:tc>
        <w:tc>
          <w:tcPr>
            <w:tcW w:w="138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p>
        </w:tc>
        <w:tc>
          <w:tcPr>
            <w:tcW w:w="1134"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kern w:val="0"/>
                <w:sz w:val="21"/>
                <w:szCs w:val="21"/>
              </w:rPr>
            </w:pPr>
          </w:p>
        </w:tc>
        <w:tc>
          <w:tcPr>
            <w:tcW w:w="1276" w:type="dxa"/>
            <w:gridSpan w:val="4"/>
            <w:tcBorders>
              <w:top w:val="single" w:color="auto" w:sz="4" w:space="0"/>
              <w:left w:val="nil"/>
              <w:right w:val="single" w:color="auto" w:sz="4" w:space="0"/>
            </w:tcBorders>
            <w:shd w:val="clear" w:color="auto" w:fill="auto"/>
            <w:noWrap/>
            <w:vAlign w:val="center"/>
          </w:tcPr>
          <w:p>
            <w:pPr>
              <w:jc w:val="center"/>
              <w:rPr>
                <w:rFonts w:ascii="宋体" w:hAnsi="宋体" w:cs="宋体"/>
                <w:color w:val="000000"/>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eastAsiaTheme="minorEastAsia"/>
                <w:color w:val="000000"/>
                <w:kern w:val="0"/>
                <w:sz w:val="21"/>
                <w:szCs w:val="21"/>
                <w:lang w:eastAsia="zh-CN"/>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cs="宋体" w:eastAsiaTheme="minorEastAsia"/>
                <w:color w:val="000000"/>
                <w:kern w:val="0"/>
                <w:sz w:val="21"/>
                <w:szCs w:val="21"/>
                <w:lang w:eastAsia="zh-CN"/>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279"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38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sz w:val="21"/>
                <w:szCs w:val="21"/>
              </w:rPr>
            </w:pPr>
          </w:p>
        </w:tc>
        <w:tc>
          <w:tcPr>
            <w:tcW w:w="1134"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sz w:val="21"/>
                <w:szCs w:val="21"/>
              </w:rPr>
            </w:pPr>
          </w:p>
        </w:tc>
        <w:tc>
          <w:tcPr>
            <w:tcW w:w="1276" w:type="dxa"/>
            <w:gridSpan w:val="4"/>
            <w:tcBorders>
              <w:top w:val="single" w:color="auto" w:sz="4" w:space="0"/>
              <w:left w:val="nil"/>
              <w:right w:val="single" w:color="auto" w:sz="4" w:space="0"/>
            </w:tcBorders>
            <w:shd w:val="clear" w:color="auto" w:fill="auto"/>
            <w:noWrap/>
            <w:vAlign w:val="center"/>
          </w:tcPr>
          <w:p>
            <w:pPr>
              <w:jc w:val="center"/>
              <w:rPr>
                <w:rFonts w:ascii="宋体" w:hAnsi="宋体" w:cs="宋体"/>
                <w:color w:val="000000"/>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eastAsiaTheme="minorEastAsia"/>
                <w:color w:val="000000"/>
                <w:kern w:val="0"/>
                <w:sz w:val="21"/>
                <w:szCs w:val="21"/>
                <w:lang w:eastAsia="zh-CN"/>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cs="宋体" w:eastAsiaTheme="minorEastAsia"/>
                <w:color w:val="000000"/>
                <w:kern w:val="0"/>
                <w:sz w:val="21"/>
                <w:szCs w:val="21"/>
                <w:lang w:eastAsia="zh-CN"/>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1036"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kern w:val="0"/>
                <w:sz w:val="21"/>
                <w:szCs w:val="21"/>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rPr>
                <w:sz w:val="21"/>
                <w:szCs w:val="21"/>
              </w:rPr>
            </w:pPr>
          </w:p>
        </w:tc>
        <w:tc>
          <w:tcPr>
            <w:tcW w:w="12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1"/>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rPr>
                <w:sz w:val="21"/>
                <w:szCs w:val="21"/>
              </w:rPr>
            </w:pPr>
          </w:p>
        </w:tc>
        <w:tc>
          <w:tcPr>
            <w:tcW w:w="12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cs="宋体" w:eastAsiaTheme="minorEastAsia"/>
                <w:color w:val="000000"/>
                <w:kern w:val="0"/>
                <w:sz w:val="21"/>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kern w:val="0"/>
                <w:sz w:val="24"/>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pP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pP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cs="宋体" w:eastAsiaTheme="minorEastAsia"/>
                <w:color w:val="000000"/>
                <w:kern w:val="0"/>
                <w:sz w:val="24"/>
                <w:lang w:val="en-US"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18"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kern w:val="0"/>
                <w:sz w:val="24"/>
              </w:rPr>
            </w:pPr>
            <w:r>
              <w:rPr>
                <w:rFonts w:hint="eastAsia"/>
                <w:sz w:val="18"/>
                <w:szCs w:val="18"/>
              </w:rPr>
              <w:t>农药使用情况动态监测费</w:t>
            </w:r>
          </w:p>
        </w:tc>
        <w:tc>
          <w:tcPr>
            <w:tcW w:w="1134"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eastAsiaTheme="minorEastAsia"/>
                <w:lang w:val="en-US" w:eastAsia="zh-CN"/>
              </w:rPr>
            </w:pPr>
            <w:r>
              <w:rPr>
                <w:rFonts w:hint="eastAsia"/>
                <w:lang w:val="en-US" w:eastAsia="zh-CN"/>
              </w:rPr>
              <w:t>7.5万元</w:t>
            </w: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宋体" w:hAnsi="宋体" w:cs="宋体" w:eastAsiaTheme="minorEastAsia"/>
                <w:color w:val="000000"/>
                <w:kern w:val="0"/>
                <w:sz w:val="21"/>
                <w:szCs w:val="21"/>
                <w:lang w:val="en-US" w:eastAsia="zh-CN"/>
              </w:rPr>
            </w:pPr>
            <w:r>
              <w:rPr>
                <w:rFonts w:hint="eastAsia" w:ascii="宋体" w:hAnsi="宋体" w:cs="宋体"/>
                <w:color w:val="000000"/>
                <w:kern w:val="0"/>
                <w:sz w:val="21"/>
                <w:szCs w:val="21"/>
              </w:rPr>
              <w:t>　</w:t>
            </w:r>
            <w:r>
              <w:rPr>
                <w:rFonts w:hint="eastAsia" w:ascii="宋体" w:hAnsi="宋体" w:cs="宋体"/>
                <w:color w:val="000000"/>
                <w:kern w:val="0"/>
                <w:sz w:val="21"/>
                <w:szCs w:val="21"/>
                <w:lang w:val="en-US" w:eastAsia="zh-CN"/>
              </w:rPr>
              <w:t>7.5万元</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90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90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16"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cs="宋体" w:eastAsiaTheme="minorEastAsia"/>
                <w:kern w:val="0"/>
                <w:sz w:val="24"/>
                <w:lang w:eastAsia="zh-CN"/>
              </w:rPr>
            </w:pPr>
            <w:r>
              <w:rPr>
                <w:rFonts w:hint="eastAsia" w:ascii="宋体" w:hAnsi="宋体" w:cs="宋体"/>
                <w:kern w:val="0"/>
                <w:sz w:val="24"/>
              </w:rPr>
              <w:t>效</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果</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指</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标</w:t>
            </w:r>
          </w:p>
          <w:p>
            <w:pPr>
              <w:widowControl/>
              <w:jc w:val="center"/>
              <w:rPr>
                <w:rFonts w:ascii="宋体" w:hAnsi="宋体" w:cs="宋体"/>
                <w:kern w:val="0"/>
                <w:sz w:val="24"/>
              </w:rPr>
            </w:pP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效益指标</w:t>
            </w:r>
          </w:p>
          <w:p>
            <w:pPr>
              <w:widowControl/>
              <w:jc w:val="center"/>
              <w:rPr>
                <w:rFonts w:hint="eastAsia" w:ascii="宋体" w:hAnsi="宋体" w:cs="宋体" w:eastAsiaTheme="minorEastAsia"/>
                <w:kern w:val="0"/>
                <w:sz w:val="24"/>
                <w:lang w:eastAsia="zh-CN"/>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pP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09"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pP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240" w:firstLineChars="100"/>
              <w:rPr>
                <w:rFonts w:ascii="宋体" w:hAnsi="宋体"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cs="宋体" w:eastAsiaTheme="minorEastAsia"/>
                <w:b/>
                <w:bCs/>
                <w:color w:val="000000"/>
                <w:kern w:val="0"/>
                <w:sz w:val="24"/>
                <w:lang w:val="en-US" w:eastAsia="zh-CN"/>
              </w:rPr>
            </w:pPr>
            <w:r>
              <w:rPr>
                <w:rFonts w:hint="eastAsia" w:ascii="宋体" w:hAnsi="宋体" w:cs="宋体"/>
                <w:b/>
                <w:bCs/>
                <w:color w:val="000000"/>
                <w:kern w:val="0"/>
                <w:sz w:val="24"/>
              </w:rPr>
              <w:t>总分：</w:t>
            </w:r>
            <w:r>
              <w:rPr>
                <w:rFonts w:hint="eastAsia" w:ascii="宋体" w:hAnsi="宋体" w:cs="宋体"/>
                <w:b/>
                <w:bCs/>
                <w:color w:val="000000"/>
                <w:kern w:val="0"/>
                <w:sz w:val="24"/>
                <w:lang w:val="en-US" w:eastAsia="zh-CN"/>
              </w:rPr>
              <w:t>100</w:t>
            </w:r>
          </w:p>
        </w:tc>
        <w:tc>
          <w:tcPr>
            <w:tcW w:w="2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1"/>
          <w:wAfter w:w="3809" w:type="dxa"/>
          <w:trHeight w:val="454" w:hRule="atLeast"/>
        </w:trPr>
        <w:tc>
          <w:tcPr>
            <w:tcW w:w="11023" w:type="dxa"/>
            <w:gridSpan w:val="12"/>
            <w:tcBorders>
              <w:top w:val="single" w:color="auto" w:sz="4" w:space="0"/>
              <w:left w:val="nil"/>
              <w:bottom w:val="nil"/>
              <w:right w:val="nil"/>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注：1.得分一档最高不能超过该指标分值上限。</w:t>
            </w:r>
          </w:p>
        </w:tc>
      </w:tr>
      <w:tr>
        <w:tblPrEx>
          <w:tblCellMar>
            <w:top w:w="0" w:type="dxa"/>
            <w:left w:w="108" w:type="dxa"/>
            <w:bottom w:w="0" w:type="dxa"/>
            <w:right w:w="108" w:type="dxa"/>
          </w:tblCellMar>
        </w:tblPrEx>
        <w:trPr>
          <w:gridAfter w:val="1"/>
          <w:wAfter w:w="3809" w:type="dxa"/>
          <w:trHeight w:val="586" w:hRule="atLeast"/>
        </w:trPr>
        <w:tc>
          <w:tcPr>
            <w:tcW w:w="11023" w:type="dxa"/>
            <w:gridSpan w:val="12"/>
            <w:tcBorders>
              <w:top w:val="nil"/>
              <w:left w:val="nil"/>
              <w:bottom w:val="nil"/>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2.定性指标根据指标完成情况分为：达成预期指标、基本达成预期指标且效果较好效果、部分达成预期指标且具有一定效果、未达成预期指标且效果较差四档，分别按照该指标对应分值区间100-90%(含90%)、90-75%(含75%)、75-60%（含60%）、60-0%合理确定分值。</w:t>
            </w:r>
          </w:p>
        </w:tc>
      </w:tr>
      <w:tr>
        <w:tblPrEx>
          <w:tblCellMar>
            <w:top w:w="0" w:type="dxa"/>
            <w:left w:w="108" w:type="dxa"/>
            <w:bottom w:w="0" w:type="dxa"/>
            <w:right w:w="108" w:type="dxa"/>
          </w:tblCellMar>
        </w:tblPrEx>
        <w:trPr>
          <w:gridAfter w:val="1"/>
          <w:wAfter w:w="3809" w:type="dxa"/>
          <w:trHeight w:val="586" w:hRule="atLeast"/>
        </w:trPr>
        <w:tc>
          <w:tcPr>
            <w:tcW w:w="11023" w:type="dxa"/>
            <w:gridSpan w:val="12"/>
            <w:tcBorders>
              <w:top w:val="nil"/>
              <w:left w:val="nil"/>
              <w:bottom w:val="nil"/>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3.定量指标若为正向指标，则得分计算方法应用全年实际值（B）/年度指标值（A）*该指标分值；若定量指标为反向指标，则得分计算方法应用年度指标值（A）/全年实际值（B）*该指标分值。若</w:t>
            </w:r>
            <w:r>
              <w:rPr>
                <w:rFonts w:ascii="宋体" w:hAnsi="宋体" w:cs="宋体"/>
                <w:color w:val="000000"/>
                <w:kern w:val="0"/>
                <w:sz w:val="24"/>
              </w:rPr>
              <w:t>年初指标值设定偏低，则</w:t>
            </w:r>
            <w:r>
              <w:rPr>
                <w:rFonts w:hint="eastAsia" w:ascii="宋体" w:hAnsi="宋体" w:cs="宋体"/>
                <w:color w:val="000000"/>
                <w:kern w:val="0"/>
                <w:sz w:val="24"/>
              </w:rPr>
              <w:t>得分计算方法</w:t>
            </w:r>
            <w:r>
              <w:rPr>
                <w:rFonts w:ascii="宋体" w:hAnsi="宋体" w:cs="宋体"/>
                <w:color w:val="000000"/>
                <w:kern w:val="0"/>
                <w:sz w:val="24"/>
              </w:rPr>
              <w:t>应用</w:t>
            </w:r>
            <w:r>
              <w:rPr>
                <w:rFonts w:hint="eastAsia" w:ascii="宋体" w:hAnsi="宋体" w:cs="宋体"/>
                <w:color w:val="000000"/>
                <w:kern w:val="0"/>
                <w:sz w:val="24"/>
              </w:rPr>
              <w:t>（全年实际值（B）—年度指标值（A））</w:t>
            </w:r>
            <w:r>
              <w:rPr>
                <w:rFonts w:ascii="宋体" w:hAnsi="宋体" w:cs="宋体"/>
                <w:color w:val="000000"/>
                <w:kern w:val="0"/>
                <w:sz w:val="24"/>
              </w:rPr>
              <w:t>/</w:t>
            </w:r>
            <w:r>
              <w:rPr>
                <w:rFonts w:hint="eastAsia" w:ascii="宋体" w:hAnsi="宋体" w:cs="宋体"/>
                <w:color w:val="000000"/>
                <w:kern w:val="0"/>
                <w:sz w:val="24"/>
              </w:rPr>
              <w:t>年度指标值（A）*</w:t>
            </w:r>
            <w:r>
              <w:rPr>
                <w:rFonts w:ascii="宋体" w:hAnsi="宋体" w:cs="宋体"/>
                <w:color w:val="000000"/>
                <w:kern w:val="0"/>
                <w:sz w:val="24"/>
              </w:rPr>
              <w:t>100%</w:t>
            </w:r>
            <w:r>
              <w:rPr>
                <w:rFonts w:hint="eastAsia" w:ascii="宋体" w:hAnsi="宋体" w:cs="宋体"/>
                <w:color w:val="000000"/>
                <w:kern w:val="0"/>
                <w:sz w:val="24"/>
              </w:rPr>
              <w:t>。若</w:t>
            </w:r>
            <w:r>
              <w:rPr>
                <w:rFonts w:ascii="宋体" w:hAnsi="宋体" w:cs="宋体"/>
                <w:color w:val="000000"/>
                <w:kern w:val="0"/>
                <w:sz w:val="24"/>
              </w:rPr>
              <w:t>计算结果</w:t>
            </w:r>
            <w:r>
              <w:rPr>
                <w:rFonts w:hint="eastAsia" w:ascii="宋体" w:hAnsi="宋体" w:cs="宋体"/>
                <w:color w:val="000000"/>
                <w:kern w:val="0"/>
                <w:sz w:val="24"/>
              </w:rPr>
              <w:t>在200</w:t>
            </w:r>
            <w:r>
              <w:rPr>
                <w:rFonts w:ascii="宋体" w:hAnsi="宋体" w:cs="宋体"/>
                <w:color w:val="000000"/>
                <w:kern w:val="0"/>
                <w:sz w:val="24"/>
              </w:rPr>
              <w:t>%-300%</w:t>
            </w:r>
            <w:r>
              <w:rPr>
                <w:rFonts w:hint="eastAsia" w:ascii="宋体" w:hAnsi="宋体" w:cs="宋体"/>
                <w:color w:val="000000"/>
                <w:kern w:val="0"/>
                <w:sz w:val="24"/>
              </w:rPr>
              <w:t>（含200</w:t>
            </w:r>
            <w:r>
              <w:rPr>
                <w:rFonts w:ascii="宋体" w:hAnsi="宋体" w:cs="宋体"/>
                <w:color w:val="000000"/>
                <w:kern w:val="0"/>
                <w:sz w:val="24"/>
              </w:rPr>
              <w:t>%</w:t>
            </w:r>
            <w:r>
              <w:rPr>
                <w:rFonts w:hint="eastAsia" w:ascii="宋体" w:hAnsi="宋体" w:cs="宋体"/>
                <w:color w:val="000000"/>
                <w:kern w:val="0"/>
                <w:sz w:val="24"/>
              </w:rPr>
              <w:t>）区间，</w:t>
            </w:r>
            <w:r>
              <w:rPr>
                <w:rFonts w:ascii="宋体" w:hAnsi="宋体" w:cs="宋体"/>
                <w:color w:val="000000"/>
                <w:kern w:val="0"/>
                <w:sz w:val="24"/>
              </w:rPr>
              <w:t>则按照该指标分值的</w:t>
            </w:r>
            <w:r>
              <w:rPr>
                <w:rFonts w:hint="eastAsia" w:ascii="宋体" w:hAnsi="宋体" w:cs="宋体"/>
                <w:color w:val="000000"/>
                <w:kern w:val="0"/>
                <w:sz w:val="24"/>
              </w:rPr>
              <w:t>10</w:t>
            </w:r>
            <w:r>
              <w:rPr>
                <w:rFonts w:ascii="宋体" w:hAnsi="宋体" w:cs="宋体"/>
                <w:color w:val="000000"/>
                <w:kern w:val="0"/>
                <w:sz w:val="24"/>
              </w:rPr>
              <w:t>%扣分；</w:t>
            </w:r>
            <w:r>
              <w:rPr>
                <w:rFonts w:hint="eastAsia" w:ascii="宋体" w:hAnsi="宋体" w:cs="宋体"/>
                <w:color w:val="000000"/>
                <w:kern w:val="0"/>
                <w:sz w:val="24"/>
              </w:rPr>
              <w:t>计算结果</w:t>
            </w:r>
            <w:r>
              <w:rPr>
                <w:rFonts w:ascii="宋体" w:hAnsi="宋体" w:cs="宋体"/>
                <w:color w:val="000000"/>
                <w:kern w:val="0"/>
                <w:sz w:val="24"/>
              </w:rPr>
              <w:t>在</w:t>
            </w:r>
            <w:r>
              <w:rPr>
                <w:rFonts w:hint="eastAsia" w:ascii="宋体" w:hAnsi="宋体" w:cs="宋体"/>
                <w:color w:val="000000"/>
                <w:kern w:val="0"/>
                <w:sz w:val="24"/>
              </w:rPr>
              <w:t>300</w:t>
            </w:r>
            <w:r>
              <w:rPr>
                <w:rFonts w:ascii="宋体" w:hAnsi="宋体" w:cs="宋体"/>
                <w:color w:val="000000"/>
                <w:kern w:val="0"/>
                <w:sz w:val="24"/>
              </w:rPr>
              <w:t>%-500%（</w:t>
            </w:r>
            <w:r>
              <w:rPr>
                <w:rFonts w:hint="eastAsia" w:ascii="宋体" w:hAnsi="宋体" w:cs="宋体"/>
                <w:color w:val="000000"/>
                <w:kern w:val="0"/>
                <w:sz w:val="24"/>
              </w:rPr>
              <w:t>含300</w:t>
            </w:r>
            <w:r>
              <w:rPr>
                <w:rFonts w:ascii="宋体" w:hAnsi="宋体" w:cs="宋体"/>
                <w:color w:val="000000"/>
                <w:kern w:val="0"/>
                <w:sz w:val="24"/>
              </w:rPr>
              <w:t>%）</w:t>
            </w:r>
            <w:r>
              <w:rPr>
                <w:rFonts w:hint="eastAsia" w:ascii="宋体" w:hAnsi="宋体" w:cs="宋体"/>
                <w:color w:val="000000"/>
                <w:kern w:val="0"/>
                <w:sz w:val="24"/>
              </w:rPr>
              <w:t>区间</w:t>
            </w:r>
            <w:r>
              <w:rPr>
                <w:rFonts w:ascii="宋体" w:hAnsi="宋体" w:cs="宋体"/>
                <w:color w:val="000000"/>
                <w:kern w:val="0"/>
                <w:sz w:val="24"/>
              </w:rPr>
              <w:t>，则按照该指标分值的</w:t>
            </w:r>
            <w:r>
              <w:rPr>
                <w:rFonts w:hint="eastAsia" w:ascii="宋体" w:hAnsi="宋体" w:cs="宋体"/>
                <w:color w:val="000000"/>
                <w:kern w:val="0"/>
                <w:sz w:val="24"/>
              </w:rPr>
              <w:t>20</w:t>
            </w:r>
            <w:r>
              <w:rPr>
                <w:rFonts w:ascii="宋体" w:hAnsi="宋体" w:cs="宋体"/>
                <w:color w:val="000000"/>
                <w:kern w:val="0"/>
                <w:sz w:val="24"/>
              </w:rPr>
              <w:t>%扣分；计算结果</w:t>
            </w:r>
            <w:r>
              <w:rPr>
                <w:rFonts w:hint="eastAsia" w:ascii="宋体" w:hAnsi="宋体" w:cs="宋体"/>
                <w:color w:val="000000"/>
                <w:kern w:val="0"/>
                <w:sz w:val="24"/>
              </w:rPr>
              <w:t>高于500</w:t>
            </w:r>
            <w:r>
              <w:rPr>
                <w:rFonts w:ascii="宋体" w:hAnsi="宋体" w:cs="宋体"/>
                <w:color w:val="000000"/>
                <w:kern w:val="0"/>
                <w:sz w:val="24"/>
              </w:rPr>
              <w:t>%（</w:t>
            </w:r>
            <w:r>
              <w:rPr>
                <w:rFonts w:hint="eastAsia" w:ascii="宋体" w:hAnsi="宋体" w:cs="宋体"/>
                <w:color w:val="000000"/>
                <w:kern w:val="0"/>
                <w:sz w:val="24"/>
              </w:rPr>
              <w:t>含500</w:t>
            </w:r>
            <w:r>
              <w:rPr>
                <w:rFonts w:ascii="宋体" w:hAnsi="宋体" w:cs="宋体"/>
                <w:color w:val="000000"/>
                <w:kern w:val="0"/>
                <w:sz w:val="24"/>
              </w:rPr>
              <w:t>%）</w:t>
            </w:r>
            <w:r>
              <w:rPr>
                <w:rFonts w:hint="eastAsia" w:ascii="宋体" w:hAnsi="宋体" w:cs="宋体"/>
                <w:color w:val="000000"/>
                <w:kern w:val="0"/>
                <w:sz w:val="24"/>
              </w:rPr>
              <w:t>，</w:t>
            </w:r>
            <w:r>
              <w:rPr>
                <w:rFonts w:ascii="宋体" w:hAnsi="宋体" w:cs="宋体"/>
                <w:color w:val="000000"/>
                <w:kern w:val="0"/>
                <w:sz w:val="24"/>
              </w:rPr>
              <w:t>则按照该指标分值的</w:t>
            </w:r>
            <w:r>
              <w:rPr>
                <w:rFonts w:hint="eastAsia" w:ascii="宋体" w:hAnsi="宋体" w:cs="宋体"/>
                <w:color w:val="000000"/>
                <w:kern w:val="0"/>
                <w:sz w:val="24"/>
              </w:rPr>
              <w:t>30</w:t>
            </w:r>
            <w:r>
              <w:rPr>
                <w:rFonts w:ascii="宋体" w:hAnsi="宋体" w:cs="宋体"/>
                <w:color w:val="000000"/>
                <w:kern w:val="0"/>
                <w:sz w:val="24"/>
              </w:rPr>
              <w:t>%扣分。</w:t>
            </w:r>
          </w:p>
        </w:tc>
      </w:tr>
      <w:tr>
        <w:tblPrEx>
          <w:tblCellMar>
            <w:top w:w="0" w:type="dxa"/>
            <w:left w:w="108" w:type="dxa"/>
            <w:bottom w:w="0" w:type="dxa"/>
            <w:right w:w="108" w:type="dxa"/>
          </w:tblCellMar>
        </w:tblPrEx>
        <w:trPr>
          <w:gridAfter w:val="1"/>
          <w:wAfter w:w="3809" w:type="dxa"/>
          <w:trHeight w:val="78" w:hRule="atLeast"/>
        </w:trPr>
        <w:tc>
          <w:tcPr>
            <w:tcW w:w="11023" w:type="dxa"/>
            <w:gridSpan w:val="12"/>
            <w:tcBorders>
              <w:top w:val="nil"/>
              <w:left w:val="nil"/>
              <w:bottom w:val="nil"/>
              <w:right w:val="nil"/>
            </w:tcBorders>
            <w:shd w:val="clear" w:color="auto" w:fill="auto"/>
            <w:noWrap/>
            <w:vAlign w:val="center"/>
          </w:tcPr>
          <w:p>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4.请在“未完成原因分析”中说明偏离目标、不能完成目标的原因及拟采取的措施。</w:t>
            </w:r>
          </w:p>
        </w:tc>
      </w:tr>
      <w:tr>
        <w:tblPrEx>
          <w:tblCellMar>
            <w:top w:w="0" w:type="dxa"/>
            <w:left w:w="108" w:type="dxa"/>
            <w:bottom w:w="0" w:type="dxa"/>
            <w:right w:w="108" w:type="dxa"/>
          </w:tblCellMar>
        </w:tblPrEx>
        <w:trPr>
          <w:gridAfter w:val="1"/>
          <w:wAfter w:w="3809" w:type="dxa"/>
          <w:trHeight w:val="78" w:hRule="atLeast"/>
        </w:trPr>
        <w:tc>
          <w:tcPr>
            <w:tcW w:w="11023" w:type="dxa"/>
            <w:gridSpan w:val="12"/>
            <w:tcBorders>
              <w:top w:val="nil"/>
              <w:left w:val="nil"/>
              <w:bottom w:val="nil"/>
              <w:right w:val="nil"/>
            </w:tcBorders>
            <w:shd w:val="clear" w:color="auto" w:fill="auto"/>
            <w:noWrap/>
            <w:vAlign w:val="center"/>
          </w:tcPr>
          <w:p>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5.该示例样表来源为北京市财政局填制自评表，请各部门自行删除项目信息，得到空表作为模板。</w:t>
            </w:r>
          </w:p>
        </w:tc>
      </w:tr>
    </w:tbl>
    <w:p>
      <w:pPr>
        <w:widowControl/>
        <w:rPr>
          <w:rFonts w:ascii="仿宋_GB2312" w:eastAsia="仿宋_GB2312"/>
          <w:sz w:val="32"/>
          <w:szCs w:val="32"/>
        </w:rPr>
        <w:sectPr>
          <w:pgSz w:w="11906" w:h="16838"/>
          <w:pgMar w:top="720" w:right="720" w:bottom="720" w:left="720" w:header="851" w:footer="992" w:gutter="0"/>
          <w:cols w:space="0" w:num="1"/>
          <w:docGrid w:type="lines" w:linePitch="312" w:charSpace="0"/>
        </w:sectPr>
      </w:pPr>
    </w:p>
    <w:p>
      <w:pPr>
        <w:widowControl/>
        <w:rPr>
          <w:rFonts w:ascii="仿宋_GB2312" w:eastAsia="仿宋_GB2312"/>
          <w:sz w:val="32"/>
          <w:szCs w:val="32"/>
        </w:rPr>
      </w:pPr>
    </w:p>
    <w:p>
      <w:pPr>
        <w:widowControl/>
        <w:rPr>
          <w:rFonts w:ascii="仿宋_GB2312" w:eastAsia="仿宋_GB2312"/>
          <w:sz w:val="32"/>
          <w:szCs w:val="32"/>
        </w:rPr>
      </w:pPr>
      <w:r>
        <w:rPr>
          <w:rFonts w:hint="eastAsia" w:ascii="仿宋_GB2312" w:eastAsia="仿宋_GB2312"/>
          <w:sz w:val="32"/>
          <w:szCs w:val="32"/>
        </w:rPr>
        <w:t>附件9：</w:t>
      </w:r>
    </w:p>
    <w:p>
      <w:pPr>
        <w:spacing w:line="480" w:lineRule="exact"/>
        <w:jc w:val="center"/>
        <w:rPr>
          <w:rFonts w:ascii="宋体" w:hAnsi="宋体"/>
          <w:b/>
          <w:sz w:val="36"/>
          <w:szCs w:val="36"/>
        </w:rPr>
      </w:pPr>
      <w:r>
        <w:rPr>
          <w:rFonts w:hint="eastAsia" w:ascii="宋体" w:hAnsi="宋体"/>
          <w:b/>
          <w:sz w:val="36"/>
          <w:szCs w:val="36"/>
        </w:rPr>
        <w:t>评价方法说明</w:t>
      </w:r>
    </w:p>
    <w:p>
      <w:pPr>
        <w:spacing w:line="480" w:lineRule="exact"/>
        <w:jc w:val="center"/>
        <w:rPr>
          <w:rFonts w:ascii="黑体" w:hAnsi="黑体" w:eastAsia="黑体"/>
          <w:sz w:val="36"/>
          <w:szCs w:val="36"/>
        </w:rPr>
      </w:pPr>
    </w:p>
    <w:p>
      <w:pPr>
        <w:spacing w:line="480" w:lineRule="exact"/>
        <w:ind w:firstLine="640" w:firstLineChars="200"/>
        <w:rPr>
          <w:rFonts w:ascii="仿宋_GB2312" w:eastAsia="仿宋_GB2312"/>
          <w:sz w:val="32"/>
          <w:szCs w:val="32"/>
        </w:rPr>
      </w:pPr>
      <w:r>
        <w:rPr>
          <w:rFonts w:hint="eastAsia" w:ascii="仿宋_GB2312" w:eastAsia="仿宋_GB2312"/>
          <w:sz w:val="32"/>
          <w:szCs w:val="32"/>
        </w:rPr>
        <w:t>采取打分评价的形式，满分为100分。一级指标权重统一设置为：预算资金执行率10分、产出指标50分、效果指标40分。如有特殊情况，上述权重可做适当调整，但加总后应等于100%。各部门根据各项指标重要程度确定项目的二级绩效指标和三级绩效指标的权重。</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评价的得分评定方法分为两类：</w:t>
      </w:r>
      <w:r>
        <w:rPr>
          <w:rFonts w:hint="eastAsia" w:ascii="仿宋_GB2312" w:eastAsia="仿宋_GB2312"/>
          <w:b/>
          <w:sz w:val="32"/>
          <w:szCs w:val="32"/>
        </w:rPr>
        <w:t>一是定量指标。</w:t>
      </w:r>
      <w:r>
        <w:rPr>
          <w:rFonts w:hint="eastAsia" w:ascii="仿宋_GB2312" w:eastAsia="仿宋_GB2312"/>
          <w:sz w:val="32"/>
          <w:szCs w:val="32"/>
        </w:rPr>
        <w:t>与</w:t>
      </w:r>
      <w:r>
        <w:rPr>
          <w:rFonts w:ascii="仿宋_GB2312" w:eastAsia="仿宋_GB2312"/>
          <w:sz w:val="32"/>
          <w:szCs w:val="32"/>
        </w:rPr>
        <w:t>年初指标值相比，</w:t>
      </w:r>
      <w:r>
        <w:rPr>
          <w:rFonts w:hint="eastAsia" w:ascii="仿宋_GB2312" w:eastAsia="仿宋_GB2312"/>
          <w:sz w:val="32"/>
          <w:szCs w:val="32"/>
        </w:rPr>
        <w:t>完成指标值的，记该指标所赋全部分值；如果</w:t>
      </w:r>
      <w:r>
        <w:rPr>
          <w:rFonts w:ascii="仿宋_GB2312" w:eastAsia="仿宋_GB2312"/>
          <w:sz w:val="32"/>
          <w:szCs w:val="32"/>
        </w:rPr>
        <w:t>是由于年初指标值设定明显偏低造成的，要按照偏离度适度调减分值；</w:t>
      </w:r>
      <w:r>
        <w:rPr>
          <w:rFonts w:hint="eastAsia" w:ascii="仿宋_GB2312" w:eastAsia="仿宋_GB2312"/>
          <w:sz w:val="32"/>
          <w:szCs w:val="32"/>
        </w:rPr>
        <w:t>未完成指标值的，按照完成值在指标值中所占比例记分。</w:t>
      </w:r>
      <w:r>
        <w:rPr>
          <w:rFonts w:hint="eastAsia" w:ascii="仿宋_GB2312" w:eastAsia="仿宋_GB2312"/>
          <w:b/>
          <w:sz w:val="32"/>
          <w:szCs w:val="32"/>
        </w:rPr>
        <w:t>二是定性指标。</w:t>
      </w:r>
      <w:r>
        <w:rPr>
          <w:rFonts w:hint="eastAsia" w:ascii="仿宋_GB2312" w:eastAsia="仿宋_GB2312"/>
          <w:sz w:val="32"/>
          <w:szCs w:val="32"/>
        </w:rPr>
        <w:t>根据指标完成情况分为：达成预期指标、基本达成预期指标且效果较好、部分达成预期指标且有一定效果、未达成预期指标且效果较差四档，分别按照该指标对应分值区间100-90%（含90%）、90-75%（含75%）、75-60%（含60%）、60-0%合理确定分值。各项绩效指标得分汇总成该项目自评的总分。有关自评指标分值计算办法详见《自评表》。</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各部门在收集、分析上述绩效执行信息的基础上，对未完成绩效目标及指标的原因进行逐条分析，研究提出解决措施。上述绩效自评信息以《自评表》的形式体现。</w:t>
      </w:r>
    </w:p>
    <w:sectPr>
      <w:pgSz w:w="11906" w:h="16838"/>
      <w:pgMar w:top="1803" w:right="1440" w:bottom="1803"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ZGEyOWQyYjY1MWZjNzBmNGJmYzllZDY0ZTcxZWQifQ=="/>
  </w:docVars>
  <w:rsids>
    <w:rsidRoot w:val="007529AF"/>
    <w:rsid w:val="0000279D"/>
    <w:rsid w:val="000A0E87"/>
    <w:rsid w:val="000A35B0"/>
    <w:rsid w:val="000F76B3"/>
    <w:rsid w:val="00120504"/>
    <w:rsid w:val="001719FE"/>
    <w:rsid w:val="00194618"/>
    <w:rsid w:val="001A5ABF"/>
    <w:rsid w:val="001C12BD"/>
    <w:rsid w:val="001C7F0A"/>
    <w:rsid w:val="001D1025"/>
    <w:rsid w:val="001D3BAA"/>
    <w:rsid w:val="00224EB5"/>
    <w:rsid w:val="002E190B"/>
    <w:rsid w:val="00332206"/>
    <w:rsid w:val="0037029A"/>
    <w:rsid w:val="0037527C"/>
    <w:rsid w:val="00396020"/>
    <w:rsid w:val="003C0306"/>
    <w:rsid w:val="003F56C0"/>
    <w:rsid w:val="00405EEF"/>
    <w:rsid w:val="004138BE"/>
    <w:rsid w:val="00430E85"/>
    <w:rsid w:val="0044469F"/>
    <w:rsid w:val="00465AF9"/>
    <w:rsid w:val="004904A7"/>
    <w:rsid w:val="004C022F"/>
    <w:rsid w:val="004C79E9"/>
    <w:rsid w:val="004D6CDC"/>
    <w:rsid w:val="00525B77"/>
    <w:rsid w:val="00594247"/>
    <w:rsid w:val="005E57E7"/>
    <w:rsid w:val="006247CE"/>
    <w:rsid w:val="00671F69"/>
    <w:rsid w:val="006A1DFB"/>
    <w:rsid w:val="006A6CD3"/>
    <w:rsid w:val="006B4A7A"/>
    <w:rsid w:val="006F705D"/>
    <w:rsid w:val="00713649"/>
    <w:rsid w:val="007529AF"/>
    <w:rsid w:val="007F55D6"/>
    <w:rsid w:val="0080178D"/>
    <w:rsid w:val="00852955"/>
    <w:rsid w:val="008A4D82"/>
    <w:rsid w:val="008B4C02"/>
    <w:rsid w:val="008E3479"/>
    <w:rsid w:val="00932F53"/>
    <w:rsid w:val="009509AE"/>
    <w:rsid w:val="00951F5E"/>
    <w:rsid w:val="00976CF6"/>
    <w:rsid w:val="00992187"/>
    <w:rsid w:val="00A37D8B"/>
    <w:rsid w:val="00A40D62"/>
    <w:rsid w:val="00A47A74"/>
    <w:rsid w:val="00A5375F"/>
    <w:rsid w:val="00A90952"/>
    <w:rsid w:val="00AF228A"/>
    <w:rsid w:val="00B345F5"/>
    <w:rsid w:val="00B70175"/>
    <w:rsid w:val="00BB6C0B"/>
    <w:rsid w:val="00C74520"/>
    <w:rsid w:val="00C944B5"/>
    <w:rsid w:val="00CA34DE"/>
    <w:rsid w:val="00CA7094"/>
    <w:rsid w:val="00CE6FBF"/>
    <w:rsid w:val="00CF777B"/>
    <w:rsid w:val="00D132E9"/>
    <w:rsid w:val="00D7024B"/>
    <w:rsid w:val="00E15E8A"/>
    <w:rsid w:val="00E17654"/>
    <w:rsid w:val="00E848F7"/>
    <w:rsid w:val="00EC6651"/>
    <w:rsid w:val="00F325D5"/>
    <w:rsid w:val="09FD0D99"/>
    <w:rsid w:val="1DC71166"/>
    <w:rsid w:val="22D56551"/>
    <w:rsid w:val="2CF077F9"/>
    <w:rsid w:val="2DB31AED"/>
    <w:rsid w:val="325C2CBB"/>
    <w:rsid w:val="33554BCC"/>
    <w:rsid w:val="3BA80795"/>
    <w:rsid w:val="4330618D"/>
    <w:rsid w:val="43B22890"/>
    <w:rsid w:val="4A2F5B58"/>
    <w:rsid w:val="4F6F3786"/>
    <w:rsid w:val="5CD61BFF"/>
    <w:rsid w:val="5E351FEB"/>
    <w:rsid w:val="64AA2E81"/>
    <w:rsid w:val="67730302"/>
    <w:rsid w:val="74865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360" w:lineRule="auto"/>
      <w:jc w:val="center"/>
      <w:outlineLvl w:val="0"/>
    </w:pPr>
    <w:rPr>
      <w:b/>
      <w:bCs/>
      <w:kern w:val="44"/>
      <w:sz w:val="36"/>
      <w:szCs w:val="44"/>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1125</Words>
  <Characters>1264</Characters>
  <Lines>11</Lines>
  <Paragraphs>3</Paragraphs>
  <TotalTime>4</TotalTime>
  <ScaleCrop>false</ScaleCrop>
  <LinksUpToDate>false</LinksUpToDate>
  <CharactersWithSpaces>1312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2021-02-02T03:57:00Z</dcterms:created>
  <dc:creator>a</dc:creator>
  <cp:lastModifiedBy>陈健</cp:lastModifiedBy>
  <cp:lastPrinted>2021-02-02T04:29:00Z</cp:lastPrinted>
  <dcterms:modified xsi:type="dcterms:W3CDTF">2024-02-22T06:20:42Z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9391015AF2184CD5BCB56DE151F731DB</vt:lpwstr>
  </property>
</Properties>
</file>