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1800"/>
        <w:tblW w:w="14832"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tblGrid>
      <w:tr>
        <w:tblPrEx>
          <w:tblCellMar>
            <w:top w:w="0" w:type="dxa"/>
            <w:left w:w="108" w:type="dxa"/>
            <w:bottom w:w="0" w:type="dxa"/>
            <w:right w:w="108" w:type="dxa"/>
          </w:tblCellMar>
        </w:tblPrEx>
        <w:trPr>
          <w:gridAfter w:val="1"/>
          <w:wAfter w:w="3809" w:type="dxa"/>
          <w:trHeight w:val="484" w:hRule="atLeast"/>
        </w:trPr>
        <w:tc>
          <w:tcPr>
            <w:tcW w:w="11023" w:type="dxa"/>
            <w:gridSpan w:val="12"/>
            <w:tcBorders>
              <w:top w:val="nil"/>
              <w:left w:val="nil"/>
              <w:bottom w:val="nil"/>
              <w:right w:val="nil"/>
            </w:tcBorders>
            <w:shd w:val="clear" w:color="auto" w:fill="auto"/>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附件:6：</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项目支出绩效自评表</w:t>
            </w:r>
          </w:p>
        </w:tc>
      </w:tr>
      <w:tr>
        <w:tblPrEx>
          <w:tblCellMar>
            <w:top w:w="0" w:type="dxa"/>
            <w:left w:w="108" w:type="dxa"/>
            <w:bottom w:w="0" w:type="dxa"/>
            <w:right w:w="108" w:type="dxa"/>
          </w:tblCellMar>
        </w:tblPrEx>
        <w:trPr>
          <w:gridAfter w:val="1"/>
          <w:wAfter w:w="3809" w:type="dxa"/>
          <w:trHeight w:val="311" w:hRule="atLeast"/>
        </w:trPr>
        <w:tc>
          <w:tcPr>
            <w:tcW w:w="11023" w:type="dxa"/>
            <w:gridSpan w:val="12"/>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r>
              <w:rPr>
                <w:rFonts w:ascii="宋体" w:hAnsi="宋体" w:cs="宋体"/>
                <w:color w:val="000000"/>
                <w:kern w:val="0"/>
                <w:sz w:val="22"/>
              </w:rPr>
              <w:t>2</w:t>
            </w:r>
            <w:r>
              <w:rPr>
                <w:rFonts w:hint="eastAsia" w:ascii="宋体" w:hAnsi="宋体" w:cs="宋体"/>
                <w:color w:val="000000"/>
                <w:kern w:val="0"/>
                <w:sz w:val="22"/>
                <w:lang w:val="en-US" w:eastAsia="zh-CN"/>
              </w:rPr>
              <w:t>3</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80" w:hRule="atLeast"/>
        </w:trPr>
        <w:tc>
          <w:tcPr>
            <w:tcW w:w="84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农业有害生物监测预警与防控</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北京市通州区农业农村局</w:t>
            </w:r>
            <w:r>
              <w:rPr>
                <w:rFonts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216535</wp:posOffset>
                      </wp:positionV>
                      <wp:extent cx="1152525" cy="609600"/>
                      <wp:effectExtent l="2540" t="4445" r="6985" b="14605"/>
                      <wp:wrapNone/>
                      <wp:docPr id="1" name="自选图形 3"/>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2pt;margin-top:17.05pt;height:48pt;width:90.75pt;z-index:25165926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GLZjDXAAAACQEAAA8AAAAAAAAAAQAgAAAAIgAAAGRycy9kb3ducmV2LnhtbFBL&#10;AQIUABQAAAAIAIdO4kCyar2j9wEAAOgDAAAOAAAAAAAAAAEAIAAAACYBAABkcnMvZTJvRG9jLnht&#10;bFBLBQYAAAAABgAGAFkBAACPBQAAAAA=&#10;">
                      <v:fill on="f" focussize="0,0"/>
                      <v:stroke color="#000000" joinstyle="round"/>
                      <v:imagedata o:title=""/>
                      <o:lock v:ext="edit" aspectratio="f"/>
                    </v:shape>
                  </w:pict>
                </mc:Fallback>
              </mc:AlternateConten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rPr>
              <w:t>北京市通州区</w:t>
            </w:r>
            <w:r>
              <w:rPr>
                <w:rFonts w:hint="eastAsia" w:ascii="宋体" w:hAnsi="宋体" w:cs="宋体"/>
                <w:color w:val="000000"/>
                <w:kern w:val="0"/>
                <w:sz w:val="24"/>
                <w:lang w:val="en-US" w:eastAsia="zh-CN"/>
              </w:rPr>
              <w:t>植物保护中心</w:t>
            </w:r>
          </w:p>
        </w:tc>
      </w:tr>
      <w:tr>
        <w:tblPrEx>
          <w:tblCellMar>
            <w:top w:w="0" w:type="dxa"/>
            <w:left w:w="108" w:type="dxa"/>
            <w:bottom w:w="0" w:type="dxa"/>
            <w:right w:w="108" w:type="dxa"/>
          </w:tblCellMar>
        </w:tblPrEx>
        <w:trPr>
          <w:gridAfter w:val="1"/>
          <w:wAfter w:w="3809"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23</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23</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23</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23</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1172" w:hRule="atLeast"/>
        </w:trPr>
        <w:tc>
          <w:tcPr>
            <w:tcW w:w="84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shd w:val="clear" w:color="auto" w:fill="auto"/>
          </w:tcPr>
          <w:p>
            <w:pPr>
              <w:widowControl/>
              <w:rPr>
                <w:rFonts w:ascii="宋体" w:hAnsi="宋体" w:cs="宋体"/>
                <w:color w:val="000000"/>
                <w:kern w:val="0"/>
                <w:sz w:val="24"/>
              </w:rPr>
            </w:pPr>
            <w:r>
              <w:rPr>
                <w:rFonts w:hint="eastAsia" w:ascii="宋体" w:hAnsi="宋体" w:cs="宋体"/>
                <w:color w:val="000000"/>
                <w:kern w:val="0"/>
                <w:sz w:val="24"/>
              </w:rPr>
              <w:t>年初设定目标：*</w:t>
            </w:r>
            <w:r>
              <w:rPr>
                <w:rFonts w:ascii="宋体" w:hAnsi="宋体" w:cs="宋体"/>
                <w:color w:val="000000"/>
                <w:kern w:val="0"/>
                <w:sz w:val="24"/>
              </w:rPr>
              <w:t>*</w:t>
            </w:r>
          </w:p>
        </w:tc>
        <w:tc>
          <w:tcPr>
            <w:tcW w:w="4536" w:type="dxa"/>
            <w:gridSpan w:val="7"/>
            <w:tcBorders>
              <w:top w:val="single" w:color="auto" w:sz="4" w:space="0"/>
              <w:left w:val="nil"/>
              <w:bottom w:val="single" w:color="auto" w:sz="4" w:space="0"/>
              <w:right w:val="single" w:color="000000" w:sz="4" w:space="0"/>
            </w:tcBorders>
            <w:shd w:val="clear" w:color="auto" w:fill="auto"/>
          </w:tcPr>
          <w:p>
            <w:pPr>
              <w:widowControl/>
              <w:rPr>
                <w:rFonts w:ascii="宋体" w:hAnsi="宋体" w:cs="宋体"/>
                <w:color w:val="000000"/>
                <w:kern w:val="0"/>
                <w:sz w:val="24"/>
              </w:rPr>
            </w:pPr>
            <w:r>
              <w:rPr>
                <w:rFonts w:hint="eastAsia" w:ascii="宋体" w:hAnsi="宋体" w:cs="宋体"/>
                <w:color w:val="000000"/>
                <w:kern w:val="0"/>
                <w:sz w:val="24"/>
              </w:rPr>
              <w:t>年度总体目标完成情况综述：*</w:t>
            </w:r>
            <w:r>
              <w:rPr>
                <w:rFonts w:ascii="宋体" w:hAnsi="宋体" w:cs="宋体"/>
                <w:color w:val="000000"/>
                <w:kern w:val="0"/>
                <w:sz w:val="24"/>
              </w:rPr>
              <w:t>*</w:t>
            </w:r>
          </w:p>
        </w:tc>
      </w:tr>
      <w:tr>
        <w:tblPrEx>
          <w:tblCellMar>
            <w:top w:w="0" w:type="dxa"/>
            <w:left w:w="108" w:type="dxa"/>
            <w:bottom w:w="0" w:type="dxa"/>
            <w:right w:w="108" w:type="dxa"/>
          </w:tblCellMar>
        </w:tblPrEx>
        <w:trPr>
          <w:gridAfter w:val="1"/>
          <w:wAfter w:w="3809"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1"/>
          <w:wAfter w:w="3809"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产</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出</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(50分)</w:t>
            </w:r>
          </w:p>
        </w:tc>
        <w:tc>
          <w:tcPr>
            <w:tcW w:w="1381"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r>
              <w:rPr>
                <w:rFonts w:hint="eastAsia"/>
              </w:rPr>
              <w:t>建立农业有害生物监测点</w:t>
            </w: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rPr>
                <w:kern w:val="0"/>
                <w:sz w:val="24"/>
              </w:rPr>
            </w:pPr>
            <w:r>
              <w:rPr>
                <w:rFonts w:hint="eastAsia"/>
              </w:rPr>
              <w:t>建立农业有害生物监测点41个</w:t>
            </w:r>
          </w:p>
        </w:tc>
        <w:tc>
          <w:tcPr>
            <w:tcW w:w="1276" w:type="dxa"/>
            <w:gridSpan w:val="4"/>
            <w:tcBorders>
              <w:top w:val="single" w:color="auto" w:sz="4" w:space="0"/>
              <w:left w:val="nil"/>
              <w:right w:val="single" w:color="auto" w:sz="4" w:space="0"/>
            </w:tcBorders>
            <w:shd w:val="clear" w:color="auto" w:fill="auto"/>
            <w:noWrap/>
            <w:vAlign w:val="center"/>
          </w:tcPr>
          <w:p>
            <w:pPr>
              <w:ind w:firstLine="315" w:firstLineChars="150"/>
              <w:rPr>
                <w:rFonts w:ascii="宋体" w:hAnsi="宋体" w:cs="宋体"/>
                <w:color w:val="000000"/>
                <w:kern w:val="0"/>
                <w:sz w:val="24"/>
              </w:rPr>
            </w:pPr>
            <w:r>
              <w:rPr>
                <w:rFonts w:hint="eastAsia"/>
              </w:rPr>
              <w:t>41个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r>
              <w:rPr>
                <w:rFonts w:hint="eastAsia"/>
              </w:rPr>
              <w:t>本区农业有害生物发生程度</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基本掌握</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kern w:val="0"/>
                <w:sz w:val="24"/>
              </w:rPr>
            </w:pPr>
            <w:r>
              <w:rPr>
                <w:rFonts w:ascii="宋体" w:hAnsi="宋体" w:eastAsia="宋体" w:cs="宋体"/>
                <w:sz w:val="24"/>
                <w:szCs w:val="24"/>
              </w:rPr>
              <w:t>掌握发生程度，并制作发放简报</w:t>
            </w:r>
            <w:r>
              <w:rPr>
                <w:rFonts w:hint="eastAsia" w:ascii="宋体" w:hAnsi="宋体" w:eastAsia="宋体" w:cs="宋体"/>
                <w:sz w:val="24"/>
                <w:szCs w:val="24"/>
              </w:rPr>
              <w:t>14期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重大迁飞性害虫应急防控</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及时应对</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kern w:val="0"/>
                <w:sz w:val="24"/>
              </w:rPr>
            </w:pPr>
            <w:r>
              <w:rPr>
                <w:rFonts w:hint="eastAsia"/>
              </w:rPr>
              <w:t>紧急</w:t>
            </w:r>
            <w:r>
              <w:t>防控</w:t>
            </w:r>
            <w:r>
              <w:rPr>
                <w:rFonts w:hint="eastAsia"/>
              </w:rPr>
              <w:t>14895亩次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r>
              <w:rPr>
                <w:rFonts w:hint="eastAsia"/>
              </w:rPr>
              <w:t>监测点设立</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3月底之前</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r>
              <w:rPr>
                <w:rFonts w:hint="eastAsia"/>
              </w:rPr>
              <w:t>3月底完成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重大迁飞性农业害虫防控</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12月底之前</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r>
              <w:rPr>
                <w:rFonts w:hint="eastAsia"/>
              </w:rPr>
              <w:t>11月底完成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4"/>
                <w:szCs w:val="24"/>
                <w:lang w:val="en-US" w:eastAsia="zh-CN" w:bidi="ar-SA"/>
              </w:rPr>
            </w:pPr>
            <w:r>
              <w:rPr>
                <w:rFonts w:hint="eastAsia"/>
              </w:rPr>
              <w:t>宣传培训材料制作</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控制在1.5万元以下</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kern w:val="2"/>
                <w:sz w:val="24"/>
                <w:szCs w:val="24"/>
                <w:lang w:val="en-US" w:eastAsia="zh-CN" w:bidi="ar-SA"/>
              </w:rPr>
            </w:pPr>
            <w:r>
              <w:rPr>
                <w:rFonts w:hint="eastAsia"/>
              </w:rPr>
              <w:t>1.5万元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监测预警</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控制在1</w:t>
            </w:r>
            <w:r>
              <w:rPr>
                <w:rFonts w:hint="eastAsia"/>
                <w:lang w:val="en-US" w:eastAsia="zh-CN"/>
              </w:rPr>
              <w:t>4</w:t>
            </w:r>
            <w:r>
              <w:rPr>
                <w:rFonts w:hint="eastAsia"/>
              </w:rPr>
              <w:t>万元以下</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4</w:t>
            </w:r>
            <w:r>
              <w:rPr>
                <w:rFonts w:hint="eastAsia"/>
              </w:rPr>
              <w:t>万元</w:t>
            </w:r>
            <w:bookmarkStart w:id="0" w:name="_GoBack"/>
            <w:bookmarkEnd w:id="0"/>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color w:val="000000"/>
                <w:kern w:val="0"/>
                <w:sz w:val="24"/>
                <w:szCs w:val="22"/>
                <w:lang w:val="en-US" w:eastAsia="zh-CN" w:bidi="ar-SA"/>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kern w:val="0"/>
                <w:sz w:val="24"/>
              </w:rPr>
            </w:pPr>
            <w:r>
              <w:rPr>
                <w:rFonts w:hint="eastAsia"/>
              </w:rPr>
              <w:t>重大迁飞性农业害虫防控</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r>
              <w:rPr>
                <w:rFonts w:hint="eastAsia"/>
              </w:rPr>
              <w:t>控制在7.5万元以下</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r>
              <w:rPr>
                <w:rFonts w:hint="eastAsia"/>
              </w:rPr>
              <w:t>7.5万元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6"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果</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效益指标</w:t>
            </w:r>
          </w:p>
          <w:p>
            <w:pPr>
              <w:widowControl/>
              <w:jc w:val="center"/>
              <w:rPr>
                <w:rFonts w:hint="eastAsia" w:ascii="宋体" w:hAnsi="宋体" w:cs="宋体" w:eastAsiaTheme="minorEastAsia"/>
                <w:kern w:val="0"/>
                <w:sz w:val="24"/>
                <w:lang w:eastAsia="zh-CN"/>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kern w:val="0"/>
                <w:sz w:val="24"/>
              </w:rPr>
            </w:pPr>
            <w:r>
              <w:rPr>
                <w:rFonts w:hint="eastAsia"/>
              </w:rPr>
              <w:t>监测目标农业有害生物发生情况</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监测目标农业有害生物发生情况</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r>
              <w:rPr>
                <w:rFonts w:hint="eastAsia"/>
              </w:rPr>
              <w:t>覆盖</w:t>
            </w:r>
            <w:r>
              <w:t>面积</w:t>
            </w:r>
            <w:r>
              <w:rPr>
                <w:rFonts w:hint="eastAsia"/>
              </w:rPr>
              <w:t>4.</w:t>
            </w:r>
            <w:r>
              <w:t>8</w:t>
            </w:r>
            <w:r>
              <w:rPr>
                <w:rFonts w:hint="eastAsia"/>
              </w:rPr>
              <w:t>万</w:t>
            </w:r>
            <w:r>
              <w:t>亩次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09"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保障农业生产安全</w:t>
            </w:r>
          </w:p>
        </w:tc>
        <w:tc>
          <w:tcPr>
            <w:tcW w:w="1134" w:type="dxa"/>
            <w:tcBorders>
              <w:top w:val="single" w:color="auto" w:sz="4" w:space="0"/>
              <w:left w:val="nil"/>
              <w:bottom w:val="single" w:color="auto" w:sz="4" w:space="0"/>
              <w:right w:val="single" w:color="auto" w:sz="4" w:space="0"/>
            </w:tcBorders>
            <w:shd w:val="clear" w:color="auto" w:fill="auto"/>
            <w:noWrap/>
            <w:vAlign w:val="center"/>
          </w:tcPr>
          <w:p>
            <w:r>
              <w:rPr>
                <w:rFonts w:hint="eastAsia"/>
              </w:rPr>
              <w:t>保障农业生产安全</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r>
              <w:rPr>
                <w:rFonts w:hint="eastAsia"/>
              </w:rPr>
              <w:t>未</w:t>
            </w:r>
            <w:r>
              <w:t>对农业安全生产造成影响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100</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3809" w:type="dxa"/>
          <w:trHeight w:val="454" w:hRule="atLeast"/>
        </w:trPr>
        <w:tc>
          <w:tcPr>
            <w:tcW w:w="11023" w:type="dxa"/>
            <w:gridSpan w:val="12"/>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注：1.得分一档最高不能超过该指标分值上限。</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定性指标根据指标完成情况分为：达成预期指标、基本达成预期指标且效果较好效果、部分达成预期指标且具有一定效果、未达成预期指标且效果较差四档，分别按照该指标对应分值区间100-90%(含90%)、90-75%(含75%)、75-60%（含60%）、60-0%合理确定分值。</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3.定量指标若为正向指标，则得分计算方法应用全年实际值（B）/年度指标值（A）*该指标分值；若定量指标为反向指标，则得分计算方法应用年度指标值（A）/全年实际值（B）*该指标分值。若</w:t>
            </w:r>
            <w:r>
              <w:rPr>
                <w:rFonts w:ascii="宋体" w:hAnsi="宋体" w:cs="宋体"/>
                <w:color w:val="000000"/>
                <w:kern w:val="0"/>
                <w:sz w:val="24"/>
              </w:rPr>
              <w:t>年初指标值设定偏低，则</w:t>
            </w:r>
            <w:r>
              <w:rPr>
                <w:rFonts w:hint="eastAsia" w:ascii="宋体" w:hAnsi="宋体" w:cs="宋体"/>
                <w:color w:val="000000"/>
                <w:kern w:val="0"/>
                <w:sz w:val="24"/>
              </w:rPr>
              <w:t>得分计算方法</w:t>
            </w:r>
            <w:r>
              <w:rPr>
                <w:rFonts w:ascii="宋体" w:hAnsi="宋体" w:cs="宋体"/>
                <w:color w:val="000000"/>
                <w:kern w:val="0"/>
                <w:sz w:val="24"/>
              </w:rPr>
              <w:t>应用</w:t>
            </w:r>
            <w:r>
              <w:rPr>
                <w:rFonts w:hint="eastAsia" w:ascii="宋体" w:hAnsi="宋体" w:cs="宋体"/>
                <w:color w:val="000000"/>
                <w:kern w:val="0"/>
                <w:sz w:val="24"/>
              </w:rPr>
              <w:t>（全年实际值（B）—年度指标值（A））</w:t>
            </w:r>
            <w:r>
              <w:rPr>
                <w:rFonts w:ascii="宋体" w:hAnsi="宋体" w:cs="宋体"/>
                <w:color w:val="000000"/>
                <w:kern w:val="0"/>
                <w:sz w:val="24"/>
              </w:rPr>
              <w:t>/</w:t>
            </w:r>
            <w:r>
              <w:rPr>
                <w:rFonts w:hint="eastAsia" w:ascii="宋体" w:hAnsi="宋体" w:cs="宋体"/>
                <w:color w:val="000000"/>
                <w:kern w:val="0"/>
                <w:sz w:val="24"/>
              </w:rPr>
              <w:t>年度指标值（A）*</w:t>
            </w:r>
            <w:r>
              <w:rPr>
                <w:rFonts w:ascii="宋体" w:hAnsi="宋体" w:cs="宋体"/>
                <w:color w:val="000000"/>
                <w:kern w:val="0"/>
                <w:sz w:val="24"/>
              </w:rPr>
              <w:t>100%</w:t>
            </w:r>
            <w:r>
              <w:rPr>
                <w:rFonts w:hint="eastAsia" w:ascii="宋体" w:hAnsi="宋体" w:cs="宋体"/>
                <w:color w:val="000000"/>
                <w:kern w:val="0"/>
                <w:sz w:val="24"/>
              </w:rPr>
              <w:t>。若</w:t>
            </w:r>
            <w:r>
              <w:rPr>
                <w:rFonts w:ascii="宋体" w:hAnsi="宋体" w:cs="宋体"/>
                <w:color w:val="000000"/>
                <w:kern w:val="0"/>
                <w:sz w:val="24"/>
              </w:rPr>
              <w:t>计算结果</w:t>
            </w:r>
            <w:r>
              <w:rPr>
                <w:rFonts w:hint="eastAsia" w:ascii="宋体" w:hAnsi="宋体" w:cs="宋体"/>
                <w:color w:val="000000"/>
                <w:kern w:val="0"/>
                <w:sz w:val="24"/>
              </w:rPr>
              <w:t>在200</w:t>
            </w:r>
            <w:r>
              <w:rPr>
                <w:rFonts w:ascii="宋体" w:hAnsi="宋体" w:cs="宋体"/>
                <w:color w:val="000000"/>
                <w:kern w:val="0"/>
                <w:sz w:val="24"/>
              </w:rPr>
              <w:t>%-300%</w:t>
            </w:r>
            <w:r>
              <w:rPr>
                <w:rFonts w:hint="eastAsia" w:ascii="宋体" w:hAnsi="宋体" w:cs="宋体"/>
                <w:color w:val="000000"/>
                <w:kern w:val="0"/>
                <w:sz w:val="24"/>
              </w:rPr>
              <w:t>（含200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10</w:t>
            </w:r>
            <w:r>
              <w:rPr>
                <w:rFonts w:ascii="宋体" w:hAnsi="宋体" w:cs="宋体"/>
                <w:color w:val="000000"/>
                <w:kern w:val="0"/>
                <w:sz w:val="24"/>
              </w:rPr>
              <w:t>%扣分；</w:t>
            </w:r>
            <w:r>
              <w:rPr>
                <w:rFonts w:hint="eastAsia" w:ascii="宋体" w:hAnsi="宋体" w:cs="宋体"/>
                <w:color w:val="000000"/>
                <w:kern w:val="0"/>
                <w:sz w:val="24"/>
              </w:rPr>
              <w:t>计算结果</w:t>
            </w:r>
            <w:r>
              <w:rPr>
                <w:rFonts w:ascii="宋体" w:hAnsi="宋体" w:cs="宋体"/>
                <w:color w:val="000000"/>
                <w:kern w:val="0"/>
                <w:sz w:val="24"/>
              </w:rPr>
              <w:t>在</w:t>
            </w:r>
            <w:r>
              <w:rPr>
                <w:rFonts w:hint="eastAsia" w:ascii="宋体" w:hAnsi="宋体" w:cs="宋体"/>
                <w:color w:val="000000"/>
                <w:kern w:val="0"/>
                <w:sz w:val="24"/>
              </w:rPr>
              <w:t>300</w:t>
            </w:r>
            <w:r>
              <w:rPr>
                <w:rFonts w:ascii="宋体" w:hAnsi="宋体" w:cs="宋体"/>
                <w:color w:val="000000"/>
                <w:kern w:val="0"/>
                <w:sz w:val="24"/>
              </w:rPr>
              <w:t>%-500%（</w:t>
            </w:r>
            <w:r>
              <w:rPr>
                <w:rFonts w:hint="eastAsia" w:ascii="宋体" w:hAnsi="宋体" w:cs="宋体"/>
                <w:color w:val="000000"/>
                <w:kern w:val="0"/>
                <w:sz w:val="24"/>
              </w:rPr>
              <w:t>含300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20</w:t>
            </w:r>
            <w:r>
              <w:rPr>
                <w:rFonts w:ascii="宋体" w:hAnsi="宋体" w:cs="宋体"/>
                <w:color w:val="000000"/>
                <w:kern w:val="0"/>
                <w:sz w:val="24"/>
              </w:rPr>
              <w:t>%扣分；计算结果</w:t>
            </w:r>
            <w:r>
              <w:rPr>
                <w:rFonts w:hint="eastAsia" w:ascii="宋体" w:hAnsi="宋体" w:cs="宋体"/>
                <w:color w:val="000000"/>
                <w:kern w:val="0"/>
                <w:sz w:val="24"/>
              </w:rPr>
              <w:t>高于500</w:t>
            </w:r>
            <w:r>
              <w:rPr>
                <w:rFonts w:ascii="宋体" w:hAnsi="宋体" w:cs="宋体"/>
                <w:color w:val="000000"/>
                <w:kern w:val="0"/>
                <w:sz w:val="24"/>
              </w:rPr>
              <w:t>%（</w:t>
            </w:r>
            <w:r>
              <w:rPr>
                <w:rFonts w:hint="eastAsia" w:ascii="宋体" w:hAnsi="宋体" w:cs="宋体"/>
                <w:color w:val="000000"/>
                <w:kern w:val="0"/>
                <w:sz w:val="24"/>
              </w:rPr>
              <w:t>含500</w:t>
            </w:r>
            <w:r>
              <w:rPr>
                <w:rFonts w:ascii="宋体" w:hAnsi="宋体" w:cs="宋体"/>
                <w:color w:val="000000"/>
                <w:kern w:val="0"/>
                <w:sz w:val="24"/>
              </w:rPr>
              <w:t>%）</w:t>
            </w:r>
            <w:r>
              <w:rPr>
                <w:rFonts w:hint="eastAsia" w:ascii="宋体" w:hAnsi="宋体" w:cs="宋体"/>
                <w:color w:val="000000"/>
                <w:kern w:val="0"/>
                <w:sz w:val="24"/>
              </w:rPr>
              <w:t>，</w:t>
            </w:r>
            <w:r>
              <w:rPr>
                <w:rFonts w:ascii="宋体" w:hAnsi="宋体" w:cs="宋体"/>
                <w:color w:val="000000"/>
                <w:kern w:val="0"/>
                <w:sz w:val="24"/>
              </w:rPr>
              <w:t>则按照该指标分值的</w:t>
            </w:r>
            <w:r>
              <w:rPr>
                <w:rFonts w:hint="eastAsia" w:ascii="宋体" w:hAnsi="宋体" w:cs="宋体"/>
                <w:color w:val="000000"/>
                <w:kern w:val="0"/>
                <w:sz w:val="24"/>
              </w:rPr>
              <w:t>30</w:t>
            </w:r>
            <w:r>
              <w:rPr>
                <w:rFonts w:ascii="宋体" w:hAnsi="宋体" w:cs="宋体"/>
                <w:color w:val="000000"/>
                <w:kern w:val="0"/>
                <w:sz w:val="24"/>
              </w:rPr>
              <w:t>%扣分。</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4.请在“未完成原因分析”中说明偏离目标、不能完成目标的原因及拟采取的措施。</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5.该示例样表来源为北京市财政局填制自评表，请各部门自行删除项目信息，得到空表作为模板。</w:t>
            </w:r>
          </w:p>
        </w:tc>
      </w:tr>
    </w:tbl>
    <w:p>
      <w:pPr>
        <w:widowControl/>
        <w:rPr>
          <w:rFonts w:ascii="仿宋_GB2312" w:eastAsia="仿宋_GB2312"/>
          <w:sz w:val="32"/>
          <w:szCs w:val="32"/>
        </w:rPr>
        <w:sectPr>
          <w:pgSz w:w="11906" w:h="16838"/>
          <w:pgMar w:top="720" w:right="720" w:bottom="720" w:left="720" w:header="851" w:footer="992" w:gutter="0"/>
          <w:cols w:space="0" w:num="1"/>
          <w:docGrid w:type="lines" w:linePitch="312" w:charSpace="0"/>
        </w:sectPr>
      </w:pPr>
    </w:p>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附件9：</w:t>
      </w:r>
    </w:p>
    <w:p>
      <w:pPr>
        <w:spacing w:line="480" w:lineRule="exact"/>
        <w:jc w:val="center"/>
        <w:rPr>
          <w:rFonts w:ascii="宋体" w:hAnsi="宋体"/>
          <w:b/>
          <w:sz w:val="36"/>
          <w:szCs w:val="36"/>
        </w:rPr>
      </w:pPr>
      <w:r>
        <w:rPr>
          <w:rFonts w:hint="eastAsia" w:ascii="宋体" w:hAnsi="宋体"/>
          <w:b/>
          <w:sz w:val="36"/>
          <w:szCs w:val="36"/>
        </w:rPr>
        <w:t>评价方法说明</w:t>
      </w:r>
    </w:p>
    <w:p>
      <w:pPr>
        <w:spacing w:line="480" w:lineRule="exact"/>
        <w:jc w:val="center"/>
        <w:rPr>
          <w:rFonts w:ascii="黑体" w:hAnsi="黑体" w:eastAsia="黑体"/>
          <w:sz w:val="36"/>
          <w:szCs w:val="36"/>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采取打分评价的形式，满分为100分。一级指标权重统一设置为：预算资金执行率10分、产出指标50分、效果指标40分。如有特殊情况，上述权重可做适当调整，但加总后应等于100%。各部门根据各项指标重要程度确定项目的二级绩效指标和三级绩效指标的权重。</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评价的得分评定方法分为两类：</w:t>
      </w:r>
      <w:r>
        <w:rPr>
          <w:rFonts w:hint="eastAsia" w:ascii="仿宋_GB2312" w:eastAsia="仿宋_GB2312"/>
          <w:b/>
          <w:sz w:val="32"/>
          <w:szCs w:val="32"/>
        </w:rPr>
        <w:t>一是定量指标。</w:t>
      </w:r>
      <w:r>
        <w:rPr>
          <w:rFonts w:hint="eastAsia" w:ascii="仿宋_GB2312" w:eastAsia="仿宋_GB2312"/>
          <w:sz w:val="32"/>
          <w:szCs w:val="32"/>
        </w:rPr>
        <w:t>与</w:t>
      </w:r>
      <w:r>
        <w:rPr>
          <w:rFonts w:ascii="仿宋_GB2312" w:eastAsia="仿宋_GB2312"/>
          <w:sz w:val="32"/>
          <w:szCs w:val="32"/>
        </w:rPr>
        <w:t>年初指标值相比，</w:t>
      </w:r>
      <w:r>
        <w:rPr>
          <w:rFonts w:hint="eastAsia" w:ascii="仿宋_GB2312" w:eastAsia="仿宋_GB2312"/>
          <w:sz w:val="32"/>
          <w:szCs w:val="32"/>
        </w:rPr>
        <w:t>完成指标值的，记该指标所赋全部分值；如果</w:t>
      </w:r>
      <w:r>
        <w:rPr>
          <w:rFonts w:ascii="仿宋_GB2312" w:eastAsia="仿宋_GB2312"/>
          <w:sz w:val="32"/>
          <w:szCs w:val="32"/>
        </w:rPr>
        <w:t>是由于年初指标值设定明显偏低造成的，要按照偏离度适度调减分值；</w:t>
      </w:r>
      <w:r>
        <w:rPr>
          <w:rFonts w:hint="eastAsia" w:ascii="仿宋_GB2312" w:eastAsia="仿宋_GB2312"/>
          <w:sz w:val="32"/>
          <w:szCs w:val="32"/>
        </w:rPr>
        <w:t>未完成指标值的，按照完成值在指标值中所占比例记分。</w:t>
      </w:r>
      <w:r>
        <w:rPr>
          <w:rFonts w:hint="eastAsia" w:ascii="仿宋_GB2312" w:eastAsia="仿宋_GB2312"/>
          <w:b/>
          <w:sz w:val="32"/>
          <w:szCs w:val="32"/>
        </w:rPr>
        <w:t>二是定性指标。</w:t>
      </w:r>
      <w:r>
        <w:rPr>
          <w:rFonts w:hint="eastAsia" w:ascii="仿宋_GB2312" w:eastAsia="仿宋_GB2312"/>
          <w:sz w:val="32"/>
          <w:szCs w:val="32"/>
        </w:rPr>
        <w:t>根据指标完成情况分为：达成预期指标、基本达成预期指标且效果较好、部分达成预期指标且有一定效果、未达成预期指标且效果较差四档，分别按照该指标对应分值区间100-90%（含90%）、90-75%（含75%）、75-60%（含60%）、60-0%合理确定分值。各项绩效指标得分汇总成该项目自评的总分。有关自评指标分值计算办法详见《自评表》。</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各部门在收集、分析上述绩效执行信息的基础上，对未完成绩效目标及指标的原因进行逐条分析，研究提出解决措施。上述绩效自评信息以《自评表》的形式体现。</w:t>
      </w:r>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ZGEyOWQyYjY1MWZjNzBmNGJmYzllZDY0ZTcxZWQifQ=="/>
  </w:docVars>
  <w:rsids>
    <w:rsidRoot w:val="007529AF"/>
    <w:rsid w:val="0000279D"/>
    <w:rsid w:val="000A0E87"/>
    <w:rsid w:val="000A35B0"/>
    <w:rsid w:val="000F76B3"/>
    <w:rsid w:val="00120504"/>
    <w:rsid w:val="001719FE"/>
    <w:rsid w:val="00194618"/>
    <w:rsid w:val="001A5ABF"/>
    <w:rsid w:val="001C12BD"/>
    <w:rsid w:val="001C7F0A"/>
    <w:rsid w:val="001D1025"/>
    <w:rsid w:val="001D3BAA"/>
    <w:rsid w:val="00224EB5"/>
    <w:rsid w:val="002E190B"/>
    <w:rsid w:val="00332206"/>
    <w:rsid w:val="0037029A"/>
    <w:rsid w:val="0037527C"/>
    <w:rsid w:val="00396020"/>
    <w:rsid w:val="003C0306"/>
    <w:rsid w:val="003F56C0"/>
    <w:rsid w:val="00405EEF"/>
    <w:rsid w:val="004138BE"/>
    <w:rsid w:val="00430E85"/>
    <w:rsid w:val="0044469F"/>
    <w:rsid w:val="00465AF9"/>
    <w:rsid w:val="004904A7"/>
    <w:rsid w:val="004C022F"/>
    <w:rsid w:val="004C79E9"/>
    <w:rsid w:val="004D6CDC"/>
    <w:rsid w:val="00525B77"/>
    <w:rsid w:val="00594247"/>
    <w:rsid w:val="005E57E7"/>
    <w:rsid w:val="006247CE"/>
    <w:rsid w:val="00671F69"/>
    <w:rsid w:val="006A1DFB"/>
    <w:rsid w:val="006A6CD3"/>
    <w:rsid w:val="006B4A7A"/>
    <w:rsid w:val="006F705D"/>
    <w:rsid w:val="00713649"/>
    <w:rsid w:val="007529AF"/>
    <w:rsid w:val="007F55D6"/>
    <w:rsid w:val="0080178D"/>
    <w:rsid w:val="00852955"/>
    <w:rsid w:val="008A4D82"/>
    <w:rsid w:val="008B4C02"/>
    <w:rsid w:val="008E3479"/>
    <w:rsid w:val="00932F53"/>
    <w:rsid w:val="009509AE"/>
    <w:rsid w:val="00951F5E"/>
    <w:rsid w:val="00976CF6"/>
    <w:rsid w:val="00992187"/>
    <w:rsid w:val="00A37D8B"/>
    <w:rsid w:val="00A40D62"/>
    <w:rsid w:val="00A47A74"/>
    <w:rsid w:val="00A5375F"/>
    <w:rsid w:val="00A90952"/>
    <w:rsid w:val="00AF228A"/>
    <w:rsid w:val="00B345F5"/>
    <w:rsid w:val="00B70175"/>
    <w:rsid w:val="00BB6C0B"/>
    <w:rsid w:val="00C74520"/>
    <w:rsid w:val="00C944B5"/>
    <w:rsid w:val="00CA34DE"/>
    <w:rsid w:val="00CA7094"/>
    <w:rsid w:val="00CE6FBF"/>
    <w:rsid w:val="00CF777B"/>
    <w:rsid w:val="00D132E9"/>
    <w:rsid w:val="00D7024B"/>
    <w:rsid w:val="00E15E8A"/>
    <w:rsid w:val="00E17654"/>
    <w:rsid w:val="00E848F7"/>
    <w:rsid w:val="00EC6651"/>
    <w:rsid w:val="00F325D5"/>
    <w:rsid w:val="09FD0D99"/>
    <w:rsid w:val="1DC71166"/>
    <w:rsid w:val="22D56551"/>
    <w:rsid w:val="2CF077F9"/>
    <w:rsid w:val="2E7A6BE8"/>
    <w:rsid w:val="325C2CBB"/>
    <w:rsid w:val="33554BCC"/>
    <w:rsid w:val="3BA80795"/>
    <w:rsid w:val="4F6F3786"/>
    <w:rsid w:val="53D64288"/>
    <w:rsid w:val="5CD61BFF"/>
    <w:rsid w:val="64AA2E81"/>
    <w:rsid w:val="7486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jc w:val="center"/>
      <w:outlineLvl w:val="0"/>
    </w:pPr>
    <w:rPr>
      <w:b/>
      <w:bCs/>
      <w:kern w:val="44"/>
      <w:sz w:val="36"/>
      <w:szCs w:val="44"/>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1121</Words>
  <Characters>1261</Characters>
  <Lines>11</Lines>
  <Paragraphs>3</Paragraphs>
  <TotalTime>2</TotalTime>
  <ScaleCrop>false</ScaleCrop>
  <LinksUpToDate>false</LinksUpToDate>
  <CharactersWithSpaces>1310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2021-02-02T03:57:00Z</dcterms:created>
  <dc:creator>a</dc:creator>
  <cp:lastModifiedBy>陈健</cp:lastModifiedBy>
  <cp:lastPrinted>2021-02-02T04:29:00Z</cp:lastPrinted>
  <dcterms:modified xsi:type="dcterms:W3CDTF">2024-02-22T06:07:35Z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9391015AF2184CD5BCB56DE151F731DB</vt:lpwstr>
  </property>
</Properties>
</file>