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outlineLvl w:val="0"/>
        <w:rPr>
          <w:rFonts w:hint="eastAsia" w:ascii="黑体" w:eastAsia="黑体"/>
          <w:sz w:val="28"/>
          <w:szCs w:val="28"/>
          <w:highlight w:val="none"/>
        </w:rPr>
      </w:pPr>
      <w:bookmarkStart w:id="71" w:name="_GoBack"/>
      <w:bookmarkEnd w:id="71"/>
      <w:r>
        <w:rPr>
          <w:rFonts w:hint="eastAsia" w:ascii="黑体" w:eastAsia="黑体"/>
          <w:sz w:val="28"/>
          <w:szCs w:val="28"/>
          <w:highlight w:val="none"/>
          <w:lang w:val="en-US" w:eastAsia="zh-CN"/>
        </w:rPr>
        <w:t>一、</w:t>
      </w:r>
      <w:r>
        <w:rPr>
          <w:rFonts w:hint="eastAsia" w:ascii="黑体" w:eastAsia="黑体"/>
          <w:sz w:val="28"/>
          <w:szCs w:val="28"/>
          <w:highlight w:val="none"/>
          <w:lang w:eastAsia="zh-CN"/>
        </w:rPr>
        <w:t>重点</w:t>
      </w:r>
      <w:r>
        <w:rPr>
          <w:rFonts w:hint="eastAsia" w:ascii="黑体" w:eastAsia="黑体"/>
          <w:sz w:val="28"/>
          <w:szCs w:val="28"/>
          <w:highlight w:val="none"/>
        </w:rPr>
        <w:t>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p>
    <w:p>
      <w:pPr>
        <w:adjustRightInd w:val="0"/>
        <w:snapToGrid w:val="0"/>
        <w:spacing w:line="360" w:lineRule="auto"/>
        <w:jc w:val="center"/>
        <w:rPr>
          <w:rFonts w:hint="eastAsia" w:ascii="仿宋_GB2312" w:hAnsi="仿宋_GB2312" w:eastAsia="仿宋_GB2312" w:cs="仿宋_GB2312"/>
          <w:sz w:val="28"/>
          <w:szCs w:val="28"/>
        </w:rPr>
      </w:pPr>
      <w:bookmarkStart w:id="0" w:name="_Toc135254600"/>
      <w:bookmarkStart w:id="1" w:name="_Toc35588394"/>
      <w:bookmarkStart w:id="2" w:name="_Toc24129"/>
      <w:r>
        <w:rPr>
          <w:rFonts w:hint="eastAsia" w:ascii="仿宋_GB2312" w:hAnsi="仿宋_GB2312" w:eastAsia="仿宋_GB2312" w:cs="仿宋_GB2312"/>
          <w:bCs/>
          <w:sz w:val="28"/>
          <w:szCs w:val="28"/>
        </w:rPr>
        <w:t>2023年设施农业长效监管项目绩效评价报告</w:t>
      </w:r>
    </w:p>
    <w:p>
      <w:pPr>
        <w:adjustRightInd w:val="0"/>
        <w:snapToGrid w:val="0"/>
        <w:spacing w:line="360" w:lineRule="auto"/>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（一）项目概况</w:t>
      </w:r>
      <w:bookmarkEnd w:id="0"/>
      <w:bookmarkEnd w:id="1"/>
      <w:bookmarkEnd w:id="2"/>
    </w:p>
    <w:p>
      <w:pPr>
        <w:adjustRightInd w:val="0"/>
        <w:snapToGrid w:val="0"/>
        <w:spacing w:line="360" w:lineRule="auto"/>
        <w:ind w:firstLine="560" w:firstLineChars="200"/>
        <w:outlineLvl w:val="2"/>
        <w:rPr>
          <w:rFonts w:hint="eastAsia" w:ascii="仿宋_GB2312" w:hAnsi="仿宋_GB2312" w:eastAsia="仿宋_GB2312" w:cs="仿宋_GB2312"/>
          <w:iCs/>
          <w:sz w:val="28"/>
          <w:szCs w:val="28"/>
        </w:rPr>
      </w:pPr>
      <w:bookmarkStart w:id="3" w:name="_Toc35588395"/>
      <w:r>
        <w:rPr>
          <w:rFonts w:hint="eastAsia" w:ascii="仿宋_GB2312" w:hAnsi="仿宋_GB2312" w:eastAsia="仿宋_GB2312" w:cs="仿宋_GB2312"/>
          <w:iCs/>
          <w:sz w:val="28"/>
          <w:szCs w:val="28"/>
        </w:rPr>
        <w:t>1.项目背景</w:t>
      </w:r>
      <w:bookmarkEnd w:id="3"/>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rPr>
        <w:t>以中央“大棚房”问题“回头看”专项清理整治行动为契机，依据《关于设施农业用地管理有关问题的通知》(自然资规</w:t>
      </w:r>
      <w:r>
        <w:rPr>
          <w:rFonts w:hint="eastAsia" w:ascii="仿宋_GB2312" w:hAnsi="仿宋_GB2312" w:eastAsia="仿宋_GB2312" w:cs="仿宋_GB2312"/>
          <w:sz w:val="28"/>
          <w:szCs w:val="28"/>
        </w:rPr>
        <w:t>〔2019〕</w:t>
      </w:r>
      <w:r>
        <w:rPr>
          <w:rFonts w:hint="eastAsia" w:ascii="仿宋_GB2312" w:hAnsi="仿宋_GB2312" w:eastAsia="仿宋_GB2312" w:cs="仿宋_GB2312"/>
          <w:iCs/>
          <w:sz w:val="28"/>
          <w:szCs w:val="28"/>
        </w:rPr>
        <w:t>4号)、《关于严格耕地用途管制有关问题的通知》(自然资发</w:t>
      </w:r>
      <w:r>
        <w:rPr>
          <w:rFonts w:hint="eastAsia" w:ascii="仿宋_GB2312" w:hAnsi="仿宋_GB2312" w:eastAsia="仿宋_GB2312" w:cs="仿宋_GB2312"/>
          <w:sz w:val="28"/>
          <w:szCs w:val="28"/>
        </w:rPr>
        <w:t>〔2021〕</w:t>
      </w:r>
      <w:r>
        <w:rPr>
          <w:rFonts w:hint="eastAsia" w:ascii="仿宋_GB2312" w:hAnsi="仿宋_GB2312" w:eastAsia="仿宋_GB2312" w:cs="仿宋_GB2312"/>
          <w:iCs/>
          <w:sz w:val="28"/>
          <w:szCs w:val="28"/>
        </w:rPr>
        <w:t>166号)、《关于加强和规范设施农业用地管理的通知》(京规自发</w:t>
      </w:r>
      <w:r>
        <w:rPr>
          <w:rFonts w:hint="eastAsia" w:ascii="仿宋_GB2312" w:hAnsi="仿宋_GB2312" w:eastAsia="仿宋_GB2312" w:cs="仿宋_GB2312"/>
          <w:sz w:val="28"/>
          <w:szCs w:val="28"/>
        </w:rPr>
        <w:t>〔2021〕</w:t>
      </w:r>
      <w:r>
        <w:rPr>
          <w:rFonts w:hint="eastAsia" w:ascii="仿宋_GB2312" w:hAnsi="仿宋_GB2312" w:eastAsia="仿宋_GB2312" w:cs="仿宋_GB2312"/>
          <w:iCs/>
          <w:sz w:val="28"/>
          <w:szCs w:val="28"/>
        </w:rPr>
        <w:t>62号)和《北京市设施农业用地导则(试行)》(京政农函</w:t>
      </w:r>
      <w:r>
        <w:rPr>
          <w:rFonts w:hint="eastAsia" w:ascii="仿宋_GB2312" w:hAnsi="仿宋_GB2312" w:eastAsia="仿宋_GB2312" w:cs="仿宋_GB2312"/>
          <w:sz w:val="28"/>
          <w:szCs w:val="28"/>
        </w:rPr>
        <w:t>〔2021〕</w:t>
      </w:r>
      <w:r>
        <w:rPr>
          <w:rFonts w:hint="eastAsia" w:ascii="仿宋_GB2312" w:hAnsi="仿宋_GB2312" w:eastAsia="仿宋_GB2312" w:cs="仿宋_GB2312"/>
          <w:iCs/>
          <w:sz w:val="28"/>
          <w:szCs w:val="28"/>
        </w:rPr>
        <w:t>73号)的相关要求，我局建立农业、林业设施长效监管机制，细化监督措施，明确监管对象，按照“发现-处置-整改”全流程闭环监管要求，坚决防止“大棚房”问题发生反弹，坚决整治将农业林业园区用于其他非农建设的违法违规行为，杜绝农地非农利用问题。</w:t>
      </w:r>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sz w:val="28"/>
          <w:szCs w:val="28"/>
          <w:lang w:bidi="ar"/>
        </w:rPr>
        <w:t>农田和耕地的保护</w:t>
      </w:r>
      <w:r>
        <w:rPr>
          <w:rFonts w:hint="eastAsia" w:ascii="仿宋_GB2312" w:hAnsi="仿宋_GB2312" w:eastAsia="仿宋_GB2312" w:cs="仿宋_GB2312"/>
          <w:sz w:val="28"/>
          <w:szCs w:val="28"/>
        </w:rPr>
        <w:t>离不开设施农业长效监管的支撑，为</w:t>
      </w:r>
      <w:r>
        <w:rPr>
          <w:rFonts w:hint="eastAsia" w:ascii="仿宋_GB2312" w:hAnsi="仿宋_GB2312" w:eastAsia="仿宋_GB2312" w:cs="仿宋_GB2312"/>
          <w:sz w:val="28"/>
          <w:szCs w:val="28"/>
          <w:lang w:bidi="ar"/>
        </w:rPr>
        <w:t>坚决遏制耕地“非农化”、“非粮化”，提高农业、林业设施精细化管理水平，严防“大棚房”问题死灰复燃，开展</w:t>
      </w:r>
      <w:r>
        <w:rPr>
          <w:rFonts w:hint="eastAsia" w:ascii="仿宋_GB2312" w:hAnsi="仿宋_GB2312" w:eastAsia="仿宋_GB2312" w:cs="仿宋_GB2312"/>
          <w:iCs/>
          <w:sz w:val="28"/>
          <w:szCs w:val="28"/>
        </w:rPr>
        <w:t>设施农业长效监管</w:t>
      </w:r>
      <w:r>
        <w:rPr>
          <w:rFonts w:hint="eastAsia" w:ascii="仿宋_GB2312" w:hAnsi="仿宋_GB2312" w:eastAsia="仿宋_GB2312" w:cs="仿宋_GB2312"/>
          <w:sz w:val="28"/>
          <w:szCs w:val="28"/>
          <w:lang w:bidi="ar"/>
        </w:rPr>
        <w:t>。</w:t>
      </w:r>
      <w:r>
        <w:rPr>
          <w:rFonts w:hint="eastAsia" w:ascii="仿宋_GB2312" w:hAnsi="仿宋_GB2312" w:eastAsia="仿宋_GB2312" w:cs="仿宋_GB2312"/>
          <w:iCs/>
          <w:sz w:val="28"/>
          <w:szCs w:val="28"/>
        </w:rPr>
        <w:t>设施农业长效监管为经常性专项业务，我局2023年继续</w:t>
      </w:r>
      <w:r>
        <w:rPr>
          <w:rFonts w:hint="eastAsia" w:ascii="仿宋_GB2312" w:hAnsi="仿宋_GB2312" w:eastAsia="仿宋_GB2312" w:cs="仿宋_GB2312"/>
          <w:sz w:val="28"/>
          <w:szCs w:val="28"/>
        </w:rPr>
        <w:t>申请实施</w:t>
      </w:r>
      <w:r>
        <w:rPr>
          <w:rFonts w:hint="eastAsia" w:ascii="仿宋_GB2312" w:hAnsi="仿宋_GB2312" w:eastAsia="仿宋_GB2312" w:cs="仿宋_GB2312"/>
          <w:iCs/>
          <w:sz w:val="28"/>
          <w:szCs w:val="28"/>
        </w:rPr>
        <w:t>设施农业长效监管项目。</w:t>
      </w:r>
    </w:p>
    <w:p>
      <w:pPr>
        <w:adjustRightInd w:val="0"/>
        <w:snapToGrid w:val="0"/>
        <w:spacing w:line="360" w:lineRule="auto"/>
        <w:ind w:firstLine="560" w:firstLineChars="200"/>
        <w:outlineLvl w:val="2"/>
        <w:rPr>
          <w:rFonts w:hint="eastAsia" w:ascii="仿宋_GB2312" w:hAnsi="仿宋_GB2312" w:eastAsia="仿宋_GB2312" w:cs="仿宋_GB2312"/>
          <w:color w:val="FF0000"/>
          <w:kern w:val="0"/>
          <w:sz w:val="28"/>
          <w:szCs w:val="28"/>
        </w:rPr>
      </w:pPr>
      <w:bookmarkStart w:id="4" w:name="_Toc35588396"/>
      <w:r>
        <w:rPr>
          <w:rFonts w:hint="eastAsia" w:ascii="仿宋_GB2312" w:hAnsi="仿宋_GB2312" w:eastAsia="仿宋_GB2312" w:cs="仿宋_GB2312"/>
          <w:kern w:val="0"/>
          <w:sz w:val="28"/>
          <w:szCs w:val="28"/>
        </w:rPr>
        <w:t>2.项目主要内容</w:t>
      </w:r>
      <w:bookmarkEnd w:id="4"/>
      <w:r>
        <w:rPr>
          <w:rFonts w:hint="eastAsia" w:ascii="仿宋_GB2312" w:hAnsi="仿宋_GB2312" w:eastAsia="仿宋_GB2312" w:cs="仿宋_GB2312"/>
          <w:kern w:val="0"/>
          <w:sz w:val="28"/>
          <w:szCs w:val="28"/>
        </w:rPr>
        <w:t>及实施情况</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iCs/>
          <w:sz w:val="28"/>
          <w:szCs w:val="28"/>
        </w:rPr>
        <w:t>设施农业长效监管</w:t>
      </w:r>
      <w:r>
        <w:rPr>
          <w:rFonts w:hint="eastAsia" w:ascii="仿宋_GB2312" w:hAnsi="仿宋_GB2312" w:eastAsia="仿宋_GB2312" w:cs="仿宋_GB2312"/>
          <w:sz w:val="28"/>
          <w:szCs w:val="28"/>
        </w:rPr>
        <w:t>为延续性项目，主要是对10个乡镇2062个经营主体项目进行覆盖巡查。检查内容主要包括：设施农业是否有非农利用情况；设施农业增减变动和转租转售情况；设施农业非正常闲置情况；设施农业台账建立和责任书签订，“一棚一码”悬挂及关联情况；设施农业警示牌、标识牌的管护进行检查，并抽查相关标识信息；设施农业是否按照农业用途规范使用；设施农业园区内是否存在易燃易爆危险品、是否为可视化围墙、是否有设施农业用地备案、配套设施是否按照备案情况使用、是否硬化道路超标、是否存在生活垃圾、建筑垃圾等乱堆乱放环境卫生问题。</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区政府与各乡镇政府、各乡镇政府与各村委会分别签订了监管责任书，明确监管职责和内容；各乡镇按照文件要求，逐村逐棚建立设施农业管理台账，一棚一码上账管理。截至2023年12月底，全区所有设施农业大棚均完成了二维码关联；区级成立专门的农业设施监管巡查队伍，对各乡镇进行全覆盖巡查监管，完成了全区10个乡镇2185个园区及20776栋大棚巡查、检查工作。</w:t>
      </w:r>
    </w:p>
    <w:p>
      <w:pPr>
        <w:adjustRightInd w:val="0"/>
        <w:snapToGrid w:val="0"/>
        <w:spacing w:line="360" w:lineRule="auto"/>
        <w:ind w:firstLine="560" w:firstLineChars="200"/>
        <w:outlineLvl w:val="2"/>
        <w:rPr>
          <w:rFonts w:hint="eastAsia" w:ascii="仿宋_GB2312" w:hAnsi="仿宋_GB2312" w:eastAsia="仿宋_GB2312" w:cs="仿宋_GB2312"/>
          <w:kern w:val="0"/>
          <w:sz w:val="28"/>
          <w:szCs w:val="28"/>
        </w:rPr>
      </w:pPr>
      <w:bookmarkStart w:id="5" w:name="_Toc35588397"/>
      <w:r>
        <w:rPr>
          <w:rFonts w:hint="eastAsia" w:ascii="仿宋_GB2312" w:hAnsi="仿宋_GB2312" w:eastAsia="仿宋_GB2312" w:cs="仿宋_GB2312"/>
          <w:kern w:val="0"/>
          <w:sz w:val="28"/>
          <w:szCs w:val="28"/>
        </w:rPr>
        <w:t>3.项目资金投入</w:t>
      </w:r>
      <w:bookmarkEnd w:id="5"/>
      <w:r>
        <w:rPr>
          <w:rFonts w:hint="eastAsia" w:ascii="仿宋_GB2312" w:hAnsi="仿宋_GB2312" w:eastAsia="仿宋_GB2312" w:cs="仿宋_GB2312"/>
          <w:kern w:val="0"/>
          <w:sz w:val="28"/>
          <w:szCs w:val="28"/>
        </w:rPr>
        <w:t>及使用情况</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2023年项目预算150万元，为区级财政资金。项目资金足额及时到位。2023年度项目资金实际支出149.67万元，资金执行率为99.78%。</w:t>
      </w:r>
    </w:p>
    <w:p>
      <w:pPr>
        <w:adjustRightInd w:val="0"/>
        <w:snapToGrid w:val="0"/>
        <w:spacing w:line="360" w:lineRule="auto"/>
        <w:ind w:firstLine="560" w:firstLineChars="200"/>
        <w:outlineLvl w:val="1"/>
        <w:rPr>
          <w:rFonts w:hint="eastAsia" w:ascii="仿宋_GB2312" w:hAnsi="仿宋_GB2312" w:eastAsia="仿宋_GB2312" w:cs="仿宋_GB2312"/>
          <w:i/>
          <w:iCs/>
          <w:color w:val="FF0000"/>
          <w:kern w:val="0"/>
          <w:sz w:val="28"/>
          <w:szCs w:val="28"/>
        </w:rPr>
      </w:pPr>
      <w:bookmarkStart w:id="6" w:name="_Toc135254601"/>
      <w:bookmarkStart w:id="7" w:name="_Toc35588398"/>
      <w:bookmarkStart w:id="8" w:name="_Toc7188"/>
      <w:r>
        <w:rPr>
          <w:rFonts w:hint="eastAsia" w:ascii="仿宋_GB2312" w:hAnsi="仿宋_GB2312" w:eastAsia="仿宋_GB2312" w:cs="仿宋_GB2312"/>
          <w:sz w:val="28"/>
          <w:szCs w:val="28"/>
        </w:rPr>
        <w:t>（二）项目绩效目标</w:t>
      </w:r>
      <w:bookmarkEnd w:id="6"/>
      <w:bookmarkEnd w:id="7"/>
      <w:bookmarkEnd w:id="8"/>
    </w:p>
    <w:p>
      <w:pPr>
        <w:adjustRightInd w:val="0"/>
        <w:snapToGrid w:val="0"/>
        <w:spacing w:line="360" w:lineRule="auto"/>
        <w:ind w:firstLine="560" w:firstLineChars="200"/>
        <w:outlineLvl w:val="2"/>
        <w:rPr>
          <w:rFonts w:hint="eastAsia" w:ascii="仿宋_GB2312" w:hAnsi="仿宋_GB2312" w:eastAsia="仿宋_GB2312" w:cs="仿宋_GB2312"/>
          <w:sz w:val="28"/>
          <w:szCs w:val="28"/>
        </w:rPr>
      </w:pPr>
      <w:bookmarkStart w:id="9" w:name="_Toc35588399"/>
      <w:r>
        <w:rPr>
          <w:rFonts w:hint="eastAsia" w:ascii="仿宋_GB2312" w:hAnsi="仿宋_GB2312" w:eastAsia="仿宋_GB2312" w:cs="仿宋_GB2312"/>
          <w:sz w:val="28"/>
          <w:szCs w:val="28"/>
        </w:rPr>
        <w:t>1.项目绩效总目标</w:t>
      </w:r>
      <w:bookmarkEnd w:id="9"/>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通过本项目的实施，以“大棚房”问题专项清理整治行动为契机，形成目标明确、上下一体、部门联动、职责清晰、标准统一的长效工作机制，坚决防止“大棚房”问题发生反弹。</w:t>
      </w:r>
    </w:p>
    <w:p>
      <w:pPr>
        <w:adjustRightInd w:val="0"/>
        <w:snapToGrid w:val="0"/>
        <w:spacing w:line="360" w:lineRule="auto"/>
        <w:ind w:firstLine="560" w:firstLineChars="200"/>
        <w:outlineLvl w:val="2"/>
        <w:rPr>
          <w:rFonts w:hint="eastAsia" w:ascii="仿宋_GB2312" w:hAnsi="仿宋_GB2312" w:eastAsia="仿宋_GB2312" w:cs="仿宋_GB2312"/>
          <w:sz w:val="28"/>
          <w:szCs w:val="28"/>
        </w:rPr>
      </w:pPr>
      <w:bookmarkStart w:id="10" w:name="_Toc35588400"/>
      <w:r>
        <w:rPr>
          <w:rFonts w:hint="eastAsia" w:ascii="仿宋_GB2312" w:hAnsi="仿宋_GB2312" w:eastAsia="仿宋_GB2312" w:cs="仿宋_GB2312"/>
          <w:sz w:val="28"/>
          <w:szCs w:val="28"/>
        </w:rPr>
        <w:t>2.项目绩效目标</w:t>
      </w:r>
      <w:bookmarkEnd w:id="10"/>
    </w:p>
    <w:p>
      <w:pPr>
        <w:adjustRightInd w:val="0"/>
        <w:snapToGrid w:val="0"/>
        <w:spacing w:line="360" w:lineRule="auto"/>
        <w:ind w:firstLine="560" w:firstLineChars="200"/>
        <w:rPr>
          <w:rFonts w:hint="eastAsia" w:ascii="仿宋_GB2312" w:hAnsi="仿宋_GB2312" w:eastAsia="仿宋_GB2312" w:cs="仿宋_GB2312"/>
          <w:iCs/>
          <w:kern w:val="0"/>
          <w:sz w:val="28"/>
          <w:szCs w:val="28"/>
        </w:rPr>
      </w:pPr>
      <w:r>
        <w:rPr>
          <w:rFonts w:hint="eastAsia" w:ascii="仿宋_GB2312" w:hAnsi="仿宋_GB2312" w:eastAsia="仿宋_GB2312" w:cs="仿宋_GB2312"/>
          <w:iCs/>
          <w:sz w:val="28"/>
          <w:szCs w:val="28"/>
        </w:rPr>
        <w:t>通过</w:t>
      </w:r>
      <w:r>
        <w:rPr>
          <w:rFonts w:hint="eastAsia" w:ascii="仿宋_GB2312" w:hAnsi="仿宋_GB2312" w:eastAsia="仿宋_GB2312" w:cs="仿宋_GB2312"/>
          <w:sz w:val="28"/>
          <w:szCs w:val="28"/>
        </w:rPr>
        <w:t>对2000个经营主体项目开展覆盖巡查工作，进一步建立设施农业监管数据，指导乡镇开展设施农业日常管理工作，提高备案管理的规范性。项目</w:t>
      </w:r>
      <w:r>
        <w:rPr>
          <w:rFonts w:hint="eastAsia" w:ascii="仿宋_GB2312" w:hAnsi="仿宋_GB2312" w:eastAsia="仿宋_GB2312" w:cs="仿宋_GB2312"/>
          <w:iCs/>
          <w:sz w:val="28"/>
          <w:szCs w:val="28"/>
        </w:rPr>
        <w:t>绩效指标如表1所示。</w:t>
      </w:r>
    </w:p>
    <w:p>
      <w:pPr>
        <w:adjustRightInd w:val="0"/>
        <w:snapToGrid w:val="0"/>
        <w:spacing w:line="360" w:lineRule="auto"/>
        <w:ind w:firstLine="480" w:firstLineChars="200"/>
        <w:jc w:val="center"/>
        <w:rPr>
          <w:rFonts w:ascii="黑体" w:hAnsi="黑体" w:eastAsia="黑体" w:cs="黑体"/>
          <w:iCs/>
          <w:kern w:val="0"/>
          <w:sz w:val="24"/>
          <w:szCs w:val="24"/>
        </w:rPr>
      </w:pPr>
      <w:r>
        <w:rPr>
          <w:rFonts w:hint="eastAsia" w:ascii="黑体" w:hAnsi="黑体" w:eastAsia="黑体" w:cs="黑体"/>
          <w:iCs/>
          <w:kern w:val="0"/>
          <w:sz w:val="24"/>
          <w:szCs w:val="24"/>
        </w:rPr>
        <w:t>表1:2023年设施农业长效监管项目绩效指标表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842"/>
        <w:gridCol w:w="4123"/>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82" w:type="pct"/>
            <w:noWrap w:val="0"/>
            <w:vAlign w:val="center"/>
          </w:tcPr>
          <w:p>
            <w:pPr>
              <w:widowControl/>
              <w:jc w:val="center"/>
              <w:rPr>
                <w:rFonts w:ascii="宋体" w:hAnsi="宋体" w:eastAsia="宋体" w:cs="Arial"/>
                <w:b/>
                <w:kern w:val="0"/>
                <w:sz w:val="20"/>
                <w:szCs w:val="20"/>
              </w:rPr>
            </w:pPr>
            <w:r>
              <w:rPr>
                <w:rFonts w:hint="eastAsia" w:ascii="宋体" w:hAnsi="宋体" w:eastAsia="宋体" w:cs="Arial"/>
                <w:b/>
                <w:kern w:val="0"/>
                <w:sz w:val="20"/>
                <w:szCs w:val="20"/>
              </w:rPr>
              <w:t>一级指标</w:t>
            </w:r>
          </w:p>
        </w:tc>
        <w:tc>
          <w:tcPr>
            <w:tcW w:w="1081" w:type="pct"/>
            <w:noWrap w:val="0"/>
            <w:vAlign w:val="center"/>
          </w:tcPr>
          <w:p>
            <w:pPr>
              <w:widowControl/>
              <w:jc w:val="center"/>
              <w:rPr>
                <w:rFonts w:ascii="宋体" w:hAnsi="宋体" w:eastAsia="宋体" w:cs="Arial"/>
                <w:b/>
                <w:kern w:val="0"/>
                <w:sz w:val="20"/>
                <w:szCs w:val="20"/>
              </w:rPr>
            </w:pPr>
            <w:r>
              <w:rPr>
                <w:rFonts w:hint="eastAsia" w:ascii="宋体" w:hAnsi="宋体" w:eastAsia="宋体" w:cs="Arial"/>
                <w:b/>
                <w:kern w:val="0"/>
                <w:sz w:val="20"/>
                <w:szCs w:val="20"/>
              </w:rPr>
              <w:t>二级指标</w:t>
            </w:r>
          </w:p>
        </w:tc>
        <w:tc>
          <w:tcPr>
            <w:tcW w:w="2419" w:type="pct"/>
            <w:noWrap w:val="0"/>
            <w:vAlign w:val="center"/>
          </w:tcPr>
          <w:p>
            <w:pPr>
              <w:widowControl/>
              <w:jc w:val="center"/>
              <w:rPr>
                <w:rFonts w:ascii="宋体" w:hAnsi="宋体" w:eastAsia="宋体" w:cs="Arial"/>
                <w:b/>
                <w:kern w:val="0"/>
                <w:sz w:val="20"/>
                <w:szCs w:val="20"/>
              </w:rPr>
            </w:pPr>
            <w:r>
              <w:rPr>
                <w:rFonts w:hint="eastAsia" w:ascii="宋体" w:hAnsi="宋体" w:eastAsia="宋体" w:cs="Arial"/>
                <w:b/>
                <w:kern w:val="0"/>
                <w:sz w:val="20"/>
                <w:szCs w:val="20"/>
              </w:rPr>
              <w:t>三级指标</w:t>
            </w:r>
          </w:p>
        </w:tc>
        <w:tc>
          <w:tcPr>
            <w:tcW w:w="816" w:type="pct"/>
            <w:noWrap w:val="0"/>
            <w:vAlign w:val="center"/>
          </w:tcPr>
          <w:p>
            <w:pPr>
              <w:widowControl/>
              <w:jc w:val="center"/>
              <w:rPr>
                <w:rFonts w:ascii="宋体" w:hAnsi="宋体" w:eastAsia="宋体" w:cs="Arial"/>
                <w:b/>
                <w:kern w:val="0"/>
                <w:sz w:val="20"/>
                <w:szCs w:val="20"/>
              </w:rPr>
            </w:pPr>
            <w:r>
              <w:rPr>
                <w:rFonts w:hint="eastAsia" w:ascii="宋体" w:hAnsi="宋体" w:eastAsia="宋体" w:cs="Arial"/>
                <w:b/>
                <w:kern w:val="0"/>
                <w:sz w:val="20"/>
                <w:szCs w:val="20"/>
              </w:rPr>
              <w:t>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pct"/>
            <w:vMerge w:val="restart"/>
            <w:noWrap w:val="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产出指标</w:t>
            </w:r>
          </w:p>
        </w:tc>
        <w:tc>
          <w:tcPr>
            <w:tcW w:w="1081" w:type="pct"/>
            <w:noWrap w:val="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数量指标</w:t>
            </w:r>
          </w:p>
        </w:tc>
        <w:tc>
          <w:tcPr>
            <w:tcW w:w="2419" w:type="pct"/>
            <w:noWrap w:val="0"/>
            <w:vAlign w:val="center"/>
          </w:tcPr>
          <w:p>
            <w:pPr>
              <w:widowControl/>
              <w:adjustRightInd w:val="0"/>
              <w:snapToGrid w:val="0"/>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lang w:bidi="ar"/>
              </w:rPr>
              <w:t>巡查设施农业项目数</w:t>
            </w:r>
          </w:p>
        </w:tc>
        <w:tc>
          <w:tcPr>
            <w:tcW w:w="816" w:type="pct"/>
            <w:noWrap w:val="0"/>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lang w:bidi="ar"/>
              </w:rPr>
              <w:t>2000个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pct"/>
            <w:vMerge w:val="continue"/>
            <w:noWrap w:val="0"/>
            <w:vAlign w:val="center"/>
          </w:tcPr>
          <w:p>
            <w:pPr>
              <w:jc w:val="center"/>
              <w:rPr>
                <w:rFonts w:ascii="宋体" w:hAnsi="宋体" w:eastAsia="宋体" w:cs="Arial"/>
                <w:kern w:val="0"/>
                <w:sz w:val="20"/>
                <w:szCs w:val="20"/>
              </w:rPr>
            </w:pPr>
          </w:p>
        </w:tc>
        <w:tc>
          <w:tcPr>
            <w:tcW w:w="1081" w:type="pct"/>
            <w:noWrap w:val="0"/>
            <w:vAlign w:val="center"/>
          </w:tcPr>
          <w:p>
            <w:pPr>
              <w:jc w:val="center"/>
              <w:rPr>
                <w:rFonts w:ascii="宋体" w:hAnsi="宋体" w:eastAsia="宋体" w:cs="Arial"/>
                <w:kern w:val="0"/>
                <w:sz w:val="20"/>
                <w:szCs w:val="20"/>
              </w:rPr>
            </w:pPr>
            <w:r>
              <w:rPr>
                <w:rFonts w:hint="eastAsia" w:ascii="宋体" w:hAnsi="宋体" w:eastAsia="宋体" w:cs="Arial"/>
                <w:kern w:val="0"/>
                <w:sz w:val="20"/>
                <w:szCs w:val="20"/>
              </w:rPr>
              <w:t>质量指标</w:t>
            </w:r>
          </w:p>
        </w:tc>
        <w:tc>
          <w:tcPr>
            <w:tcW w:w="2419" w:type="pct"/>
            <w:noWrap w:val="0"/>
            <w:vAlign w:val="center"/>
          </w:tcPr>
          <w:p>
            <w:pPr>
              <w:widowControl/>
              <w:adjustRightInd w:val="0"/>
              <w:snapToGrid w:val="0"/>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lang w:bidi="ar"/>
              </w:rPr>
              <w:t>设施农业项目</w:t>
            </w:r>
            <w:r>
              <w:rPr>
                <w:rFonts w:hint="eastAsia" w:ascii="宋体" w:hAnsi="宋体" w:eastAsia="宋体" w:cs="宋体"/>
                <w:kern w:val="0"/>
                <w:sz w:val="18"/>
                <w:szCs w:val="18"/>
                <w:lang w:bidi="ar"/>
              </w:rPr>
              <w:t>巡查覆盖率</w:t>
            </w:r>
          </w:p>
        </w:tc>
        <w:tc>
          <w:tcPr>
            <w:tcW w:w="816" w:type="pct"/>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pct"/>
            <w:vMerge w:val="continue"/>
            <w:noWrap w:val="0"/>
            <w:vAlign w:val="center"/>
          </w:tcPr>
          <w:p>
            <w:pPr>
              <w:jc w:val="center"/>
              <w:rPr>
                <w:rFonts w:ascii="宋体" w:hAnsi="宋体" w:eastAsia="宋体" w:cs="Arial"/>
                <w:kern w:val="0"/>
                <w:sz w:val="20"/>
                <w:szCs w:val="20"/>
              </w:rPr>
            </w:pPr>
          </w:p>
        </w:tc>
        <w:tc>
          <w:tcPr>
            <w:tcW w:w="1081" w:type="pct"/>
            <w:noWrap w:val="0"/>
            <w:vAlign w:val="center"/>
          </w:tcPr>
          <w:p>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时效指标</w:t>
            </w:r>
          </w:p>
        </w:tc>
        <w:tc>
          <w:tcPr>
            <w:tcW w:w="2419" w:type="pct"/>
            <w:noWrap w:val="0"/>
            <w:vAlign w:val="center"/>
          </w:tcPr>
          <w:p>
            <w:pPr>
              <w:widowControl/>
              <w:adjustRightInd w:val="0"/>
              <w:snapToGrid w:val="0"/>
              <w:jc w:val="center"/>
              <w:rPr>
                <w:rFonts w:hint="eastAsia" w:ascii="宋体" w:hAnsi="宋体" w:eastAsia="宋体" w:cs="Arial"/>
                <w:color w:val="000000"/>
                <w:kern w:val="0"/>
                <w:sz w:val="20"/>
                <w:szCs w:val="20"/>
                <w:lang w:bidi="ar"/>
              </w:rPr>
            </w:pPr>
            <w:r>
              <w:rPr>
                <w:rFonts w:hint="eastAsia" w:ascii="宋体" w:hAnsi="宋体" w:eastAsia="宋体" w:cs="Arial"/>
                <w:color w:val="000000"/>
                <w:kern w:val="0"/>
                <w:sz w:val="20"/>
                <w:szCs w:val="20"/>
                <w:lang w:bidi="ar"/>
              </w:rPr>
              <w:t>完成设施农业项目巡查时间</w:t>
            </w:r>
          </w:p>
        </w:tc>
        <w:tc>
          <w:tcPr>
            <w:tcW w:w="816" w:type="pct"/>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kern w:val="0"/>
                <w:sz w:val="20"/>
                <w:szCs w:val="20"/>
                <w:lang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pct"/>
            <w:vMerge w:val="continue"/>
            <w:noWrap w:val="0"/>
            <w:vAlign w:val="center"/>
          </w:tcPr>
          <w:p>
            <w:pPr>
              <w:widowControl/>
              <w:jc w:val="center"/>
              <w:rPr>
                <w:rFonts w:ascii="宋体" w:hAnsi="宋体" w:eastAsia="宋体" w:cs="Arial"/>
                <w:kern w:val="0"/>
                <w:sz w:val="20"/>
                <w:szCs w:val="20"/>
              </w:rPr>
            </w:pPr>
          </w:p>
        </w:tc>
        <w:tc>
          <w:tcPr>
            <w:tcW w:w="1081" w:type="pct"/>
            <w:noWrap w:val="0"/>
            <w:vAlign w:val="center"/>
          </w:tcPr>
          <w:p>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成本指标</w:t>
            </w:r>
          </w:p>
        </w:tc>
        <w:tc>
          <w:tcPr>
            <w:tcW w:w="2419" w:type="pct"/>
            <w:noWrap w:val="0"/>
            <w:vAlign w:val="center"/>
          </w:tcPr>
          <w:p>
            <w:pPr>
              <w:widowControl/>
              <w:adjustRightInd w:val="0"/>
              <w:snapToGrid w:val="0"/>
              <w:jc w:val="center"/>
              <w:rPr>
                <w:rFonts w:hint="eastAsia" w:ascii="宋体" w:hAnsi="宋体" w:eastAsia="宋体" w:cs="Arial"/>
                <w:color w:val="000000"/>
                <w:kern w:val="0"/>
                <w:sz w:val="20"/>
                <w:szCs w:val="20"/>
                <w:lang w:bidi="ar"/>
              </w:rPr>
            </w:pPr>
            <w:r>
              <w:rPr>
                <w:rFonts w:hint="eastAsia" w:ascii="宋体" w:hAnsi="宋体" w:eastAsia="宋体" w:cs="Arial"/>
                <w:color w:val="000000"/>
                <w:kern w:val="0"/>
                <w:sz w:val="20"/>
                <w:szCs w:val="20"/>
                <w:lang w:bidi="ar"/>
              </w:rPr>
              <w:t>总成本控制</w:t>
            </w:r>
          </w:p>
        </w:tc>
        <w:tc>
          <w:tcPr>
            <w:tcW w:w="816" w:type="pct"/>
            <w:noWrap w:val="0"/>
            <w:vAlign w:val="center"/>
          </w:tcPr>
          <w:p>
            <w:pPr>
              <w:widowControl/>
              <w:jc w:val="center"/>
              <w:rPr>
                <w:rFonts w:hint="eastAsia" w:ascii="宋体" w:hAnsi="宋体" w:eastAsia="宋体" w:cs="Arial"/>
                <w:kern w:val="0"/>
                <w:sz w:val="20"/>
                <w:szCs w:val="20"/>
              </w:rPr>
            </w:pPr>
            <w:r>
              <w:rPr>
                <w:rFonts w:hint="eastAsia" w:ascii="宋体" w:hAnsi="宋体" w:eastAsia="宋体" w:cs="Arial"/>
                <w:kern w:val="0"/>
                <w:sz w:val="20"/>
                <w:szCs w:val="20"/>
                <w:lang w:bidi="ar"/>
              </w:rPr>
              <w:t>≤150万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pct"/>
            <w:vMerge w:val="restart"/>
            <w:noWrap w:val="0"/>
            <w:vAlign w:val="center"/>
          </w:tcPr>
          <w:p>
            <w:pPr>
              <w:widowControl/>
              <w:jc w:val="center"/>
              <w:rPr>
                <w:rFonts w:ascii="宋体" w:hAnsi="宋体" w:eastAsia="宋体" w:cs="Arial"/>
                <w:kern w:val="0"/>
                <w:sz w:val="20"/>
                <w:szCs w:val="20"/>
              </w:rPr>
            </w:pPr>
            <w:r>
              <w:rPr>
                <w:rFonts w:ascii="宋体" w:hAnsi="宋体" w:eastAsia="宋体" w:cs="Arial"/>
                <w:kern w:val="0"/>
                <w:sz w:val="20"/>
                <w:szCs w:val="20"/>
              </w:rPr>
              <w:t>效益指标</w:t>
            </w:r>
          </w:p>
        </w:tc>
        <w:tc>
          <w:tcPr>
            <w:tcW w:w="1081" w:type="pct"/>
            <w:vMerge w:val="restart"/>
            <w:noWrap w:val="0"/>
            <w:vAlign w:val="center"/>
          </w:tcPr>
          <w:p>
            <w:pPr>
              <w:widowControl/>
              <w:jc w:val="center"/>
              <w:rPr>
                <w:rFonts w:ascii="宋体" w:hAnsi="宋体" w:eastAsia="宋体" w:cs="Arial"/>
                <w:kern w:val="0"/>
                <w:sz w:val="20"/>
                <w:szCs w:val="20"/>
              </w:rPr>
            </w:pPr>
            <w:r>
              <w:rPr>
                <w:rFonts w:ascii="宋体" w:hAnsi="宋体" w:eastAsia="宋体" w:cs="Arial"/>
                <w:kern w:val="0"/>
                <w:sz w:val="20"/>
                <w:szCs w:val="20"/>
              </w:rPr>
              <w:t>社会效益指标</w:t>
            </w:r>
          </w:p>
        </w:tc>
        <w:tc>
          <w:tcPr>
            <w:tcW w:w="2419" w:type="pct"/>
            <w:noWrap w:val="0"/>
            <w:vAlign w:val="center"/>
          </w:tcPr>
          <w:p>
            <w:pPr>
              <w:widowControl/>
              <w:adjustRightInd w:val="0"/>
              <w:snapToGrid w:val="0"/>
              <w:jc w:val="center"/>
              <w:rPr>
                <w:rFonts w:ascii="宋体" w:hAnsi="宋体" w:eastAsia="宋体" w:cs="Arial"/>
                <w:kern w:val="0"/>
                <w:sz w:val="20"/>
                <w:szCs w:val="20"/>
              </w:rPr>
            </w:pPr>
            <w:r>
              <w:rPr>
                <w:rFonts w:ascii="宋体" w:hAnsi="宋体" w:eastAsia="宋体" w:cs="Arial"/>
                <w:kern w:val="0"/>
                <w:sz w:val="20"/>
                <w:szCs w:val="20"/>
                <w:lang w:bidi="ar"/>
              </w:rPr>
              <w:t>规范备案管理、建立设施农业监管数据</w:t>
            </w:r>
          </w:p>
        </w:tc>
        <w:tc>
          <w:tcPr>
            <w:tcW w:w="816" w:type="pct"/>
            <w:noWrap w:val="0"/>
            <w:vAlign w:val="center"/>
          </w:tcPr>
          <w:p>
            <w:pPr>
              <w:widowControl/>
              <w:jc w:val="center"/>
              <w:rPr>
                <w:rFonts w:ascii="宋体" w:hAnsi="宋体" w:eastAsia="宋体" w:cs="Arial"/>
                <w:kern w:val="0"/>
                <w:sz w:val="20"/>
                <w:szCs w:val="20"/>
              </w:rPr>
            </w:pPr>
            <w:r>
              <w:rPr>
                <w:rFonts w:ascii="宋体" w:hAnsi="宋体" w:eastAsia="宋体" w:cs="Arial"/>
                <w:kern w:val="0"/>
                <w:sz w:val="20"/>
                <w:szCs w:val="20"/>
                <w:lang w:bidi="ar"/>
              </w:rPr>
              <w:t>有效提高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pct"/>
            <w:vMerge w:val="continue"/>
            <w:noWrap w:val="0"/>
            <w:vAlign w:val="center"/>
          </w:tcPr>
          <w:p>
            <w:pPr>
              <w:widowControl/>
              <w:jc w:val="center"/>
              <w:rPr>
                <w:rFonts w:ascii="宋体" w:hAnsi="宋体" w:eastAsia="宋体" w:cs="Arial"/>
                <w:kern w:val="0"/>
                <w:sz w:val="20"/>
                <w:szCs w:val="20"/>
              </w:rPr>
            </w:pPr>
          </w:p>
        </w:tc>
        <w:tc>
          <w:tcPr>
            <w:tcW w:w="1081" w:type="pct"/>
            <w:vMerge w:val="continue"/>
            <w:noWrap w:val="0"/>
            <w:vAlign w:val="center"/>
          </w:tcPr>
          <w:p>
            <w:pPr>
              <w:widowControl/>
              <w:jc w:val="center"/>
              <w:rPr>
                <w:rFonts w:ascii="宋体" w:hAnsi="宋体" w:eastAsia="宋体" w:cs="Arial"/>
                <w:kern w:val="0"/>
                <w:sz w:val="20"/>
                <w:szCs w:val="20"/>
              </w:rPr>
            </w:pPr>
          </w:p>
        </w:tc>
        <w:tc>
          <w:tcPr>
            <w:tcW w:w="2419" w:type="pct"/>
            <w:noWrap w:val="0"/>
            <w:vAlign w:val="center"/>
          </w:tcPr>
          <w:p>
            <w:pPr>
              <w:widowControl/>
              <w:adjustRightInd w:val="0"/>
              <w:snapToGrid w:val="0"/>
              <w:jc w:val="center"/>
              <w:rPr>
                <w:rFonts w:ascii="宋体" w:hAnsi="宋体" w:eastAsia="宋体" w:cs="Arial"/>
                <w:kern w:val="0"/>
                <w:sz w:val="20"/>
                <w:szCs w:val="20"/>
                <w:lang w:bidi="ar"/>
              </w:rPr>
            </w:pPr>
            <w:r>
              <w:rPr>
                <w:rFonts w:ascii="宋体" w:hAnsi="宋体" w:eastAsia="宋体" w:cs="Arial"/>
                <w:kern w:val="0"/>
                <w:sz w:val="20"/>
                <w:szCs w:val="20"/>
                <w:lang w:bidi="ar"/>
              </w:rPr>
              <w:t>指导乡镇开展设施农业日常管理工作</w:t>
            </w:r>
          </w:p>
        </w:tc>
        <w:tc>
          <w:tcPr>
            <w:tcW w:w="816" w:type="pct"/>
            <w:noWrap w:val="0"/>
            <w:vAlign w:val="center"/>
          </w:tcPr>
          <w:p>
            <w:pPr>
              <w:widowControl/>
              <w:jc w:val="center"/>
              <w:rPr>
                <w:rFonts w:ascii="宋体" w:hAnsi="宋体" w:eastAsia="宋体" w:cs="Arial"/>
                <w:kern w:val="0"/>
                <w:sz w:val="20"/>
                <w:szCs w:val="20"/>
                <w:lang w:bidi="ar"/>
              </w:rPr>
            </w:pPr>
            <w:r>
              <w:rPr>
                <w:rFonts w:ascii="宋体" w:hAnsi="宋体" w:eastAsia="宋体" w:cs="Arial"/>
                <w:kern w:val="0"/>
                <w:sz w:val="20"/>
                <w:szCs w:val="20"/>
                <w:lang w:bidi="ar"/>
              </w:rPr>
              <w:t>有效提高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pct"/>
            <w:vMerge w:val="restart"/>
            <w:noWrap w:val="0"/>
            <w:vAlign w:val="center"/>
          </w:tcPr>
          <w:p>
            <w:pPr>
              <w:widowControl/>
              <w:adjustRightInd w:val="0"/>
              <w:snapToGrid w:val="0"/>
              <w:jc w:val="center"/>
              <w:rPr>
                <w:rFonts w:ascii="宋体" w:hAnsi="宋体" w:eastAsia="宋体" w:cs="Arial"/>
                <w:kern w:val="0"/>
                <w:sz w:val="20"/>
                <w:szCs w:val="20"/>
              </w:rPr>
            </w:pPr>
            <w:r>
              <w:rPr>
                <w:rFonts w:ascii="宋体" w:hAnsi="宋体" w:eastAsia="宋体" w:cs="Arial"/>
                <w:kern w:val="0"/>
                <w:sz w:val="20"/>
                <w:szCs w:val="20"/>
              </w:rPr>
              <w:t>满意度</w:t>
            </w:r>
          </w:p>
          <w:p>
            <w:pPr>
              <w:widowControl/>
              <w:adjustRightInd w:val="0"/>
              <w:snapToGrid w:val="0"/>
              <w:jc w:val="center"/>
              <w:rPr>
                <w:rFonts w:ascii="宋体" w:hAnsi="宋体" w:eastAsia="宋体" w:cs="Arial"/>
                <w:kern w:val="0"/>
                <w:sz w:val="20"/>
                <w:szCs w:val="20"/>
              </w:rPr>
            </w:pPr>
            <w:r>
              <w:rPr>
                <w:rFonts w:ascii="宋体" w:hAnsi="宋体" w:eastAsia="宋体" w:cs="Arial"/>
                <w:kern w:val="0"/>
                <w:sz w:val="20"/>
                <w:szCs w:val="20"/>
              </w:rPr>
              <w:t>指标</w:t>
            </w:r>
          </w:p>
        </w:tc>
        <w:tc>
          <w:tcPr>
            <w:tcW w:w="1081" w:type="pct"/>
            <w:vMerge w:val="restart"/>
            <w:noWrap w:val="0"/>
            <w:vAlign w:val="center"/>
          </w:tcPr>
          <w:p>
            <w:pPr>
              <w:widowControl/>
              <w:adjustRightInd w:val="0"/>
              <w:snapToGrid w:val="0"/>
              <w:jc w:val="center"/>
              <w:rPr>
                <w:rFonts w:ascii="宋体" w:hAnsi="宋体" w:eastAsia="宋体" w:cs="Arial"/>
                <w:kern w:val="0"/>
                <w:sz w:val="20"/>
                <w:szCs w:val="20"/>
              </w:rPr>
            </w:pPr>
            <w:r>
              <w:rPr>
                <w:rFonts w:ascii="宋体" w:hAnsi="宋体" w:eastAsia="宋体" w:cs="Arial"/>
                <w:kern w:val="0"/>
                <w:sz w:val="20"/>
                <w:szCs w:val="20"/>
              </w:rPr>
              <w:t>服务对象满意度</w:t>
            </w:r>
          </w:p>
        </w:tc>
        <w:tc>
          <w:tcPr>
            <w:tcW w:w="2419" w:type="pct"/>
            <w:noWrap w:val="0"/>
            <w:vAlign w:val="center"/>
          </w:tcPr>
          <w:p>
            <w:pPr>
              <w:widowControl/>
              <w:adjustRightInd w:val="0"/>
              <w:snapToGrid w:val="0"/>
              <w:jc w:val="center"/>
              <w:rPr>
                <w:rFonts w:ascii="宋体" w:hAnsi="宋体" w:eastAsia="宋体" w:cs="Arial"/>
                <w:kern w:val="0"/>
                <w:sz w:val="20"/>
                <w:szCs w:val="20"/>
              </w:rPr>
            </w:pPr>
            <w:r>
              <w:rPr>
                <w:rFonts w:ascii="宋体" w:hAnsi="宋体" w:eastAsia="宋体" w:cs="Arial"/>
                <w:kern w:val="0"/>
                <w:sz w:val="20"/>
                <w:szCs w:val="20"/>
                <w:lang w:bidi="ar"/>
              </w:rPr>
              <w:t>部门领导对监管工作的满意度</w:t>
            </w:r>
          </w:p>
        </w:tc>
        <w:tc>
          <w:tcPr>
            <w:tcW w:w="816" w:type="pct"/>
            <w:noWrap w:val="0"/>
            <w:vAlign w:val="center"/>
          </w:tcPr>
          <w:p>
            <w:pPr>
              <w:widowControl/>
              <w:adjustRightInd w:val="0"/>
              <w:snapToGrid w:val="0"/>
              <w:jc w:val="center"/>
              <w:rPr>
                <w:rFonts w:ascii="宋体" w:hAnsi="宋体" w:eastAsia="宋体" w:cs="Arial"/>
                <w:kern w:val="0"/>
                <w:sz w:val="20"/>
                <w:szCs w:val="20"/>
              </w:rPr>
            </w:pPr>
            <w:r>
              <w:rPr>
                <w:rFonts w:ascii="宋体" w:hAnsi="宋体" w:eastAsia="宋体" w:cs="Arial"/>
                <w:kern w:val="0"/>
                <w:sz w:val="20"/>
                <w:szCs w:val="20"/>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pct"/>
            <w:vMerge w:val="continue"/>
            <w:noWrap w:val="0"/>
            <w:vAlign w:val="center"/>
          </w:tcPr>
          <w:p>
            <w:pPr>
              <w:widowControl/>
              <w:adjustRightInd w:val="0"/>
              <w:snapToGrid w:val="0"/>
              <w:jc w:val="center"/>
              <w:rPr>
                <w:rFonts w:ascii="宋体" w:hAnsi="宋体" w:eastAsia="宋体" w:cs="Arial"/>
                <w:kern w:val="0"/>
                <w:sz w:val="20"/>
                <w:szCs w:val="20"/>
              </w:rPr>
            </w:pPr>
          </w:p>
        </w:tc>
        <w:tc>
          <w:tcPr>
            <w:tcW w:w="1081" w:type="pct"/>
            <w:vMerge w:val="continue"/>
            <w:noWrap w:val="0"/>
            <w:vAlign w:val="center"/>
          </w:tcPr>
          <w:p>
            <w:pPr>
              <w:widowControl/>
              <w:adjustRightInd w:val="0"/>
              <w:snapToGrid w:val="0"/>
              <w:jc w:val="center"/>
              <w:rPr>
                <w:rFonts w:ascii="宋体" w:hAnsi="宋体" w:eastAsia="宋体" w:cs="Arial"/>
                <w:kern w:val="0"/>
                <w:sz w:val="20"/>
                <w:szCs w:val="20"/>
              </w:rPr>
            </w:pPr>
          </w:p>
        </w:tc>
        <w:tc>
          <w:tcPr>
            <w:tcW w:w="2419" w:type="pct"/>
            <w:noWrap w:val="0"/>
            <w:vAlign w:val="center"/>
          </w:tcPr>
          <w:p>
            <w:pPr>
              <w:widowControl/>
              <w:adjustRightInd w:val="0"/>
              <w:snapToGrid w:val="0"/>
              <w:jc w:val="center"/>
              <w:rPr>
                <w:rFonts w:ascii="宋体" w:hAnsi="宋体" w:eastAsia="宋体" w:cs="Arial"/>
                <w:kern w:val="0"/>
                <w:sz w:val="20"/>
                <w:szCs w:val="20"/>
                <w:lang w:bidi="ar"/>
              </w:rPr>
            </w:pPr>
            <w:r>
              <w:rPr>
                <w:rFonts w:ascii="宋体" w:hAnsi="宋体" w:eastAsia="宋体" w:cs="Arial"/>
                <w:kern w:val="0"/>
                <w:sz w:val="20"/>
                <w:szCs w:val="20"/>
                <w:lang w:bidi="ar"/>
              </w:rPr>
              <w:t>监管对象对监管工作的满意度</w:t>
            </w:r>
          </w:p>
        </w:tc>
        <w:tc>
          <w:tcPr>
            <w:tcW w:w="816" w:type="pct"/>
            <w:noWrap w:val="0"/>
            <w:vAlign w:val="center"/>
          </w:tcPr>
          <w:p>
            <w:pPr>
              <w:widowControl/>
              <w:adjustRightInd w:val="0"/>
              <w:snapToGrid w:val="0"/>
              <w:jc w:val="center"/>
              <w:rPr>
                <w:rFonts w:ascii="宋体" w:hAnsi="宋体" w:eastAsia="宋体" w:cs="Arial"/>
                <w:kern w:val="0"/>
                <w:sz w:val="20"/>
                <w:szCs w:val="20"/>
              </w:rPr>
            </w:pPr>
            <w:r>
              <w:rPr>
                <w:rFonts w:ascii="宋体" w:hAnsi="宋体" w:eastAsia="宋体" w:cs="Arial"/>
                <w:kern w:val="0"/>
                <w:sz w:val="20"/>
                <w:szCs w:val="20"/>
                <w:lang w:bidi="ar"/>
              </w:rPr>
              <w:t>≥90%</w:t>
            </w:r>
          </w:p>
        </w:tc>
      </w:tr>
    </w:tbl>
    <w:p>
      <w:pPr>
        <w:pStyle w:val="5"/>
        <w:numPr>
          <w:ilvl w:val="0"/>
          <w:numId w:val="0"/>
        </w:numPr>
        <w:ind w:left="560"/>
      </w:pPr>
    </w:p>
    <w:p>
      <w:pPr>
        <w:adjustRightInd w:val="0"/>
        <w:snapToGrid w:val="0"/>
        <w:spacing w:line="360" w:lineRule="auto"/>
        <w:ind w:firstLine="560" w:firstLineChars="200"/>
        <w:outlineLvl w:val="0"/>
        <w:rPr>
          <w:rFonts w:hint="eastAsia" w:ascii="仿宋_GB2312" w:hAnsi="仿宋_GB2312" w:eastAsia="仿宋_GB2312" w:cs="仿宋_GB2312"/>
          <w:color w:val="000000"/>
          <w:sz w:val="28"/>
          <w:szCs w:val="28"/>
        </w:rPr>
      </w:pPr>
      <w:bookmarkStart w:id="11" w:name="_Toc28218"/>
      <w:bookmarkStart w:id="12" w:name="_Toc135254602"/>
      <w:bookmarkStart w:id="13" w:name="_Toc35588401"/>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绩效评价工作开展情况</w:t>
      </w:r>
      <w:bookmarkEnd w:id="11"/>
      <w:bookmarkEnd w:id="12"/>
      <w:bookmarkEnd w:id="13"/>
    </w:p>
    <w:p>
      <w:pPr>
        <w:adjustRightInd w:val="0"/>
        <w:snapToGrid w:val="0"/>
        <w:spacing w:line="360" w:lineRule="auto"/>
        <w:ind w:firstLine="560" w:firstLineChars="200"/>
        <w:outlineLvl w:val="1"/>
        <w:rPr>
          <w:rFonts w:hint="eastAsia" w:ascii="仿宋_GB2312" w:hAnsi="仿宋_GB2312" w:eastAsia="仿宋_GB2312" w:cs="仿宋_GB2312"/>
          <w:color w:val="000000"/>
          <w:sz w:val="28"/>
          <w:szCs w:val="28"/>
        </w:rPr>
      </w:pPr>
      <w:bookmarkStart w:id="14" w:name="_Toc135254603"/>
      <w:bookmarkStart w:id="15" w:name="_Toc35588402"/>
      <w:bookmarkStart w:id="16" w:name="_Toc24408"/>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绩效评价目的、对象及范围</w:t>
      </w:r>
      <w:bookmarkEnd w:id="14"/>
      <w:bookmarkEnd w:id="15"/>
      <w:bookmarkEnd w:id="16"/>
    </w:p>
    <w:p>
      <w:pPr>
        <w:adjustRightInd w:val="0"/>
        <w:snapToGrid w:val="0"/>
        <w:spacing w:line="360" w:lineRule="auto"/>
        <w:ind w:firstLine="560" w:firstLineChars="200"/>
        <w:rPr>
          <w:rFonts w:hint="eastAsia" w:ascii="仿宋_GB2312" w:hAnsi="仿宋_GB2312" w:eastAsia="仿宋_GB2312" w:cs="仿宋_GB2312"/>
          <w:sz w:val="28"/>
          <w:szCs w:val="28"/>
        </w:rPr>
      </w:pPr>
      <w:bookmarkStart w:id="17" w:name="_Toc35588403"/>
      <w:bookmarkStart w:id="18" w:name="_Toc313007028"/>
      <w:r>
        <w:rPr>
          <w:rFonts w:hint="eastAsia" w:ascii="仿宋_GB2312" w:hAnsi="仿宋_GB2312" w:eastAsia="仿宋_GB2312" w:cs="仿宋_GB2312"/>
          <w:sz w:val="28"/>
          <w:szCs w:val="28"/>
        </w:rPr>
        <w:t>为深入贯彻落实北京市通州区财政局《北京市通州区财政局关于明确近期预算绩效管理相关工作的通知》等文件要求，根据《北京市通州区项目支出绩效评价管理办法》（通财绩效发〔2023〕37号）（以下简称“通财绩效37号文”）文件精神，聚焦我局2023年设施农业长效监管项目资金，围绕决策、过程、产出及效益情况开展重点自评价，总结经验，发现问题，提出改进建议，为部门科学决策和项目规范管理提供参考，提高财政资金配置效率和使用效益。</w:t>
      </w:r>
    </w:p>
    <w:bookmarkEnd w:id="17"/>
    <w:bookmarkEnd w:id="18"/>
    <w:p>
      <w:pPr>
        <w:adjustRightInd w:val="0"/>
        <w:snapToGrid w:val="0"/>
        <w:spacing w:line="360" w:lineRule="auto"/>
        <w:ind w:firstLine="560" w:firstLineChars="200"/>
        <w:outlineLvl w:val="1"/>
        <w:rPr>
          <w:rFonts w:hint="eastAsia" w:ascii="仿宋_GB2312" w:hAnsi="仿宋_GB2312" w:eastAsia="仿宋_GB2312" w:cs="仿宋_GB2312"/>
          <w:color w:val="000000"/>
          <w:sz w:val="28"/>
          <w:szCs w:val="28"/>
        </w:rPr>
      </w:pPr>
      <w:bookmarkStart w:id="19" w:name="_Toc30203"/>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绩效评价原则、评价指标体系、评价方法、评价标准</w:t>
      </w:r>
      <w:bookmarkEnd w:id="19"/>
    </w:p>
    <w:p>
      <w:pPr>
        <w:adjustRightInd w:val="0"/>
        <w:snapToGrid w:val="0"/>
        <w:spacing w:line="360" w:lineRule="auto"/>
        <w:ind w:firstLine="560" w:firstLineChars="200"/>
        <w:outlineLvl w:val="2"/>
        <w:rPr>
          <w:rFonts w:hint="eastAsia" w:ascii="仿宋_GB2312" w:hAnsi="仿宋_GB2312" w:eastAsia="仿宋_GB2312" w:cs="仿宋_GB2312"/>
          <w:bCs/>
          <w:color w:val="000000"/>
          <w:sz w:val="28"/>
          <w:szCs w:val="28"/>
        </w:rPr>
      </w:pPr>
      <w:bookmarkStart w:id="20" w:name="_Toc313007030"/>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1</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评价原则和方法</w:t>
      </w: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本次评价本着问题导向、系统评价、科学客观、讲求绩效</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bCs/>
          <w:color w:val="000000"/>
          <w:sz w:val="28"/>
          <w:szCs w:val="28"/>
        </w:rPr>
        <w:t>原则，</w:t>
      </w:r>
      <w:r>
        <w:rPr>
          <w:rFonts w:hint="eastAsia" w:ascii="仿宋_GB2312" w:hAnsi="仿宋_GB2312" w:eastAsia="仿宋_GB2312" w:cs="仿宋_GB2312"/>
          <w:color w:val="000000"/>
          <w:sz w:val="28"/>
          <w:szCs w:val="28"/>
        </w:rPr>
        <w:t>采用全面评价和重点评价相结合、定性分析与定量分析相结合的方式，运用案卷研究、座谈访谈等方法，对项目决策、过程、产出、效益四方面进行综合评价。</w:t>
      </w:r>
    </w:p>
    <w:p>
      <w:pPr>
        <w:adjustRightInd w:val="0"/>
        <w:snapToGrid w:val="0"/>
        <w:spacing w:line="360" w:lineRule="auto"/>
        <w:ind w:firstLine="560" w:firstLineChars="200"/>
        <w:outlineLvl w:val="2"/>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lang w:eastAsia="zh-CN"/>
        </w:rPr>
        <w:t>（</w:t>
      </w:r>
      <w:r>
        <w:rPr>
          <w:rFonts w:hint="eastAsia" w:ascii="仿宋_GB2312" w:hAnsi="仿宋_GB2312" w:eastAsia="仿宋_GB2312" w:cs="仿宋_GB2312"/>
          <w:bCs/>
          <w:kern w:val="44"/>
          <w:sz w:val="28"/>
          <w:szCs w:val="28"/>
          <w:lang w:val="en-US" w:eastAsia="zh-CN"/>
        </w:rPr>
        <w:t>2</w:t>
      </w:r>
      <w:r>
        <w:rPr>
          <w:rFonts w:hint="eastAsia" w:ascii="仿宋_GB2312" w:hAnsi="仿宋_GB2312" w:eastAsia="仿宋_GB2312" w:cs="仿宋_GB2312"/>
          <w:bCs/>
          <w:kern w:val="44"/>
          <w:sz w:val="28"/>
          <w:szCs w:val="28"/>
          <w:lang w:eastAsia="zh-CN"/>
        </w:rPr>
        <w:t>）</w:t>
      </w:r>
      <w:r>
        <w:rPr>
          <w:rFonts w:hint="eastAsia" w:ascii="仿宋_GB2312" w:hAnsi="仿宋_GB2312" w:eastAsia="仿宋_GB2312" w:cs="仿宋_GB2312"/>
          <w:bCs/>
          <w:kern w:val="44"/>
          <w:sz w:val="28"/>
          <w:szCs w:val="28"/>
        </w:rPr>
        <w:t>评价指标体系</w:t>
      </w:r>
      <w:bookmarkEnd w:id="20"/>
    </w:p>
    <w:p>
      <w:pPr>
        <w:adjustRightInd w:val="0"/>
        <w:snapToGrid w:val="0"/>
        <w:spacing w:line="360" w:lineRule="auto"/>
        <w:ind w:firstLine="560" w:firstLineChars="200"/>
        <w:rPr>
          <w:rFonts w:hint="eastAsia" w:ascii="仿宋_GB2312" w:hAnsi="仿宋_GB2312" w:eastAsia="仿宋_GB2312" w:cs="仿宋_GB2312"/>
          <w:bCs/>
          <w:sz w:val="28"/>
          <w:szCs w:val="28"/>
        </w:rPr>
      </w:pPr>
      <w:bookmarkStart w:id="21" w:name="_Toc313007032"/>
      <w:bookmarkStart w:id="22" w:name="_Toc35588404"/>
      <w:r>
        <w:rPr>
          <w:rFonts w:hint="eastAsia" w:ascii="仿宋_GB2312" w:hAnsi="仿宋_GB2312" w:eastAsia="仿宋_GB2312" w:cs="仿宋_GB2312"/>
          <w:bCs/>
          <w:sz w:val="28"/>
          <w:szCs w:val="28"/>
        </w:rPr>
        <w:t>根据通财绩效37号文相关要求，结合项目特点，细化了项目绩效评价指标体系，详见评分表。</w:t>
      </w:r>
      <w:r>
        <w:rPr>
          <w:rFonts w:hint="eastAsia" w:ascii="仿宋_GB2312" w:hAnsi="仿宋_GB2312" w:eastAsia="仿宋_GB2312" w:cs="仿宋_GB2312"/>
          <w:sz w:val="28"/>
          <w:szCs w:val="28"/>
        </w:rPr>
        <w:t>评价指标体系总分值为100分，其中项目决策10分，项目过程20分，项目产出40分，项目效益30分。</w:t>
      </w:r>
      <w:r>
        <w:rPr>
          <w:rFonts w:hint="eastAsia" w:ascii="仿宋_GB2312" w:hAnsi="仿宋_GB2312" w:eastAsia="仿宋_GB2312" w:cs="仿宋_GB2312"/>
          <w:bCs/>
          <w:sz w:val="28"/>
          <w:szCs w:val="28"/>
        </w:rPr>
        <w:t>绩效评价综合绩效级别分为4个等级：</w:t>
      </w: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Cs/>
          <w:sz w:val="28"/>
          <w:szCs w:val="28"/>
        </w:rPr>
        <w:t>综合得分在90（含）-100分为优；</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综合得分在80（含）-90分为良；</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综合得分在60（含）-80分为中；</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综合得分在60分以下为较差。</w:t>
      </w:r>
    </w:p>
    <w:p>
      <w:pPr>
        <w:tabs>
          <w:tab w:val="left" w:pos="312"/>
        </w:tabs>
        <w:adjustRightInd w:val="0"/>
        <w:snapToGrid w:val="0"/>
        <w:spacing w:line="360" w:lineRule="auto"/>
        <w:ind w:firstLine="560" w:firstLineChars="200"/>
        <w:outlineLvl w:val="2"/>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lang w:eastAsia="zh-CN"/>
        </w:rPr>
        <w:t>（</w:t>
      </w:r>
      <w:r>
        <w:rPr>
          <w:rFonts w:hint="eastAsia" w:ascii="仿宋_GB2312" w:hAnsi="仿宋_GB2312" w:eastAsia="仿宋_GB2312" w:cs="仿宋_GB2312"/>
          <w:bCs/>
          <w:kern w:val="44"/>
          <w:sz w:val="28"/>
          <w:szCs w:val="28"/>
          <w:lang w:val="en-US" w:eastAsia="zh-CN"/>
        </w:rPr>
        <w:t>3</w:t>
      </w:r>
      <w:r>
        <w:rPr>
          <w:rFonts w:hint="eastAsia" w:ascii="仿宋_GB2312" w:hAnsi="仿宋_GB2312" w:eastAsia="仿宋_GB2312" w:cs="仿宋_GB2312"/>
          <w:bCs/>
          <w:kern w:val="44"/>
          <w:sz w:val="28"/>
          <w:szCs w:val="28"/>
          <w:lang w:eastAsia="zh-CN"/>
        </w:rPr>
        <w:t>）</w:t>
      </w:r>
      <w:r>
        <w:rPr>
          <w:rFonts w:hint="eastAsia" w:ascii="仿宋_GB2312" w:hAnsi="仿宋_GB2312" w:eastAsia="仿宋_GB2312" w:cs="仿宋_GB2312"/>
          <w:bCs/>
          <w:kern w:val="44"/>
          <w:sz w:val="28"/>
          <w:szCs w:val="28"/>
        </w:rPr>
        <w:t>评价标准</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绩效评价标准包括计划标准、行业标准、历史标准等，用于对绩效指标完成情况进行比较。</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①</w:t>
      </w:r>
      <w:r>
        <w:rPr>
          <w:rFonts w:hint="eastAsia" w:ascii="仿宋_GB2312" w:hAnsi="仿宋_GB2312" w:eastAsia="仿宋_GB2312" w:cs="仿宋_GB2312"/>
          <w:bCs/>
          <w:sz w:val="28"/>
          <w:szCs w:val="28"/>
        </w:rPr>
        <w:t>计划标准。指以预先制定的目标、计划、预算、定额等作为评价标准。</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②</w:t>
      </w:r>
      <w:r>
        <w:rPr>
          <w:rFonts w:hint="eastAsia" w:ascii="仿宋_GB2312" w:hAnsi="仿宋_GB2312" w:eastAsia="仿宋_GB2312" w:cs="仿宋_GB2312"/>
          <w:bCs/>
          <w:sz w:val="28"/>
          <w:szCs w:val="28"/>
        </w:rPr>
        <w:t>行业标准。指参照国家公布的行业指标数据制定的评价标准。</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③</w:t>
      </w:r>
      <w:r>
        <w:rPr>
          <w:rFonts w:hint="eastAsia" w:ascii="仿宋_GB2312" w:hAnsi="仿宋_GB2312" w:eastAsia="仿宋_GB2312" w:cs="仿宋_GB2312"/>
          <w:bCs/>
          <w:sz w:val="28"/>
          <w:szCs w:val="28"/>
        </w:rPr>
        <w:t>历史标准。指参照历史数据制定的评价标准，为体现绩效改进的原则，在可实现的条件下应当确定相对较高的评价标准。</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④</w:t>
      </w:r>
      <w:r>
        <w:rPr>
          <w:rFonts w:hint="eastAsia" w:ascii="仿宋_GB2312" w:hAnsi="仿宋_GB2312" w:eastAsia="仿宋_GB2312" w:cs="仿宋_GB2312"/>
          <w:bCs/>
          <w:sz w:val="28"/>
          <w:szCs w:val="28"/>
        </w:rPr>
        <w:t>区财政局和预算部门确认或认可的其他标准。</w:t>
      </w:r>
    </w:p>
    <w:p>
      <w:pPr>
        <w:adjustRightInd w:val="0"/>
        <w:snapToGrid w:val="0"/>
        <w:spacing w:line="360" w:lineRule="auto"/>
        <w:ind w:firstLine="560" w:firstLineChars="200"/>
        <w:rPr>
          <w:rFonts w:hint="eastAsia" w:ascii="仿宋_GB2312" w:hAnsi="仿宋_GB2312" w:eastAsia="仿宋_GB2312" w:cs="仿宋_GB2312"/>
          <w:bCs/>
          <w:sz w:val="28"/>
          <w:szCs w:val="28"/>
          <w:lang w:val="en-US" w:eastAsia="zh-CN"/>
        </w:rPr>
      </w:pPr>
      <w:bookmarkStart w:id="23" w:name="_Toc20998"/>
      <w:bookmarkStart w:id="24" w:name="_Toc135254605"/>
      <w:r>
        <w:rPr>
          <w:rFonts w:hint="eastAsia" w:ascii="仿宋_GB2312" w:hAnsi="仿宋_GB2312" w:eastAsia="仿宋_GB2312" w:cs="仿宋_GB2312"/>
          <w:bCs/>
          <w:sz w:val="28"/>
          <w:szCs w:val="28"/>
          <w:lang w:val="en-US" w:eastAsia="zh-CN"/>
        </w:rPr>
        <w:t>3.绩效评价工作过程</w:t>
      </w:r>
      <w:bookmarkEnd w:id="21"/>
      <w:bookmarkEnd w:id="22"/>
      <w:bookmarkEnd w:id="23"/>
      <w:bookmarkEnd w:id="24"/>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iCs/>
          <w:sz w:val="28"/>
          <w:szCs w:val="28"/>
        </w:rPr>
        <w:t>为加强单位预算绩效管理，不断提高财政资金配置和使用效益，我局及时成立了预算绩效管理自评工作小组，专门负责本次绩效自评工作。自评工作中坚持以绩效考核的各项文件精神为指导，</w:t>
      </w:r>
      <w:r>
        <w:rPr>
          <w:rFonts w:hint="eastAsia" w:ascii="仿宋_GB2312" w:hAnsi="仿宋_GB2312" w:eastAsia="仿宋_GB2312" w:cs="仿宋_GB2312"/>
          <w:sz w:val="28"/>
          <w:szCs w:val="28"/>
        </w:rPr>
        <w:t>确定工作方向、重点，及时发现预算绩效管理工作存在的问题并提出合理化建议，审核项目支出绩效自评表、撰写绩效评价报告等。</w:t>
      </w:r>
    </w:p>
    <w:p>
      <w:pPr>
        <w:adjustRightInd w:val="0"/>
        <w:snapToGrid w:val="0"/>
        <w:spacing w:line="360" w:lineRule="auto"/>
        <w:ind w:firstLine="560" w:firstLineChars="200"/>
        <w:outlineLvl w:val="0"/>
        <w:rPr>
          <w:rFonts w:hint="eastAsia" w:ascii="仿宋_GB2312" w:hAnsi="仿宋_GB2312" w:eastAsia="仿宋_GB2312" w:cs="仿宋_GB2312"/>
          <w:sz w:val="28"/>
          <w:szCs w:val="28"/>
        </w:rPr>
      </w:pPr>
      <w:bookmarkStart w:id="25" w:name="_Toc135254606"/>
      <w:bookmarkStart w:id="26" w:name="_Toc35588408"/>
      <w:bookmarkStart w:id="27" w:name="_Toc1082"/>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综合评价情况及评价结论</w:t>
      </w:r>
      <w:bookmarkEnd w:id="25"/>
      <w:bookmarkEnd w:id="26"/>
      <w:bookmarkEnd w:id="27"/>
    </w:p>
    <w:p>
      <w:pPr>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iCs/>
          <w:sz w:val="28"/>
          <w:szCs w:val="28"/>
        </w:rPr>
        <w:t>通过项目的实施，通州</w:t>
      </w:r>
      <w:r>
        <w:rPr>
          <w:rFonts w:hint="eastAsia" w:ascii="仿宋_GB2312" w:hAnsi="仿宋_GB2312" w:eastAsia="仿宋_GB2312" w:cs="仿宋_GB2312"/>
          <w:kern w:val="0"/>
          <w:sz w:val="28"/>
          <w:szCs w:val="28"/>
        </w:rPr>
        <w:t>区所有设施农业大棚均</w:t>
      </w:r>
      <w:r>
        <w:rPr>
          <w:rFonts w:hint="eastAsia" w:ascii="仿宋_GB2312" w:hAnsi="仿宋_GB2312" w:eastAsia="仿宋_GB2312" w:cs="仿宋_GB2312"/>
          <w:sz w:val="28"/>
          <w:szCs w:val="28"/>
        </w:rPr>
        <w:t>建立了设施农业管理台账</w:t>
      </w:r>
      <w:r>
        <w:rPr>
          <w:rFonts w:hint="eastAsia" w:ascii="仿宋_GB2312" w:hAnsi="仿宋_GB2312" w:eastAsia="仿宋_GB2312" w:cs="仿宋_GB2312"/>
          <w:kern w:val="0"/>
          <w:sz w:val="28"/>
          <w:szCs w:val="28"/>
        </w:rPr>
        <w:t>，实行一棚一码上账管理，对农业台账变动情况进行动态监管，设施农业管理规范性有效提高；通过对通州区设施农业的全覆盖日常监管巡查，及时将查处问题反馈至各乡镇有关责任人并要求整改，有效加强了对通州区耕地的保护，遏制了“</w:t>
      </w:r>
      <w:r>
        <w:rPr>
          <w:rFonts w:hint="eastAsia" w:ascii="仿宋_GB2312" w:hAnsi="仿宋_GB2312" w:eastAsia="仿宋_GB2312" w:cs="仿宋_GB2312"/>
          <w:sz w:val="28"/>
          <w:szCs w:val="28"/>
        </w:rPr>
        <w:t>大棚房”问题死灰复燃。</w:t>
      </w:r>
      <w:r>
        <w:rPr>
          <w:rFonts w:hint="eastAsia" w:ascii="仿宋_GB2312" w:hAnsi="仿宋_GB2312" w:eastAsia="仿宋_GB2312" w:cs="仿宋_GB2312"/>
          <w:color w:val="000000"/>
          <w:sz w:val="28"/>
          <w:szCs w:val="28"/>
        </w:rPr>
        <w:t>经评价，2023年设施农业长效监管项目综合评价得分为97.00分，评价等级为“优”。得分情况见表2。</w:t>
      </w:r>
    </w:p>
    <w:p>
      <w:pPr>
        <w:snapToGrid w:val="0"/>
        <w:spacing w:line="360" w:lineRule="auto"/>
        <w:jc w:val="center"/>
        <w:rPr>
          <w:rFonts w:hint="eastAsia" w:ascii="黑体" w:hAnsi="黑体" w:eastAsia="黑体"/>
          <w:sz w:val="24"/>
          <w:szCs w:val="32"/>
        </w:rPr>
      </w:pPr>
      <w:r>
        <w:rPr>
          <w:rFonts w:hint="eastAsia" w:ascii="黑体" w:hAnsi="黑体" w:eastAsia="黑体"/>
          <w:sz w:val="28"/>
          <w:szCs w:val="28"/>
        </w:rPr>
        <w:t>表2：综合评价得分情况表</w:t>
      </w:r>
    </w:p>
    <w:tbl>
      <w:tblPr>
        <w:tblStyle w:val="12"/>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2127"/>
        <w:gridCol w:w="206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069" w:type="dxa"/>
            <w:shd w:val="clear" w:color="auto" w:fill="BEBEBE"/>
            <w:noWrap w:val="0"/>
            <w:vAlign w:val="center"/>
          </w:tcPr>
          <w:p>
            <w:pPr>
              <w:widowControl/>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一级指标</w:t>
            </w:r>
          </w:p>
        </w:tc>
        <w:tc>
          <w:tcPr>
            <w:tcW w:w="2127" w:type="dxa"/>
            <w:shd w:val="clear" w:color="auto" w:fill="BEBEBE"/>
            <w:noWrap w:val="0"/>
            <w:vAlign w:val="center"/>
          </w:tcPr>
          <w:p>
            <w:pPr>
              <w:widowControl/>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c>
          <w:tcPr>
            <w:tcW w:w="2069" w:type="dxa"/>
            <w:shd w:val="clear" w:color="auto" w:fill="BEBEBE"/>
            <w:noWrap w:val="0"/>
            <w:vAlign w:val="center"/>
          </w:tcPr>
          <w:p>
            <w:pPr>
              <w:widowControl/>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得分</w:t>
            </w:r>
          </w:p>
        </w:tc>
        <w:tc>
          <w:tcPr>
            <w:tcW w:w="2239" w:type="dxa"/>
            <w:shd w:val="clear" w:color="auto" w:fill="BEBEBE"/>
            <w:noWrap w:val="0"/>
            <w:vAlign w:val="center"/>
          </w:tcPr>
          <w:p>
            <w:pPr>
              <w:widowControl/>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6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决策</w:t>
            </w:r>
          </w:p>
        </w:tc>
        <w:tc>
          <w:tcPr>
            <w:tcW w:w="2127"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06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223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6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过程</w:t>
            </w:r>
          </w:p>
        </w:tc>
        <w:tc>
          <w:tcPr>
            <w:tcW w:w="2127"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206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19.00</w:t>
            </w:r>
          </w:p>
        </w:tc>
        <w:tc>
          <w:tcPr>
            <w:tcW w:w="223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6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w:t>
            </w:r>
          </w:p>
        </w:tc>
        <w:tc>
          <w:tcPr>
            <w:tcW w:w="2127"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206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223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6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效益</w:t>
            </w:r>
          </w:p>
        </w:tc>
        <w:tc>
          <w:tcPr>
            <w:tcW w:w="2127"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206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28.00</w:t>
            </w:r>
          </w:p>
        </w:tc>
        <w:tc>
          <w:tcPr>
            <w:tcW w:w="2239" w:type="dxa"/>
            <w:noWrap w:val="0"/>
            <w:vAlign w:val="center"/>
          </w:tcPr>
          <w:p>
            <w:pPr>
              <w:widowControl/>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69" w:type="dxa"/>
            <w:noWrap w:val="0"/>
            <w:vAlign w:val="center"/>
          </w:tcPr>
          <w:p>
            <w:pPr>
              <w:widowControl/>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2127" w:type="dxa"/>
            <w:noWrap w:val="0"/>
            <w:vAlign w:val="center"/>
          </w:tcPr>
          <w:p>
            <w:pPr>
              <w:widowControl/>
              <w:adjustRightInd w:val="0"/>
              <w:snapToGrid w:val="0"/>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2069" w:type="dxa"/>
            <w:noWrap w:val="0"/>
            <w:vAlign w:val="center"/>
          </w:tcPr>
          <w:p>
            <w:pPr>
              <w:widowControl/>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97.00</w:t>
            </w:r>
          </w:p>
        </w:tc>
        <w:tc>
          <w:tcPr>
            <w:tcW w:w="2239" w:type="dxa"/>
            <w:noWrap w:val="0"/>
            <w:vAlign w:val="center"/>
          </w:tcPr>
          <w:p>
            <w:pPr>
              <w:widowControl/>
              <w:adjustRightInd w:val="0"/>
              <w:snapToGrid w:val="0"/>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9</w:t>
            </w:r>
            <w:r>
              <w:rPr>
                <w:rFonts w:hint="eastAsia" w:ascii="宋体" w:hAnsi="宋体" w:eastAsia="宋体" w:cs="宋体"/>
                <w:b/>
                <w:bCs/>
                <w:color w:val="000000"/>
                <w:kern w:val="0"/>
                <w:sz w:val="20"/>
                <w:szCs w:val="20"/>
              </w:rPr>
              <w:t>7.00%</w:t>
            </w:r>
          </w:p>
        </w:tc>
      </w:tr>
    </w:tbl>
    <w:p>
      <w:pPr>
        <w:adjustRightInd w:val="0"/>
        <w:snapToGrid w:val="0"/>
        <w:spacing w:line="360" w:lineRule="auto"/>
        <w:rPr>
          <w:rFonts w:hint="eastAsia" w:ascii="仿宋_GB2312"/>
          <w:sz w:val="32"/>
          <w:szCs w:val="32"/>
        </w:rPr>
      </w:pPr>
    </w:p>
    <w:p>
      <w:pPr>
        <w:adjustRightInd w:val="0"/>
        <w:snapToGrid w:val="0"/>
        <w:spacing w:line="360" w:lineRule="auto"/>
        <w:ind w:firstLine="560" w:firstLineChars="200"/>
        <w:outlineLvl w:val="0"/>
        <w:rPr>
          <w:rFonts w:hint="eastAsia" w:ascii="仿宋_GB2312" w:hAnsi="仿宋_GB2312" w:eastAsia="仿宋_GB2312" w:cs="仿宋_GB2312"/>
          <w:sz w:val="28"/>
          <w:szCs w:val="28"/>
        </w:rPr>
      </w:pPr>
      <w:bookmarkStart w:id="28" w:name="_Toc26641"/>
      <w:bookmarkStart w:id="29" w:name="_Toc135254607"/>
      <w:bookmarkStart w:id="30" w:name="_Toc35588409"/>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绩效评价指标分析</w:t>
      </w:r>
      <w:bookmarkEnd w:id="28"/>
      <w:bookmarkEnd w:id="29"/>
      <w:bookmarkEnd w:id="30"/>
    </w:p>
    <w:p>
      <w:pPr>
        <w:adjustRightInd w:val="0"/>
        <w:snapToGrid w:val="0"/>
        <w:spacing w:line="360" w:lineRule="auto"/>
        <w:ind w:firstLine="560" w:firstLineChars="200"/>
        <w:outlineLvl w:val="1"/>
        <w:rPr>
          <w:rFonts w:hint="eastAsia" w:ascii="仿宋_GB2312" w:hAnsi="仿宋_GB2312" w:eastAsia="仿宋_GB2312" w:cs="仿宋_GB2312"/>
          <w:sz w:val="28"/>
          <w:szCs w:val="28"/>
        </w:rPr>
      </w:pPr>
      <w:bookmarkStart w:id="31" w:name="_Toc135254608"/>
      <w:bookmarkStart w:id="32" w:name="_Toc9446"/>
      <w:bookmarkStart w:id="33" w:name="_Toc35588410"/>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项目决策情况</w:t>
      </w:r>
      <w:bookmarkEnd w:id="31"/>
      <w:bookmarkEnd w:id="32"/>
      <w:bookmarkEnd w:id="33"/>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农田和耕地的保护</w:t>
      </w:r>
      <w:r>
        <w:rPr>
          <w:rFonts w:hint="eastAsia" w:ascii="仿宋_GB2312" w:hAnsi="仿宋_GB2312" w:eastAsia="仿宋_GB2312" w:cs="仿宋_GB2312"/>
          <w:sz w:val="28"/>
          <w:szCs w:val="28"/>
        </w:rPr>
        <w:t>离不开设施农业长效监管的支撑，项目的实施能够</w:t>
      </w:r>
      <w:r>
        <w:rPr>
          <w:rFonts w:hint="eastAsia" w:ascii="仿宋_GB2312" w:hAnsi="仿宋_GB2312" w:eastAsia="仿宋_GB2312" w:cs="仿宋_GB2312"/>
          <w:sz w:val="28"/>
          <w:szCs w:val="28"/>
          <w:lang w:bidi="ar"/>
        </w:rPr>
        <w:t>坚决遏制耕地的“非农化”、“非粮化”现象，提高农业、林业设施精细化管理水平</w:t>
      </w:r>
      <w:r>
        <w:rPr>
          <w:rFonts w:hint="eastAsia" w:ascii="仿宋_GB2312" w:hAnsi="仿宋_GB2312" w:eastAsia="仿宋_GB2312" w:cs="仿宋_GB2312"/>
          <w:sz w:val="28"/>
          <w:szCs w:val="28"/>
        </w:rPr>
        <w:t>，项目立项依据充分、立项程序规范，项目设置了绩效目标及指标，资金到位及时、足额，资金落实情况较好。该指标分值10分,得分为10分，得分率100%。评分详见表3。</w:t>
      </w:r>
    </w:p>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表3：决策指标设定及评分情况表</w:t>
      </w:r>
    </w:p>
    <w:tbl>
      <w:tblPr>
        <w:tblStyle w:val="12"/>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835"/>
        <w:gridCol w:w="2975"/>
        <w:gridCol w:w="11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1"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一级指标</w:t>
            </w:r>
          </w:p>
        </w:tc>
        <w:tc>
          <w:tcPr>
            <w:tcW w:w="1084"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二级指标</w:t>
            </w:r>
          </w:p>
        </w:tc>
        <w:tc>
          <w:tcPr>
            <w:tcW w:w="1758"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三级指标</w:t>
            </w:r>
          </w:p>
        </w:tc>
        <w:tc>
          <w:tcPr>
            <w:tcW w:w="670"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分值</w:t>
            </w:r>
          </w:p>
        </w:tc>
        <w:tc>
          <w:tcPr>
            <w:tcW w:w="767"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restart"/>
            <w:noWrap w:val="0"/>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决策</w:t>
            </w:r>
          </w:p>
        </w:tc>
        <w:tc>
          <w:tcPr>
            <w:tcW w:w="1084" w:type="pct"/>
            <w:vMerge w:val="restart"/>
            <w:noWrap w:val="0"/>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项目立项</w:t>
            </w:r>
          </w:p>
        </w:tc>
        <w:tc>
          <w:tcPr>
            <w:tcW w:w="1758" w:type="pct"/>
            <w:noWrap w:val="0"/>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立项依据充分性</w:t>
            </w:r>
          </w:p>
        </w:tc>
        <w:tc>
          <w:tcPr>
            <w:tcW w:w="670" w:type="pct"/>
            <w:noWrap w:val="0"/>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7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kern w:val="0"/>
                <w:sz w:val="20"/>
                <w:szCs w:val="20"/>
              </w:rPr>
            </w:pPr>
            <w:r>
              <w:rPr>
                <w:rFonts w:hint="eastAsia"/>
                <w:sz w:val="20"/>
                <w:szCs w:val="20"/>
              </w:rPr>
              <w:t>2</w:t>
            </w: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084"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758" w:type="pct"/>
            <w:noWrap w:val="0"/>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立项程序规范性</w:t>
            </w:r>
          </w:p>
        </w:tc>
        <w:tc>
          <w:tcPr>
            <w:tcW w:w="670" w:type="pct"/>
            <w:noWrap w:val="0"/>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76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kern w:val="0"/>
                <w:sz w:val="20"/>
                <w:szCs w:val="20"/>
              </w:rPr>
            </w:pPr>
            <w:r>
              <w:rPr>
                <w:rFonts w:hint="eastAsia"/>
                <w:sz w:val="20"/>
                <w:szCs w:val="20"/>
              </w:rPr>
              <w:t>1</w:t>
            </w: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084" w:type="pct"/>
            <w:vMerge w:val="restart"/>
            <w:noWrap w:val="0"/>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绩效目标</w:t>
            </w:r>
          </w:p>
        </w:tc>
        <w:tc>
          <w:tcPr>
            <w:tcW w:w="1758" w:type="pct"/>
            <w:noWrap w:val="0"/>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绩效目标合理性</w:t>
            </w:r>
          </w:p>
        </w:tc>
        <w:tc>
          <w:tcPr>
            <w:tcW w:w="670" w:type="pct"/>
            <w:noWrap w:val="0"/>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76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0"/>
                <w:szCs w:val="20"/>
              </w:rPr>
            </w:pPr>
            <w:r>
              <w:rPr>
                <w:rFonts w:hint="eastAsia"/>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084" w:type="pct"/>
            <w:vMerge w:val="continue"/>
            <w:noWrap w:val="0"/>
            <w:vAlign w:val="center"/>
          </w:tcPr>
          <w:p>
            <w:pPr>
              <w:widowControl/>
              <w:adjustRightInd w:val="0"/>
              <w:snapToGrid w:val="0"/>
              <w:jc w:val="center"/>
              <w:rPr>
                <w:rFonts w:hint="eastAsia" w:ascii="宋体" w:hAnsi="宋体" w:eastAsia="宋体" w:cs="宋体"/>
                <w:kern w:val="0"/>
                <w:sz w:val="20"/>
                <w:szCs w:val="20"/>
              </w:rPr>
            </w:pPr>
          </w:p>
        </w:tc>
        <w:tc>
          <w:tcPr>
            <w:tcW w:w="1758" w:type="pct"/>
            <w:noWrap w:val="0"/>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绩效指标明确性</w:t>
            </w:r>
          </w:p>
        </w:tc>
        <w:tc>
          <w:tcPr>
            <w:tcW w:w="670" w:type="pct"/>
            <w:noWrap w:val="0"/>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6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0"/>
                <w:szCs w:val="20"/>
              </w:rPr>
            </w:pPr>
            <w:r>
              <w:rPr>
                <w:rFonts w:hint="eastAsia"/>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084" w:type="pct"/>
            <w:vMerge w:val="restart"/>
            <w:noWrap w:val="0"/>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资金投入</w:t>
            </w:r>
          </w:p>
        </w:tc>
        <w:tc>
          <w:tcPr>
            <w:tcW w:w="1758" w:type="pct"/>
            <w:noWrap w:val="0"/>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预算编制科学性</w:t>
            </w:r>
          </w:p>
        </w:tc>
        <w:tc>
          <w:tcPr>
            <w:tcW w:w="670" w:type="pct"/>
            <w:noWrap w:val="0"/>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76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kern w:val="0"/>
                <w:sz w:val="20"/>
                <w:szCs w:val="20"/>
              </w:rPr>
            </w:pPr>
            <w:r>
              <w:rPr>
                <w:rFonts w:hint="eastAsia"/>
                <w:sz w:val="20"/>
                <w:szCs w:val="20"/>
              </w:rPr>
              <w:t>2</w:t>
            </w: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084" w:type="pct"/>
            <w:vMerge w:val="continue"/>
            <w:noWrap w:val="0"/>
            <w:vAlign w:val="center"/>
          </w:tcPr>
          <w:p>
            <w:pPr>
              <w:widowControl/>
              <w:adjustRightInd w:val="0"/>
              <w:snapToGrid w:val="0"/>
              <w:jc w:val="center"/>
              <w:rPr>
                <w:rFonts w:hint="eastAsia" w:ascii="宋体" w:hAnsi="宋体" w:eastAsia="宋体" w:cs="宋体"/>
                <w:kern w:val="0"/>
                <w:sz w:val="20"/>
                <w:szCs w:val="20"/>
              </w:rPr>
            </w:pPr>
          </w:p>
        </w:tc>
        <w:tc>
          <w:tcPr>
            <w:tcW w:w="1758" w:type="pct"/>
            <w:noWrap w:val="0"/>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资金分配合理性</w:t>
            </w:r>
          </w:p>
        </w:tc>
        <w:tc>
          <w:tcPr>
            <w:tcW w:w="670" w:type="pct"/>
            <w:noWrap w:val="0"/>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76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0"/>
                <w:szCs w:val="20"/>
              </w:rPr>
            </w:pPr>
            <w:r>
              <w:rPr>
                <w:sz w:val="20"/>
                <w:szCs w:val="20"/>
              </w:rPr>
              <w:t>1</w:t>
            </w:r>
            <w:r>
              <w:rPr>
                <w:rFonts w:hint="eastAsia"/>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63" w:type="pct"/>
            <w:gridSpan w:val="3"/>
            <w:noWrap w:val="0"/>
            <w:vAlign w:val="center"/>
          </w:tcPr>
          <w:p>
            <w:pPr>
              <w:widowControl/>
              <w:adjustRightInd w:val="0"/>
              <w:snapToGrid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合计</w:t>
            </w:r>
          </w:p>
        </w:tc>
        <w:tc>
          <w:tcPr>
            <w:tcW w:w="670" w:type="pct"/>
            <w:noWrap w:val="0"/>
            <w:vAlign w:val="center"/>
          </w:tcPr>
          <w:p>
            <w:pPr>
              <w:widowControl/>
              <w:adjustRightInd w:val="0"/>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10</w:t>
            </w:r>
          </w:p>
        </w:tc>
        <w:tc>
          <w:tcPr>
            <w:tcW w:w="767" w:type="pct"/>
            <w:noWrap w:val="0"/>
            <w:vAlign w:val="center"/>
          </w:tcPr>
          <w:p>
            <w:pPr>
              <w:widowControl/>
              <w:adjustRightInd w:val="0"/>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10</w:t>
            </w:r>
            <w:r>
              <w:rPr>
                <w:rFonts w:ascii="宋体" w:hAnsi="宋体" w:eastAsia="宋体" w:cs="宋体"/>
                <w:b/>
                <w:bCs/>
                <w:kern w:val="0"/>
                <w:sz w:val="20"/>
                <w:szCs w:val="20"/>
              </w:rPr>
              <w:t>.00</w:t>
            </w:r>
          </w:p>
        </w:tc>
      </w:tr>
    </w:tbl>
    <w:p>
      <w:pPr>
        <w:tabs>
          <w:tab w:val="left" w:pos="4065"/>
        </w:tabs>
        <w:adjustRightInd w:val="0"/>
        <w:snapToGrid w:val="0"/>
        <w:spacing w:line="360" w:lineRule="auto"/>
        <w:rPr>
          <w:rFonts w:hint="eastAsia" w:ascii="仿宋_GB2312"/>
          <w:sz w:val="32"/>
          <w:szCs w:val="32"/>
        </w:rPr>
      </w:pPr>
    </w:p>
    <w:p>
      <w:pPr>
        <w:tabs>
          <w:tab w:val="left" w:pos="4065"/>
        </w:tabs>
        <w:adjustRightInd w:val="0"/>
        <w:snapToGrid w:val="0"/>
        <w:spacing w:line="360" w:lineRule="auto"/>
        <w:ind w:firstLine="560" w:firstLineChars="200"/>
        <w:outlineLvl w:val="2"/>
        <w:rPr>
          <w:rFonts w:hint="eastAsia" w:ascii="仿宋_GB2312" w:hAnsi="仿宋_GB2312" w:eastAsia="仿宋_GB2312" w:cs="仿宋_GB2312"/>
          <w:sz w:val="28"/>
          <w:szCs w:val="28"/>
        </w:rPr>
      </w:pPr>
      <w:bookmarkStart w:id="34" w:name="_Toc35588411"/>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项目立项</w:t>
      </w:r>
      <w:bookmarkEnd w:id="34"/>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①</w:t>
      </w:r>
      <w:r>
        <w:rPr>
          <w:rFonts w:hint="eastAsia" w:ascii="仿宋_GB2312" w:hAnsi="仿宋_GB2312" w:eastAsia="仿宋_GB2312" w:cs="仿宋_GB2312"/>
          <w:sz w:val="28"/>
          <w:szCs w:val="28"/>
        </w:rPr>
        <w:t>立项依据充分性</w:t>
      </w:r>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sz w:val="28"/>
          <w:szCs w:val="28"/>
        </w:rPr>
        <w:t>项目依据《关于设施农业用地管理有关问题的通知》(自然资规〔2019〕4号)、《关于严格耕地用途管制有关问题的通知》(自然资发〔2021〕166号)、《关于加强和规范设施农业用地管理的通知》(京规自发〔2021〕162号)和《北京市设施农业用地导则(试行)》(京政农函〔2021〕73号)的相关要求申请立项，与我局内部相关项目无重复无交叉重叠，项目立项依据充分。</w:t>
      </w:r>
    </w:p>
    <w:p>
      <w:pPr>
        <w:adjustRightInd w:val="0"/>
        <w:snapToGrid w:val="0"/>
        <w:spacing w:line="360" w:lineRule="auto"/>
        <w:ind w:firstLine="560" w:firstLineChars="200"/>
        <w:rPr>
          <w:rFonts w:hint="eastAsia" w:ascii="仿宋_GB2312" w:hAnsi="仿宋_GB2312" w:eastAsia="仿宋_GB2312" w:cs="仿宋_GB2312"/>
          <w:i/>
          <w:iCs/>
          <w:sz w:val="28"/>
          <w:szCs w:val="28"/>
        </w:rPr>
      </w:pPr>
      <w:r>
        <w:rPr>
          <w:rFonts w:hint="eastAsia" w:ascii="仿宋_GB2312" w:hAnsi="仿宋_GB2312" w:eastAsia="仿宋_GB2312" w:cs="仿宋_GB2312"/>
          <w:sz w:val="28"/>
          <w:szCs w:val="28"/>
          <w:lang w:val="en-US" w:eastAsia="zh-CN"/>
        </w:rPr>
        <w:t>②</w:t>
      </w:r>
      <w:r>
        <w:rPr>
          <w:rFonts w:hint="eastAsia" w:ascii="仿宋_GB2312" w:hAnsi="仿宋_GB2312" w:eastAsia="仿宋_GB2312" w:cs="仿宋_GB2312"/>
          <w:sz w:val="28"/>
          <w:szCs w:val="28"/>
        </w:rPr>
        <w:t>立项程序规范性</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上述文件要求，结合年度工作任务安排，按照区财政局要求，提交《项目申报文本》《项目支出绩效目标申报表》等申报资料，经局财务室审核，局领导集中决策同意后报区财政局审批。项目立项经过必要的论证程序，立项程序规范完整。</w:t>
      </w:r>
    </w:p>
    <w:p>
      <w:pPr>
        <w:adjustRightInd w:val="0"/>
        <w:snapToGrid w:val="0"/>
        <w:spacing w:line="360" w:lineRule="auto"/>
        <w:ind w:firstLine="560" w:firstLineChars="200"/>
        <w:outlineLvl w:val="2"/>
        <w:rPr>
          <w:rFonts w:hint="eastAsia" w:ascii="仿宋_GB2312" w:hAnsi="仿宋_GB2312" w:eastAsia="仿宋_GB2312" w:cs="仿宋_GB2312"/>
          <w:sz w:val="28"/>
          <w:szCs w:val="28"/>
        </w:rPr>
      </w:pPr>
      <w:bookmarkStart w:id="35" w:name="_Toc35588412"/>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绩效目标</w:t>
      </w:r>
      <w:bookmarkEnd w:id="35"/>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①</w:t>
      </w:r>
      <w:r>
        <w:rPr>
          <w:rFonts w:hint="eastAsia" w:ascii="仿宋_GB2312" w:hAnsi="仿宋_GB2312" w:eastAsia="仿宋_GB2312" w:cs="仿宋_GB2312"/>
          <w:sz w:val="28"/>
          <w:szCs w:val="28"/>
        </w:rPr>
        <w:t>绩效目标合理性</w:t>
      </w:r>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rPr>
        <w:t>结合项目总目标，基于部门履职及以前年度项目完成情况，设定了项目年度绩效目标，主要是“以‘大棚房’问题专项清理整治行动为契机，形成目标明确、上下一体、部门联动、职责清晰、标准统一的长效工作机制，坚决防止‘大棚房’问题发生反弹”。项目绩效目标与实际工作内容相关，绩效目标设置明确合理。</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②</w:t>
      </w:r>
      <w:r>
        <w:rPr>
          <w:rFonts w:hint="eastAsia" w:ascii="仿宋_GB2312" w:hAnsi="仿宋_GB2312" w:eastAsia="仿宋_GB2312" w:cs="仿宋_GB2312"/>
          <w:sz w:val="28"/>
          <w:szCs w:val="28"/>
        </w:rPr>
        <w:t>绩效指标明确性</w:t>
      </w:r>
    </w:p>
    <w:p>
      <w:pPr>
        <w:adjustRightInd w:val="0"/>
        <w:snapToGrid w:val="0"/>
        <w:spacing w:line="360" w:lineRule="auto"/>
        <w:ind w:firstLine="560" w:firstLineChars="200"/>
        <w:rPr>
          <w:rFonts w:hint="eastAsia" w:ascii="仿宋_GB2312" w:hAnsi="仿宋_GB2312" w:eastAsia="仿宋_GB2312" w:cs="仿宋_GB2312"/>
          <w:iCs/>
          <w:sz w:val="28"/>
          <w:szCs w:val="28"/>
        </w:rPr>
      </w:pPr>
      <w:bookmarkStart w:id="36" w:name="_Toc35588413"/>
      <w:r>
        <w:rPr>
          <w:rFonts w:hint="eastAsia" w:ascii="仿宋_GB2312" w:hAnsi="仿宋_GB2312" w:eastAsia="仿宋_GB2312" w:cs="仿宋_GB2312"/>
          <w:iCs/>
          <w:sz w:val="28"/>
          <w:szCs w:val="28"/>
        </w:rPr>
        <w:t>围绕项目年度绩效目标，我局细化设置了年度绩效指标和指标值，绩效指标设置规范合理。</w:t>
      </w:r>
    </w:p>
    <w:p>
      <w:pPr>
        <w:adjustRightInd w:val="0"/>
        <w:snapToGrid w:val="0"/>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资金投入</w:t>
      </w:r>
      <w:bookmarkEnd w:id="36"/>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lang w:val="en-US" w:eastAsia="zh-CN"/>
        </w:rPr>
        <w:t>①</w:t>
      </w:r>
      <w:r>
        <w:rPr>
          <w:rFonts w:hint="eastAsia" w:ascii="仿宋_GB2312" w:hAnsi="仿宋_GB2312" w:eastAsia="仿宋_GB2312" w:cs="仿宋_GB2312"/>
          <w:iCs/>
          <w:sz w:val="28"/>
          <w:szCs w:val="28"/>
        </w:rPr>
        <w:t>预算编制科学性</w:t>
      </w:r>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rPr>
        <w:t>我局根据2023年度拟开展的设施农业长效监管工作量为基础，编制项目年度预算，并参考以前年度费用支出情况、历史合同等相关资料，编制项目支出明细。项目预算编制经过科学论证，测算依据充分，预算与项目内容、资金量及工作任务较匹配。</w:t>
      </w:r>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lang w:val="en-US" w:eastAsia="zh-CN"/>
        </w:rPr>
        <w:t>②</w:t>
      </w:r>
      <w:r>
        <w:rPr>
          <w:rFonts w:hint="eastAsia" w:ascii="仿宋_GB2312" w:hAnsi="仿宋_GB2312" w:eastAsia="仿宋_GB2312" w:cs="仿宋_GB2312"/>
          <w:iCs/>
          <w:sz w:val="28"/>
          <w:szCs w:val="28"/>
        </w:rPr>
        <w:t>资金分配合理性</w:t>
      </w:r>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rPr>
        <w:t>资金分配依据充分，资金分配额度基本合理，资金分配结果能够满足项目年度实际支出。</w:t>
      </w:r>
    </w:p>
    <w:p>
      <w:pPr>
        <w:adjustRightInd w:val="0"/>
        <w:snapToGrid w:val="0"/>
        <w:spacing w:line="360" w:lineRule="auto"/>
        <w:ind w:firstLine="560" w:firstLineChars="200"/>
        <w:outlineLvl w:val="1"/>
        <w:rPr>
          <w:rFonts w:hint="eastAsia" w:ascii="仿宋_GB2312" w:hAnsi="仿宋_GB2312" w:eastAsia="仿宋_GB2312" w:cs="仿宋_GB2312"/>
          <w:sz w:val="28"/>
          <w:szCs w:val="28"/>
        </w:rPr>
      </w:pPr>
      <w:bookmarkStart w:id="37" w:name="_Toc28235"/>
      <w:bookmarkStart w:id="38" w:name="_Toc135254609"/>
      <w:bookmarkStart w:id="39" w:name="_Toc35588414"/>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项目过程情况</w:t>
      </w:r>
      <w:bookmarkEnd w:id="37"/>
      <w:bookmarkEnd w:id="38"/>
      <w:bookmarkEnd w:id="39"/>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rPr>
        <w:t>项目资金足额、及时到位，预算执行率99.78%，资金使用具备完整的支出和审批手续，组织实施及保障条件较好。但还存在项目业务管理制度不够健全，过程管理的精细化水平有待提升等问题。该指标分值20分，得分19.00分，得分率95.00%。评分见表4。</w:t>
      </w:r>
    </w:p>
    <w:p>
      <w:pPr>
        <w:adjustRightInd w:val="0"/>
        <w:snapToGrid w:val="0"/>
        <w:spacing w:line="360" w:lineRule="auto"/>
        <w:jc w:val="center"/>
        <w:rPr>
          <w:rFonts w:ascii="黑体" w:hAnsi="黑体" w:eastAsia="黑体"/>
          <w:iCs/>
          <w:sz w:val="28"/>
          <w:szCs w:val="28"/>
        </w:rPr>
      </w:pPr>
      <w:r>
        <w:rPr>
          <w:rFonts w:hint="eastAsia" w:ascii="黑体" w:hAnsi="黑体" w:eastAsia="黑体"/>
          <w:iCs/>
          <w:sz w:val="28"/>
          <w:szCs w:val="28"/>
        </w:rPr>
        <w:t>表4：过程指标设定及评分情况表</w:t>
      </w:r>
    </w:p>
    <w:tbl>
      <w:tblPr>
        <w:tblStyle w:val="12"/>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835"/>
        <w:gridCol w:w="2975"/>
        <w:gridCol w:w="11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1"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一级指标</w:t>
            </w:r>
          </w:p>
        </w:tc>
        <w:tc>
          <w:tcPr>
            <w:tcW w:w="1084"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二级指标</w:t>
            </w:r>
          </w:p>
        </w:tc>
        <w:tc>
          <w:tcPr>
            <w:tcW w:w="1758"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三级指标</w:t>
            </w:r>
          </w:p>
        </w:tc>
        <w:tc>
          <w:tcPr>
            <w:tcW w:w="670"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分值</w:t>
            </w:r>
          </w:p>
        </w:tc>
        <w:tc>
          <w:tcPr>
            <w:tcW w:w="767" w:type="pct"/>
            <w:shd w:val="clear" w:color="auto" w:fill="BEBEBE"/>
            <w:noWrap w:val="0"/>
            <w:vAlign w:val="center"/>
          </w:tcPr>
          <w:p>
            <w:pPr>
              <w:widowControl/>
              <w:adjustRightInd w:val="0"/>
              <w:snapToGrid w:val="0"/>
              <w:jc w:val="center"/>
              <w:rPr>
                <w:rFonts w:ascii="宋体" w:hAnsi="宋体" w:eastAsia="宋体" w:cs="Arial"/>
                <w:b/>
                <w:bCs/>
                <w:kern w:val="0"/>
                <w:sz w:val="20"/>
                <w:szCs w:val="20"/>
              </w:rPr>
            </w:pPr>
            <w:r>
              <w:rPr>
                <w:rFonts w:hint="eastAsia" w:ascii="宋体" w:hAnsi="宋体" w:eastAsia="宋体" w:cs="Arial"/>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restart"/>
            <w:noWrap w:val="0"/>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过程</w:t>
            </w:r>
          </w:p>
        </w:tc>
        <w:tc>
          <w:tcPr>
            <w:tcW w:w="1084" w:type="pct"/>
            <w:vMerge w:val="restart"/>
            <w:noWrap w:val="0"/>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资金管理</w:t>
            </w:r>
          </w:p>
        </w:tc>
        <w:tc>
          <w:tcPr>
            <w:tcW w:w="1758" w:type="pct"/>
            <w:noWrap w:val="0"/>
            <w:vAlign w:val="center"/>
          </w:tcPr>
          <w:p>
            <w:pPr>
              <w:snapToGrid w:val="0"/>
              <w:jc w:val="center"/>
              <w:rPr>
                <w:rFonts w:ascii="宋体" w:hAnsi="宋体" w:eastAsia="宋体"/>
                <w:sz w:val="20"/>
                <w:szCs w:val="20"/>
              </w:rPr>
            </w:pPr>
            <w:r>
              <w:rPr>
                <w:rFonts w:hint="eastAsia" w:ascii="宋体" w:hAnsi="宋体" w:eastAsia="宋体"/>
                <w:sz w:val="20"/>
                <w:szCs w:val="20"/>
              </w:rPr>
              <w:t>资金到位率</w:t>
            </w:r>
          </w:p>
        </w:tc>
        <w:tc>
          <w:tcPr>
            <w:tcW w:w="670" w:type="pct"/>
            <w:noWrap w:val="0"/>
            <w:vAlign w:val="center"/>
          </w:tcPr>
          <w:p>
            <w:pPr>
              <w:snapToGrid w:val="0"/>
              <w:jc w:val="center"/>
              <w:rPr>
                <w:rFonts w:ascii="宋体" w:hAnsi="宋体" w:eastAsia="宋体"/>
                <w:sz w:val="20"/>
                <w:szCs w:val="20"/>
              </w:rPr>
            </w:pPr>
            <w:r>
              <w:rPr>
                <w:rFonts w:hint="eastAsia" w:ascii="宋体" w:hAnsi="宋体" w:eastAsia="宋体"/>
                <w:sz w:val="20"/>
                <w:szCs w:val="20"/>
              </w:rPr>
              <w:t>2</w:t>
            </w:r>
          </w:p>
        </w:tc>
        <w:tc>
          <w:tcPr>
            <w:tcW w:w="76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084"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758" w:type="pct"/>
            <w:noWrap w:val="0"/>
            <w:vAlign w:val="center"/>
          </w:tcPr>
          <w:p>
            <w:pPr>
              <w:snapToGrid w:val="0"/>
              <w:jc w:val="center"/>
              <w:rPr>
                <w:rFonts w:ascii="宋体" w:hAnsi="宋体" w:eastAsia="宋体"/>
                <w:sz w:val="20"/>
                <w:szCs w:val="20"/>
              </w:rPr>
            </w:pPr>
            <w:r>
              <w:rPr>
                <w:rFonts w:hint="eastAsia" w:ascii="宋体" w:hAnsi="宋体" w:eastAsia="宋体"/>
                <w:sz w:val="20"/>
                <w:szCs w:val="20"/>
              </w:rPr>
              <w:t>预算执行率</w:t>
            </w:r>
          </w:p>
        </w:tc>
        <w:tc>
          <w:tcPr>
            <w:tcW w:w="670" w:type="pct"/>
            <w:noWrap w:val="0"/>
            <w:vAlign w:val="center"/>
          </w:tcPr>
          <w:p>
            <w:pPr>
              <w:snapToGrid w:val="0"/>
              <w:jc w:val="center"/>
              <w:rPr>
                <w:rFonts w:ascii="宋体" w:hAnsi="宋体" w:eastAsia="宋体"/>
                <w:sz w:val="20"/>
                <w:szCs w:val="20"/>
              </w:rPr>
            </w:pPr>
            <w:r>
              <w:rPr>
                <w:rFonts w:hint="eastAsia" w:ascii="宋体" w:hAnsi="宋体" w:eastAsia="宋体"/>
                <w:sz w:val="20"/>
                <w:szCs w:val="20"/>
              </w:rPr>
              <w:t>4</w:t>
            </w:r>
          </w:p>
        </w:tc>
        <w:tc>
          <w:tcPr>
            <w:tcW w:w="767" w:type="pct"/>
            <w:tcBorders>
              <w:top w:val="nil"/>
              <w:left w:val="single" w:color="auto" w:sz="4" w:space="0"/>
              <w:bottom w:val="single" w:color="auto" w:sz="4" w:space="0"/>
              <w:right w:val="single" w:color="auto" w:sz="4" w:space="0"/>
            </w:tcBorders>
            <w:noWrap w:val="0"/>
            <w:vAlign w:val="center"/>
          </w:tcPr>
          <w:p>
            <w:pPr>
              <w:snapToGrid w:val="0"/>
              <w:jc w:val="center"/>
              <w:rPr>
                <w:rFonts w:ascii="宋体" w:hAnsi="宋体" w:eastAsia="宋体"/>
                <w:sz w:val="20"/>
                <w:szCs w:val="20"/>
              </w:rPr>
            </w:pPr>
            <w:r>
              <w:rPr>
                <w:rFonts w:hint="eastAsia" w:ascii="宋体" w:hAnsi="宋体" w:eastAsia="宋体"/>
                <w:sz w:val="20"/>
                <w:szCs w:val="20"/>
              </w:rPr>
              <w:t>4</w:t>
            </w:r>
            <w:r>
              <w:rPr>
                <w:rFonts w:ascii="宋体" w:hAnsi="宋体" w:eastAsia="宋体"/>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084"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758" w:type="pct"/>
            <w:noWrap w:val="0"/>
            <w:vAlign w:val="center"/>
          </w:tcPr>
          <w:p>
            <w:pPr>
              <w:snapToGrid w:val="0"/>
              <w:jc w:val="center"/>
              <w:rPr>
                <w:rFonts w:hint="eastAsia" w:ascii="宋体" w:hAnsi="宋体" w:eastAsia="宋体"/>
                <w:sz w:val="20"/>
                <w:szCs w:val="20"/>
              </w:rPr>
            </w:pPr>
            <w:r>
              <w:rPr>
                <w:rFonts w:hint="eastAsia" w:ascii="宋体" w:hAnsi="宋体" w:eastAsia="宋体"/>
                <w:sz w:val="20"/>
                <w:szCs w:val="20"/>
              </w:rPr>
              <w:t>资金使用合规性</w:t>
            </w:r>
          </w:p>
        </w:tc>
        <w:tc>
          <w:tcPr>
            <w:tcW w:w="670" w:type="pct"/>
            <w:noWrap w:val="0"/>
            <w:vAlign w:val="center"/>
          </w:tcPr>
          <w:p>
            <w:pPr>
              <w:snapToGrid w:val="0"/>
              <w:jc w:val="center"/>
              <w:rPr>
                <w:rFonts w:ascii="宋体" w:hAnsi="宋体" w:eastAsia="宋体"/>
                <w:sz w:val="20"/>
                <w:szCs w:val="20"/>
              </w:rPr>
            </w:pPr>
            <w:r>
              <w:rPr>
                <w:rFonts w:hint="eastAsia" w:ascii="宋体" w:hAnsi="宋体" w:eastAsia="宋体"/>
                <w:sz w:val="20"/>
                <w:szCs w:val="20"/>
              </w:rPr>
              <w:t>4</w:t>
            </w:r>
          </w:p>
        </w:tc>
        <w:tc>
          <w:tcPr>
            <w:tcW w:w="767" w:type="pct"/>
            <w:tcBorders>
              <w:top w:val="nil"/>
              <w:left w:val="single" w:color="auto" w:sz="4" w:space="0"/>
              <w:bottom w:val="single" w:color="auto" w:sz="4" w:space="0"/>
              <w:right w:val="single" w:color="auto" w:sz="4" w:space="0"/>
            </w:tcBorders>
            <w:noWrap w:val="0"/>
            <w:vAlign w:val="center"/>
          </w:tcPr>
          <w:p>
            <w:pPr>
              <w:snapToGrid w:val="0"/>
              <w:jc w:val="center"/>
              <w:rPr>
                <w:rFonts w:ascii="宋体" w:hAnsi="宋体" w:eastAsia="宋体"/>
                <w:sz w:val="20"/>
                <w:szCs w:val="20"/>
              </w:rPr>
            </w:pPr>
            <w:r>
              <w:rPr>
                <w:rFonts w:hint="eastAsia" w:ascii="宋体" w:hAnsi="宋体" w:eastAsia="宋体"/>
                <w:sz w:val="20"/>
                <w:szCs w:val="20"/>
              </w:rPr>
              <w:t>4</w:t>
            </w:r>
            <w:r>
              <w:rPr>
                <w:rFonts w:ascii="宋体" w:hAnsi="宋体" w:eastAsia="宋体"/>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084" w:type="pct"/>
            <w:vMerge w:val="restart"/>
            <w:noWrap w:val="0"/>
            <w:vAlign w:val="center"/>
          </w:tcPr>
          <w:p>
            <w:pPr>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组织实施</w:t>
            </w:r>
          </w:p>
        </w:tc>
        <w:tc>
          <w:tcPr>
            <w:tcW w:w="1758" w:type="pct"/>
            <w:noWrap w:val="0"/>
            <w:vAlign w:val="center"/>
          </w:tcPr>
          <w:p>
            <w:pPr>
              <w:snapToGrid w:val="0"/>
              <w:jc w:val="center"/>
              <w:rPr>
                <w:rFonts w:ascii="宋体" w:hAnsi="宋体" w:eastAsia="宋体"/>
                <w:sz w:val="20"/>
                <w:szCs w:val="20"/>
              </w:rPr>
            </w:pPr>
            <w:r>
              <w:rPr>
                <w:rFonts w:hint="eastAsia" w:ascii="宋体" w:hAnsi="宋体" w:eastAsia="宋体"/>
                <w:sz w:val="20"/>
                <w:szCs w:val="20"/>
              </w:rPr>
              <w:t>管理制度健全性</w:t>
            </w:r>
          </w:p>
        </w:tc>
        <w:tc>
          <w:tcPr>
            <w:tcW w:w="670" w:type="pct"/>
            <w:noWrap w:val="0"/>
            <w:vAlign w:val="center"/>
          </w:tcPr>
          <w:p>
            <w:pPr>
              <w:snapToGrid w:val="0"/>
              <w:jc w:val="center"/>
              <w:rPr>
                <w:rFonts w:ascii="宋体" w:hAnsi="宋体" w:eastAsia="宋体"/>
                <w:sz w:val="20"/>
                <w:szCs w:val="20"/>
              </w:rPr>
            </w:pPr>
            <w:r>
              <w:rPr>
                <w:rFonts w:hint="eastAsia" w:ascii="宋体" w:hAnsi="宋体" w:eastAsia="宋体"/>
                <w:sz w:val="20"/>
                <w:szCs w:val="20"/>
              </w:rPr>
              <w:t>5</w:t>
            </w:r>
          </w:p>
        </w:tc>
        <w:tc>
          <w:tcPr>
            <w:tcW w:w="767" w:type="pct"/>
            <w:tcBorders>
              <w:top w:val="nil"/>
              <w:left w:val="single" w:color="auto" w:sz="4" w:space="0"/>
              <w:bottom w:val="single" w:color="auto" w:sz="4" w:space="0"/>
              <w:right w:val="single" w:color="auto" w:sz="4" w:space="0"/>
            </w:tcBorders>
            <w:noWrap w:val="0"/>
            <w:vAlign w:val="center"/>
          </w:tcPr>
          <w:p>
            <w:pPr>
              <w:snapToGrid w:val="0"/>
              <w:jc w:val="center"/>
              <w:rPr>
                <w:rFonts w:ascii="宋体" w:hAnsi="宋体" w:eastAsia="宋体"/>
                <w:sz w:val="20"/>
                <w:szCs w:val="20"/>
              </w:rPr>
            </w:pPr>
            <w:r>
              <w:rPr>
                <w:rFonts w:hint="eastAsia" w:ascii="宋体" w:hAnsi="宋体" w:eastAsia="宋体"/>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noWrap w:val="0"/>
            <w:vAlign w:val="center"/>
          </w:tcPr>
          <w:p>
            <w:pPr>
              <w:widowControl/>
              <w:adjustRightInd w:val="0"/>
              <w:snapToGrid w:val="0"/>
              <w:jc w:val="center"/>
              <w:rPr>
                <w:rFonts w:ascii="宋体" w:hAnsi="宋体" w:eastAsia="宋体" w:cs="宋体"/>
                <w:kern w:val="0"/>
                <w:sz w:val="20"/>
                <w:szCs w:val="20"/>
              </w:rPr>
            </w:pPr>
          </w:p>
        </w:tc>
        <w:tc>
          <w:tcPr>
            <w:tcW w:w="1084" w:type="pct"/>
            <w:vMerge w:val="continue"/>
            <w:noWrap w:val="0"/>
            <w:vAlign w:val="center"/>
          </w:tcPr>
          <w:p>
            <w:pPr>
              <w:widowControl/>
              <w:adjustRightInd w:val="0"/>
              <w:snapToGrid w:val="0"/>
              <w:jc w:val="center"/>
              <w:rPr>
                <w:rFonts w:hint="eastAsia" w:ascii="宋体" w:hAnsi="宋体" w:eastAsia="宋体" w:cs="宋体"/>
                <w:kern w:val="0"/>
                <w:sz w:val="20"/>
                <w:szCs w:val="20"/>
              </w:rPr>
            </w:pPr>
          </w:p>
        </w:tc>
        <w:tc>
          <w:tcPr>
            <w:tcW w:w="1758" w:type="pct"/>
            <w:noWrap w:val="0"/>
            <w:vAlign w:val="center"/>
          </w:tcPr>
          <w:p>
            <w:pPr>
              <w:snapToGrid w:val="0"/>
              <w:jc w:val="center"/>
              <w:rPr>
                <w:rFonts w:hint="eastAsia" w:ascii="宋体" w:hAnsi="宋体" w:eastAsia="宋体"/>
                <w:sz w:val="20"/>
                <w:szCs w:val="20"/>
              </w:rPr>
            </w:pPr>
            <w:r>
              <w:rPr>
                <w:rFonts w:hint="eastAsia" w:ascii="宋体" w:hAnsi="宋体" w:eastAsia="宋体"/>
                <w:sz w:val="20"/>
                <w:szCs w:val="20"/>
              </w:rPr>
              <w:t>制度执行有效性</w:t>
            </w:r>
          </w:p>
        </w:tc>
        <w:tc>
          <w:tcPr>
            <w:tcW w:w="670" w:type="pct"/>
            <w:noWrap w:val="0"/>
            <w:vAlign w:val="center"/>
          </w:tcPr>
          <w:p>
            <w:pPr>
              <w:snapToGrid w:val="0"/>
              <w:jc w:val="center"/>
              <w:rPr>
                <w:rFonts w:ascii="宋体" w:hAnsi="宋体" w:eastAsia="宋体"/>
                <w:sz w:val="20"/>
                <w:szCs w:val="20"/>
              </w:rPr>
            </w:pPr>
            <w:r>
              <w:rPr>
                <w:rFonts w:hint="eastAsia" w:ascii="宋体" w:hAnsi="宋体" w:eastAsia="宋体"/>
                <w:sz w:val="20"/>
                <w:szCs w:val="20"/>
              </w:rPr>
              <w:t>5</w:t>
            </w:r>
          </w:p>
        </w:tc>
        <w:tc>
          <w:tcPr>
            <w:tcW w:w="767" w:type="pct"/>
            <w:tcBorders>
              <w:top w:val="nil"/>
              <w:left w:val="single" w:color="auto" w:sz="4" w:space="0"/>
              <w:bottom w:val="single" w:color="auto" w:sz="4" w:space="0"/>
              <w:right w:val="single" w:color="auto" w:sz="4" w:space="0"/>
            </w:tcBorders>
            <w:noWrap w:val="0"/>
            <w:vAlign w:val="center"/>
          </w:tcPr>
          <w:p>
            <w:pPr>
              <w:snapToGrid w:val="0"/>
              <w:jc w:val="center"/>
              <w:rPr>
                <w:rFonts w:ascii="宋体" w:hAnsi="宋体" w:eastAsia="宋体"/>
                <w:sz w:val="20"/>
                <w:szCs w:val="20"/>
              </w:rPr>
            </w:pPr>
            <w:r>
              <w:rPr>
                <w:rFonts w:hint="eastAsia" w:ascii="宋体" w:hAnsi="宋体" w:eastAsia="宋体"/>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63" w:type="pct"/>
            <w:gridSpan w:val="3"/>
            <w:noWrap w:val="0"/>
            <w:vAlign w:val="center"/>
          </w:tcPr>
          <w:p>
            <w:pPr>
              <w:widowControl/>
              <w:adjustRightInd w:val="0"/>
              <w:snapToGrid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合计</w:t>
            </w:r>
          </w:p>
        </w:tc>
        <w:tc>
          <w:tcPr>
            <w:tcW w:w="670" w:type="pct"/>
            <w:noWrap w:val="0"/>
            <w:vAlign w:val="center"/>
          </w:tcPr>
          <w:p>
            <w:pPr>
              <w:widowControl/>
              <w:adjustRightInd w:val="0"/>
              <w:snapToGrid w:val="0"/>
              <w:jc w:val="center"/>
              <w:rPr>
                <w:rFonts w:ascii="宋体" w:hAnsi="宋体" w:eastAsia="宋体" w:cs="宋体"/>
                <w:b/>
                <w:bCs/>
                <w:kern w:val="0"/>
                <w:sz w:val="20"/>
                <w:szCs w:val="20"/>
              </w:rPr>
            </w:pPr>
            <w:r>
              <w:rPr>
                <w:rFonts w:ascii="宋体" w:hAnsi="宋体" w:eastAsia="宋体" w:cs="宋体"/>
                <w:b/>
                <w:bCs/>
                <w:kern w:val="0"/>
                <w:sz w:val="20"/>
                <w:szCs w:val="20"/>
              </w:rPr>
              <w:t>20</w:t>
            </w:r>
          </w:p>
        </w:tc>
        <w:tc>
          <w:tcPr>
            <w:tcW w:w="767" w:type="pct"/>
            <w:noWrap w:val="0"/>
            <w:vAlign w:val="center"/>
          </w:tcPr>
          <w:p>
            <w:pPr>
              <w:widowControl/>
              <w:adjustRightInd w:val="0"/>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19.00</w:t>
            </w:r>
          </w:p>
        </w:tc>
      </w:tr>
    </w:tbl>
    <w:p>
      <w:pPr>
        <w:adjustRightInd w:val="0"/>
        <w:snapToGrid w:val="0"/>
        <w:spacing w:before="408" w:beforeLines="100" w:line="360" w:lineRule="auto"/>
        <w:ind w:firstLine="560" w:firstLineChars="200"/>
        <w:outlineLvl w:val="2"/>
        <w:rPr>
          <w:rFonts w:hint="eastAsia" w:ascii="仿宋_GB2312" w:hAnsi="仿宋_GB2312" w:eastAsia="仿宋_GB2312" w:cs="仿宋_GB2312"/>
          <w:i/>
          <w:iCs/>
          <w:color w:val="FF0000"/>
          <w:kern w:val="0"/>
          <w:sz w:val="28"/>
          <w:szCs w:val="28"/>
        </w:rPr>
      </w:pPr>
      <w:bookmarkStart w:id="40" w:name="_Toc35588415"/>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资金管理</w:t>
      </w:r>
      <w:bookmarkEnd w:id="40"/>
    </w:p>
    <w:p>
      <w:pPr>
        <w:adjustRightInd w:val="0"/>
        <w:snapToGrid w:val="0"/>
        <w:spacing w:line="360" w:lineRule="auto"/>
        <w:ind w:firstLine="560" w:firstLineChars="200"/>
        <w:rPr>
          <w:rFonts w:hint="eastAsia" w:ascii="仿宋_GB2312" w:hAnsi="仿宋_GB2312" w:eastAsia="仿宋_GB2312" w:cs="仿宋_GB2312"/>
          <w:iCs/>
          <w:kern w:val="0"/>
          <w:sz w:val="28"/>
          <w:szCs w:val="28"/>
        </w:rPr>
      </w:pPr>
      <w:r>
        <w:rPr>
          <w:rFonts w:hint="eastAsia" w:ascii="仿宋_GB2312" w:hAnsi="仿宋_GB2312" w:eastAsia="仿宋_GB2312" w:cs="仿宋_GB2312"/>
          <w:iCs/>
          <w:kern w:val="0"/>
          <w:sz w:val="28"/>
          <w:szCs w:val="28"/>
          <w:lang w:val="en-US" w:eastAsia="zh-CN"/>
        </w:rPr>
        <w:t>①</w:t>
      </w:r>
      <w:r>
        <w:rPr>
          <w:rFonts w:hint="eastAsia" w:ascii="仿宋_GB2312" w:hAnsi="仿宋_GB2312" w:eastAsia="仿宋_GB2312" w:cs="仿宋_GB2312"/>
          <w:iCs/>
          <w:kern w:val="0"/>
          <w:sz w:val="28"/>
          <w:szCs w:val="28"/>
        </w:rPr>
        <w:t>资金到位率、预算执行率</w:t>
      </w:r>
    </w:p>
    <w:p>
      <w:pPr>
        <w:adjustRightInd w:val="0"/>
        <w:snapToGrid w:val="0"/>
        <w:spacing w:line="360" w:lineRule="auto"/>
        <w:ind w:firstLine="560" w:firstLineChars="200"/>
        <w:rPr>
          <w:rFonts w:hint="eastAsia" w:ascii="仿宋_GB2312" w:hAnsi="仿宋_GB2312" w:eastAsia="仿宋_GB2312" w:cs="仿宋_GB2312"/>
          <w:iCs/>
          <w:kern w:val="0"/>
          <w:sz w:val="28"/>
          <w:szCs w:val="28"/>
        </w:rPr>
      </w:pPr>
      <w:r>
        <w:rPr>
          <w:rFonts w:hint="eastAsia" w:ascii="仿宋_GB2312" w:hAnsi="仿宋_GB2312" w:eastAsia="仿宋_GB2312" w:cs="仿宋_GB2312"/>
          <w:iCs/>
          <w:kern w:val="0"/>
          <w:sz w:val="28"/>
          <w:szCs w:val="28"/>
        </w:rPr>
        <w:t>区财政局下达2023年设施农业长效监管项目预算资金150万元，预算资金到位率100%，到位及时，落实情况良好。2023年项目实际支出149.67万元，资金执行率为99.78%。</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②</w:t>
      </w:r>
      <w:r>
        <w:rPr>
          <w:rFonts w:hint="eastAsia" w:ascii="仿宋_GB2312" w:hAnsi="仿宋_GB2312" w:eastAsia="仿宋_GB2312" w:cs="仿宋_GB2312"/>
          <w:kern w:val="0"/>
          <w:sz w:val="28"/>
          <w:szCs w:val="28"/>
        </w:rPr>
        <w:t>资金使用合规性</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我局</w:t>
      </w:r>
      <w:r>
        <w:rPr>
          <w:rFonts w:hint="eastAsia" w:ascii="仿宋_GB2312" w:hAnsi="仿宋_GB2312" w:eastAsia="仿宋_GB2312" w:cs="仿宋_GB2312"/>
          <w:kern w:val="0"/>
          <w:sz w:val="28"/>
          <w:szCs w:val="28"/>
        </w:rPr>
        <w:t>根据财务管理制度、项目经费管理制度等制度要求进行资金使用和财务管控，项目资金单独核算。项目财务数据真实、准确，会计核算规范。项目经费按照合同要求支付，未出现年底集中支付的情况。</w:t>
      </w:r>
    </w:p>
    <w:p>
      <w:pPr>
        <w:autoSpaceDE w:val="0"/>
        <w:autoSpaceDN w:val="0"/>
        <w:adjustRightInd w:val="0"/>
        <w:snapToGrid w:val="0"/>
        <w:spacing w:line="360" w:lineRule="auto"/>
        <w:ind w:firstLine="560" w:firstLineChars="200"/>
        <w:outlineLvl w:val="2"/>
        <w:rPr>
          <w:rFonts w:hint="eastAsia" w:ascii="仿宋_GB2312" w:hAnsi="仿宋_GB2312" w:eastAsia="仿宋_GB2312" w:cs="仿宋_GB2312"/>
          <w:color w:val="000000"/>
          <w:kern w:val="0"/>
          <w:sz w:val="28"/>
          <w:szCs w:val="28"/>
        </w:rPr>
      </w:pPr>
      <w:bookmarkStart w:id="41" w:name="_Toc35588416"/>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组织实施</w:t>
      </w:r>
      <w:bookmarkEnd w:id="41"/>
    </w:p>
    <w:p>
      <w:pPr>
        <w:adjustRightInd w:val="0"/>
        <w:snapToGrid w:val="0"/>
        <w:spacing w:line="360" w:lineRule="auto"/>
        <w:ind w:firstLine="560" w:firstLineChars="200"/>
        <w:rPr>
          <w:rFonts w:hint="eastAsia" w:ascii="仿宋_GB2312" w:hAnsi="仿宋_GB2312" w:eastAsia="仿宋_GB2312" w:cs="仿宋_GB2312"/>
          <w:iCs/>
          <w:kern w:val="0"/>
          <w:sz w:val="28"/>
          <w:szCs w:val="28"/>
        </w:rPr>
      </w:pPr>
      <w:r>
        <w:rPr>
          <w:rFonts w:hint="eastAsia" w:ascii="仿宋_GB2312" w:hAnsi="仿宋_GB2312" w:eastAsia="仿宋_GB2312" w:cs="仿宋_GB2312"/>
          <w:iCs/>
          <w:kern w:val="0"/>
          <w:sz w:val="28"/>
          <w:szCs w:val="28"/>
          <w:lang w:val="en-US" w:eastAsia="zh-CN"/>
        </w:rPr>
        <w:t>①</w:t>
      </w:r>
      <w:r>
        <w:rPr>
          <w:rFonts w:hint="eastAsia" w:ascii="仿宋_GB2312" w:hAnsi="仿宋_GB2312" w:eastAsia="仿宋_GB2312" w:cs="仿宋_GB2312"/>
          <w:iCs/>
          <w:kern w:val="0"/>
          <w:sz w:val="28"/>
          <w:szCs w:val="28"/>
        </w:rPr>
        <w:t>管理制度健全性</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在项目实施过程中，按照相关的业务和财务管理制度执行，管理制度基本健全，为项目执行奠定了良好的制度保障基础。</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②</w:t>
      </w:r>
      <w:r>
        <w:rPr>
          <w:rFonts w:hint="eastAsia" w:ascii="仿宋_GB2312" w:hAnsi="仿宋_GB2312" w:eastAsia="仿宋_GB2312" w:cs="仿宋_GB2312"/>
          <w:kern w:val="0"/>
          <w:sz w:val="28"/>
          <w:szCs w:val="28"/>
        </w:rPr>
        <w:t>制度执行有效性</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项目执行方面，</w:t>
      </w:r>
      <w:r>
        <w:rPr>
          <w:rFonts w:hint="eastAsia" w:ascii="仿宋_GB2312" w:hAnsi="仿宋_GB2312" w:eastAsia="仿宋_GB2312" w:cs="仿宋_GB2312"/>
          <w:sz w:val="28"/>
          <w:szCs w:val="28"/>
        </w:rPr>
        <w:t>区级成立了协调推进工作专班，明确区级部门和乡镇、村集体和生产经营主体的工作职责，并且建立了问题线索移送机制和退出机制，对在“大棚房”问题清理整治中出现的各种问题移送纪检监察部门严肃处理；对各级有关部门明确提出工作要求，严格按照乡镇月度检查，村级日常管理开展监管工作。</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Cs/>
          <w:sz w:val="28"/>
          <w:szCs w:val="28"/>
        </w:rPr>
        <w:t>项目采购方面，严格按照政府采购法有关管理要求进行首先，经局务会论证审核通过后，确定招投标代理公司，由其发布招标公告、遴选确定中标单位为北京君玥生态农业发展有限公司，第三方服务公司的遴选程序明确，遴选过程规范，符合相关规定及要求。</w:t>
      </w:r>
      <w:r>
        <w:rPr>
          <w:rFonts w:hint="eastAsia" w:ascii="仿宋_GB2312" w:hAnsi="仿宋_GB2312" w:eastAsia="仿宋_GB2312" w:cs="仿宋_GB2312"/>
          <w:sz w:val="28"/>
          <w:szCs w:val="28"/>
        </w:rPr>
        <w:t>项目实施过程管理方面，服务供应商按照合同要求开展日常巡查、检查工作，通州区召开4次“大棚房”专班工作部署会，在提高农业、林业设施精细化管理水平、加快推进“大棚房”清理整治工作整改落实方面成效显著。管理资料较完善、较规范。但</w:t>
      </w:r>
      <w:r>
        <w:rPr>
          <w:rFonts w:hint="eastAsia" w:ascii="仿宋_GB2312" w:hAnsi="仿宋_GB2312" w:eastAsia="仿宋_GB2312" w:cs="仿宋_GB2312"/>
          <w:kern w:val="0"/>
          <w:sz w:val="28"/>
          <w:szCs w:val="28"/>
        </w:rPr>
        <w:t>项目实施过程我局对第三方的过程监督管理还不够到位，按照合同约定“</w:t>
      </w:r>
      <w:r>
        <w:rPr>
          <w:rFonts w:hint="eastAsia" w:ascii="仿宋_GB2312" w:hAnsi="仿宋_GB2312" w:eastAsia="仿宋_GB2312" w:cs="仿宋_GB2312"/>
          <w:sz w:val="28"/>
          <w:szCs w:val="28"/>
        </w:rPr>
        <w:t>区农业农村局每月单独或者旁站监督第三方的现场检查，抽取一定数量的设施农业项目进行复核或现场检查”，我局采取旁站监督的方式进行现场检查，但未能</w:t>
      </w:r>
      <w:r>
        <w:rPr>
          <w:rFonts w:hint="eastAsia" w:ascii="仿宋_GB2312" w:hAnsi="仿宋_GB2312" w:eastAsia="仿宋_GB2312" w:cs="仿宋_GB2312"/>
          <w:kern w:val="0"/>
          <w:sz w:val="28"/>
          <w:szCs w:val="28"/>
        </w:rPr>
        <w:t>形成过程监督管理资料，“留痕”意识不足。</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总体上，项目在任务执行、委托单位遴选方式和程序、过程监督管理等方面严格按照相关制度及要求执行，执行较有效。但项目过程精细化管理有待进一步提高。</w:t>
      </w:r>
    </w:p>
    <w:p>
      <w:pPr>
        <w:autoSpaceDE w:val="0"/>
        <w:autoSpaceDN w:val="0"/>
        <w:adjustRightInd w:val="0"/>
        <w:snapToGrid w:val="0"/>
        <w:spacing w:line="360" w:lineRule="auto"/>
        <w:ind w:firstLine="560" w:firstLineChars="200"/>
        <w:outlineLvl w:val="1"/>
        <w:rPr>
          <w:rFonts w:hint="eastAsia" w:ascii="仿宋_GB2312" w:hAnsi="仿宋_GB2312" w:eastAsia="仿宋_GB2312" w:cs="仿宋_GB2312"/>
          <w:color w:val="000000"/>
          <w:kern w:val="0"/>
          <w:sz w:val="28"/>
          <w:szCs w:val="28"/>
        </w:rPr>
      </w:pPr>
      <w:bookmarkStart w:id="42" w:name="_Toc135254610"/>
      <w:bookmarkStart w:id="43" w:name="_Toc10144"/>
      <w:bookmarkStart w:id="44" w:name="_Toc35588417"/>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项目产出情况</w:t>
      </w:r>
      <w:bookmarkEnd w:id="42"/>
      <w:bookmarkEnd w:id="43"/>
      <w:bookmarkEnd w:id="44"/>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rPr>
        <w:t>项目2023年度主要产出基本按照预期目标完成，产出质量较好，项目实施过程中采取了一定的成本节约措施。该指标分值40分，得分40分，得分率100%。评分见表5。</w:t>
      </w:r>
    </w:p>
    <w:p>
      <w:pPr>
        <w:adjustRightInd w:val="0"/>
        <w:snapToGrid w:val="0"/>
        <w:spacing w:line="360" w:lineRule="auto"/>
        <w:jc w:val="center"/>
        <w:rPr>
          <w:rFonts w:hint="eastAsia" w:ascii="黑体" w:hAnsi="黑体" w:eastAsia="黑体"/>
          <w:iCs/>
          <w:sz w:val="28"/>
          <w:szCs w:val="28"/>
        </w:rPr>
      </w:pPr>
      <w:r>
        <w:rPr>
          <w:rFonts w:hint="eastAsia" w:ascii="黑体" w:hAnsi="黑体" w:eastAsia="黑体"/>
          <w:iCs/>
          <w:sz w:val="28"/>
          <w:szCs w:val="28"/>
        </w:rPr>
        <w:t>表5：产出指标设定及评分情况表</w:t>
      </w:r>
    </w:p>
    <w:tbl>
      <w:tblPr>
        <w:tblStyle w:val="12"/>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833"/>
        <w:gridCol w:w="2983"/>
        <w:gridCol w:w="113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19" w:type="pct"/>
            <w:shd w:val="clear" w:color="auto" w:fill="BEBEBE"/>
            <w:noWrap w:val="0"/>
            <w:vAlign w:val="center"/>
          </w:tcPr>
          <w:p>
            <w:pPr>
              <w:widowControl/>
              <w:adjustRightInd w:val="0"/>
              <w:snapToGrid w:val="0"/>
              <w:jc w:val="center"/>
              <w:rPr>
                <w:rFonts w:hint="eastAsia" w:ascii="宋体" w:hAnsi="宋体" w:eastAsia="宋体" w:cs="宋体"/>
                <w:b/>
                <w:bCs/>
                <w:iCs/>
                <w:kern w:val="0"/>
                <w:sz w:val="20"/>
                <w:szCs w:val="20"/>
              </w:rPr>
            </w:pPr>
            <w:r>
              <w:rPr>
                <w:rFonts w:hint="eastAsia" w:ascii="宋体" w:hAnsi="宋体" w:eastAsia="宋体" w:cs="宋体"/>
                <w:b/>
                <w:bCs/>
                <w:iCs/>
                <w:kern w:val="0"/>
                <w:sz w:val="20"/>
                <w:szCs w:val="20"/>
              </w:rPr>
              <w:t>一级指标</w:t>
            </w:r>
          </w:p>
        </w:tc>
        <w:tc>
          <w:tcPr>
            <w:tcW w:w="1083" w:type="pct"/>
            <w:shd w:val="clear" w:color="auto" w:fill="BEBEBE"/>
            <w:noWrap w:val="0"/>
            <w:vAlign w:val="center"/>
          </w:tcPr>
          <w:p>
            <w:pPr>
              <w:widowControl/>
              <w:adjustRightInd w:val="0"/>
              <w:snapToGrid w:val="0"/>
              <w:jc w:val="center"/>
              <w:rPr>
                <w:rFonts w:hint="eastAsia" w:ascii="宋体" w:hAnsi="宋体" w:eastAsia="宋体" w:cs="宋体"/>
                <w:b/>
                <w:bCs/>
                <w:iCs/>
                <w:kern w:val="0"/>
                <w:sz w:val="20"/>
                <w:szCs w:val="20"/>
              </w:rPr>
            </w:pPr>
            <w:r>
              <w:rPr>
                <w:rFonts w:hint="eastAsia" w:ascii="宋体" w:hAnsi="宋体" w:eastAsia="宋体" w:cs="宋体"/>
                <w:b/>
                <w:bCs/>
                <w:iCs/>
                <w:kern w:val="0"/>
                <w:sz w:val="20"/>
                <w:szCs w:val="20"/>
              </w:rPr>
              <w:t>二级指标</w:t>
            </w:r>
          </w:p>
        </w:tc>
        <w:tc>
          <w:tcPr>
            <w:tcW w:w="1762" w:type="pct"/>
            <w:shd w:val="clear" w:color="auto" w:fill="BEBEBE"/>
            <w:noWrap w:val="0"/>
            <w:vAlign w:val="center"/>
          </w:tcPr>
          <w:p>
            <w:pPr>
              <w:widowControl/>
              <w:adjustRightInd w:val="0"/>
              <w:snapToGrid w:val="0"/>
              <w:jc w:val="center"/>
              <w:rPr>
                <w:rFonts w:hint="eastAsia" w:ascii="宋体" w:hAnsi="宋体" w:eastAsia="宋体" w:cs="宋体"/>
                <w:b/>
                <w:bCs/>
                <w:iCs/>
                <w:kern w:val="0"/>
                <w:sz w:val="20"/>
                <w:szCs w:val="20"/>
              </w:rPr>
            </w:pPr>
            <w:r>
              <w:rPr>
                <w:rFonts w:hint="eastAsia" w:ascii="宋体" w:hAnsi="宋体" w:eastAsia="宋体" w:cs="宋体"/>
                <w:b/>
                <w:bCs/>
                <w:iCs/>
                <w:kern w:val="0"/>
                <w:sz w:val="20"/>
                <w:szCs w:val="20"/>
              </w:rPr>
              <w:t>三级指标</w:t>
            </w:r>
          </w:p>
        </w:tc>
        <w:tc>
          <w:tcPr>
            <w:tcW w:w="670" w:type="pct"/>
            <w:shd w:val="clear" w:color="auto" w:fill="BEBEBE"/>
            <w:noWrap w:val="0"/>
            <w:vAlign w:val="center"/>
          </w:tcPr>
          <w:p>
            <w:pPr>
              <w:widowControl/>
              <w:adjustRightInd w:val="0"/>
              <w:snapToGrid w:val="0"/>
              <w:jc w:val="center"/>
              <w:rPr>
                <w:rFonts w:hint="eastAsia" w:ascii="宋体" w:hAnsi="宋体" w:eastAsia="宋体" w:cs="宋体"/>
                <w:b/>
                <w:bCs/>
                <w:iCs/>
                <w:kern w:val="0"/>
                <w:sz w:val="20"/>
                <w:szCs w:val="20"/>
              </w:rPr>
            </w:pPr>
            <w:r>
              <w:rPr>
                <w:rFonts w:hint="eastAsia" w:ascii="宋体" w:hAnsi="宋体" w:eastAsia="宋体" w:cs="宋体"/>
                <w:b/>
                <w:bCs/>
                <w:iCs/>
                <w:kern w:val="0"/>
                <w:sz w:val="20"/>
                <w:szCs w:val="20"/>
              </w:rPr>
              <w:t>分值</w:t>
            </w:r>
          </w:p>
        </w:tc>
        <w:tc>
          <w:tcPr>
            <w:tcW w:w="765" w:type="pct"/>
            <w:shd w:val="clear" w:color="auto" w:fill="BEBEBE"/>
            <w:noWrap w:val="0"/>
            <w:vAlign w:val="center"/>
          </w:tcPr>
          <w:p>
            <w:pPr>
              <w:widowControl/>
              <w:adjustRightInd w:val="0"/>
              <w:snapToGrid w:val="0"/>
              <w:jc w:val="center"/>
              <w:rPr>
                <w:rFonts w:hint="eastAsia" w:ascii="宋体" w:hAnsi="宋体" w:eastAsia="宋体" w:cs="宋体"/>
                <w:b/>
                <w:bCs/>
                <w:iCs/>
                <w:kern w:val="0"/>
                <w:sz w:val="20"/>
                <w:szCs w:val="20"/>
              </w:rPr>
            </w:pPr>
            <w:r>
              <w:rPr>
                <w:rFonts w:hint="eastAsia" w:ascii="宋体" w:hAnsi="宋体" w:eastAsia="宋体" w:cs="宋体"/>
                <w:b/>
                <w:bCs/>
                <w:i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9" w:type="pct"/>
            <w:vMerge w:val="restar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产出</w:t>
            </w:r>
          </w:p>
        </w:tc>
        <w:tc>
          <w:tcPr>
            <w:tcW w:w="1083" w:type="pct"/>
            <w:vMerge w:val="restar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产出数量</w:t>
            </w:r>
          </w:p>
        </w:tc>
        <w:tc>
          <w:tcPr>
            <w:tcW w:w="176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lang w:bidi="ar"/>
              </w:rPr>
              <w:t>巡查设施农业项目数</w:t>
            </w:r>
          </w:p>
        </w:tc>
        <w:tc>
          <w:tcPr>
            <w:tcW w:w="670" w:type="pc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15</w:t>
            </w:r>
          </w:p>
        </w:tc>
        <w:tc>
          <w:tcPr>
            <w:tcW w:w="76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9" w:type="pct"/>
            <w:vMerge w:val="continue"/>
            <w:noWrap w:val="0"/>
            <w:vAlign w:val="center"/>
          </w:tcPr>
          <w:p>
            <w:pPr>
              <w:widowControl/>
              <w:adjustRightInd w:val="0"/>
              <w:snapToGrid w:val="0"/>
              <w:jc w:val="center"/>
              <w:rPr>
                <w:rFonts w:hint="eastAsia" w:ascii="宋体" w:hAnsi="宋体" w:eastAsia="宋体" w:cs="宋体"/>
                <w:iCs/>
                <w:kern w:val="0"/>
                <w:sz w:val="20"/>
                <w:szCs w:val="20"/>
              </w:rPr>
            </w:pPr>
          </w:p>
        </w:tc>
        <w:tc>
          <w:tcPr>
            <w:tcW w:w="1083" w:type="pct"/>
            <w:vMerge w:val="restar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产出质量</w:t>
            </w:r>
          </w:p>
        </w:tc>
        <w:tc>
          <w:tcPr>
            <w:tcW w:w="176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lang w:bidi="ar"/>
              </w:rPr>
              <w:t>设施农业项目巡查覆盖率</w:t>
            </w:r>
          </w:p>
        </w:tc>
        <w:tc>
          <w:tcPr>
            <w:tcW w:w="670" w:type="pc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15</w:t>
            </w:r>
          </w:p>
        </w:tc>
        <w:tc>
          <w:tcPr>
            <w:tcW w:w="76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9" w:type="pct"/>
            <w:vMerge w:val="continue"/>
            <w:noWrap w:val="0"/>
            <w:vAlign w:val="center"/>
          </w:tcPr>
          <w:p>
            <w:pPr>
              <w:widowControl/>
              <w:adjustRightInd w:val="0"/>
              <w:snapToGrid w:val="0"/>
              <w:jc w:val="center"/>
              <w:rPr>
                <w:rFonts w:hint="eastAsia" w:ascii="宋体" w:hAnsi="宋体" w:eastAsia="宋体" w:cs="宋体"/>
                <w:iCs/>
                <w:kern w:val="0"/>
                <w:sz w:val="20"/>
                <w:szCs w:val="20"/>
              </w:rPr>
            </w:pPr>
          </w:p>
        </w:tc>
        <w:tc>
          <w:tcPr>
            <w:tcW w:w="1083" w:type="pct"/>
            <w:vMerge w:val="restar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产出时效</w:t>
            </w:r>
          </w:p>
        </w:tc>
        <w:tc>
          <w:tcPr>
            <w:tcW w:w="176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lang w:bidi="ar"/>
              </w:rPr>
              <w:t>完成设施农业项目巡查时间</w:t>
            </w:r>
          </w:p>
        </w:tc>
        <w:tc>
          <w:tcPr>
            <w:tcW w:w="670" w:type="pc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5</w:t>
            </w:r>
          </w:p>
        </w:tc>
        <w:tc>
          <w:tcPr>
            <w:tcW w:w="76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9" w:type="pct"/>
            <w:vMerge w:val="continue"/>
            <w:noWrap w:val="0"/>
            <w:vAlign w:val="center"/>
          </w:tcPr>
          <w:p>
            <w:pPr>
              <w:widowControl/>
              <w:adjustRightInd w:val="0"/>
              <w:snapToGrid w:val="0"/>
              <w:jc w:val="center"/>
              <w:rPr>
                <w:rFonts w:hint="eastAsia" w:ascii="宋体" w:hAnsi="宋体" w:eastAsia="宋体" w:cs="宋体"/>
                <w:iCs/>
                <w:kern w:val="0"/>
                <w:sz w:val="20"/>
                <w:szCs w:val="20"/>
              </w:rPr>
            </w:pPr>
          </w:p>
        </w:tc>
        <w:tc>
          <w:tcPr>
            <w:tcW w:w="1083" w:type="pc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产出成本</w:t>
            </w:r>
          </w:p>
        </w:tc>
        <w:tc>
          <w:tcPr>
            <w:tcW w:w="176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lang w:bidi="ar"/>
              </w:rPr>
              <w:t>总成本控制</w:t>
            </w:r>
          </w:p>
        </w:tc>
        <w:tc>
          <w:tcPr>
            <w:tcW w:w="670" w:type="pc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5</w:t>
            </w:r>
          </w:p>
        </w:tc>
        <w:tc>
          <w:tcPr>
            <w:tcW w:w="76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4" w:type="pct"/>
            <w:gridSpan w:val="3"/>
            <w:noWrap w:val="0"/>
            <w:vAlign w:val="center"/>
          </w:tcPr>
          <w:p>
            <w:pPr>
              <w:widowControl/>
              <w:adjustRightInd w:val="0"/>
              <w:snapToGrid w:val="0"/>
              <w:jc w:val="center"/>
              <w:rPr>
                <w:rFonts w:hint="eastAsia" w:ascii="宋体" w:hAnsi="宋体" w:eastAsia="宋体" w:cs="宋体"/>
                <w:b/>
                <w:bCs/>
                <w:iCs/>
                <w:kern w:val="0"/>
                <w:sz w:val="20"/>
                <w:szCs w:val="20"/>
              </w:rPr>
            </w:pPr>
            <w:r>
              <w:rPr>
                <w:rFonts w:hint="eastAsia" w:ascii="宋体" w:hAnsi="宋体" w:eastAsia="宋体" w:cs="宋体"/>
                <w:b/>
                <w:bCs/>
                <w:iCs/>
                <w:kern w:val="0"/>
                <w:sz w:val="20"/>
                <w:szCs w:val="20"/>
              </w:rPr>
              <w:t>合计</w:t>
            </w:r>
          </w:p>
        </w:tc>
        <w:tc>
          <w:tcPr>
            <w:tcW w:w="670" w:type="pct"/>
            <w:noWrap w:val="0"/>
            <w:vAlign w:val="center"/>
          </w:tcPr>
          <w:p>
            <w:pPr>
              <w:widowControl/>
              <w:adjustRightInd w:val="0"/>
              <w:snapToGrid w:val="0"/>
              <w:jc w:val="center"/>
              <w:rPr>
                <w:rFonts w:hint="eastAsia" w:ascii="宋体" w:hAnsi="宋体" w:eastAsia="宋体" w:cs="宋体"/>
                <w:b/>
                <w:bCs/>
                <w:iCs/>
                <w:kern w:val="0"/>
                <w:sz w:val="20"/>
                <w:szCs w:val="20"/>
              </w:rPr>
            </w:pPr>
            <w:r>
              <w:rPr>
                <w:rFonts w:hint="eastAsia" w:ascii="宋体" w:hAnsi="宋体" w:eastAsia="宋体" w:cs="宋体"/>
                <w:b/>
                <w:bCs/>
                <w:iCs/>
                <w:kern w:val="0"/>
                <w:sz w:val="20"/>
                <w:szCs w:val="20"/>
              </w:rPr>
              <w:t>40</w:t>
            </w:r>
          </w:p>
        </w:tc>
        <w:tc>
          <w:tcPr>
            <w:tcW w:w="765" w:type="pct"/>
            <w:noWrap w:val="0"/>
            <w:vAlign w:val="center"/>
          </w:tcPr>
          <w:p>
            <w:pPr>
              <w:widowControl/>
              <w:adjustRightInd w:val="0"/>
              <w:snapToGrid w:val="0"/>
              <w:jc w:val="center"/>
              <w:rPr>
                <w:rFonts w:hint="eastAsia" w:ascii="宋体" w:hAnsi="宋体" w:eastAsia="宋体" w:cs="宋体"/>
                <w:b/>
                <w:bCs/>
                <w:iCs/>
                <w:kern w:val="0"/>
                <w:sz w:val="20"/>
                <w:szCs w:val="20"/>
              </w:rPr>
            </w:pPr>
            <w:r>
              <w:rPr>
                <w:rFonts w:hint="eastAsia" w:ascii="宋体" w:hAnsi="宋体" w:eastAsia="宋体" w:cs="宋体"/>
                <w:b/>
                <w:bCs/>
                <w:iCs/>
                <w:kern w:val="0"/>
                <w:sz w:val="20"/>
                <w:szCs w:val="20"/>
              </w:rPr>
              <w:t>40.00</w:t>
            </w:r>
          </w:p>
        </w:tc>
      </w:tr>
    </w:tbl>
    <w:p>
      <w:pPr>
        <w:adjustRightInd w:val="0"/>
        <w:snapToGrid w:val="0"/>
        <w:spacing w:line="360" w:lineRule="auto"/>
        <w:ind w:firstLine="560" w:firstLineChars="200"/>
        <w:outlineLvl w:val="2"/>
        <w:rPr>
          <w:rFonts w:hint="eastAsia" w:ascii="仿宋_GB2312" w:hAnsi="仿宋_GB2312" w:eastAsia="仿宋_GB2312" w:cs="仿宋_GB2312"/>
          <w:sz w:val="28"/>
          <w:szCs w:val="28"/>
        </w:rPr>
      </w:pPr>
      <w:bookmarkStart w:id="45" w:name="_Toc35588418"/>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产出数量</w:t>
      </w:r>
      <w:bookmarkEnd w:id="45"/>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2023年，区级成立专门的农业设施监管巡查队伍，对各乡镇进行全覆盖巡查监管，完成了全区10个乡镇2185个园区及20776栋大棚巡查、检查工作，达到了预期目标。</w:t>
      </w:r>
    </w:p>
    <w:p>
      <w:pPr>
        <w:adjustRightInd w:val="0"/>
        <w:snapToGrid w:val="0"/>
        <w:spacing w:line="360" w:lineRule="auto"/>
        <w:ind w:firstLine="560" w:firstLineChars="200"/>
        <w:outlineLvl w:val="2"/>
        <w:rPr>
          <w:rFonts w:hint="eastAsia" w:ascii="仿宋_GB2312" w:hAnsi="仿宋_GB2312" w:eastAsia="仿宋_GB2312" w:cs="仿宋_GB2312"/>
          <w:sz w:val="28"/>
          <w:szCs w:val="28"/>
        </w:rPr>
      </w:pPr>
      <w:bookmarkStart w:id="46" w:name="_Toc35588419"/>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产出质量</w:t>
      </w:r>
      <w:bookmarkEnd w:id="46"/>
    </w:p>
    <w:p>
      <w:pPr>
        <w:autoSpaceDE w:val="0"/>
        <w:autoSpaceDN w:val="0"/>
        <w:adjustRightInd w:val="0"/>
        <w:snapToGrid w:val="0"/>
        <w:spacing w:line="360" w:lineRule="auto"/>
        <w:ind w:firstLine="560" w:firstLineChars="200"/>
        <w:rPr>
          <w:rFonts w:hint="eastAsia" w:ascii="仿宋_GB2312" w:hAnsi="仿宋_GB2312" w:eastAsia="仿宋_GB2312" w:cs="仿宋_GB2312"/>
          <w:iCs/>
          <w:color w:val="000000"/>
          <w:kern w:val="0"/>
          <w:sz w:val="28"/>
          <w:szCs w:val="28"/>
        </w:rPr>
      </w:pPr>
      <w:r>
        <w:rPr>
          <w:rFonts w:hint="eastAsia" w:ascii="仿宋_GB2312" w:hAnsi="仿宋_GB2312" w:eastAsia="仿宋_GB2312" w:cs="仿宋_GB2312"/>
          <w:sz w:val="28"/>
          <w:szCs w:val="28"/>
        </w:rPr>
        <w:t>全区共有设施农业大棚为20776栋，截至2023年12月15日已完成了全区10个乡镇2185个园区及20776栋大棚巡查、检查工作，</w:t>
      </w:r>
      <w:r>
        <w:rPr>
          <w:rFonts w:hint="eastAsia" w:ascii="仿宋_GB2312" w:hAnsi="仿宋_GB2312" w:eastAsia="仿宋_GB2312" w:cs="仿宋_GB2312"/>
          <w:sz w:val="28"/>
          <w:szCs w:val="28"/>
          <w:lang w:bidi="ar"/>
        </w:rPr>
        <w:t>设施农业项目巡查覆盖率为100%</w:t>
      </w:r>
      <w:r>
        <w:rPr>
          <w:rFonts w:hint="eastAsia" w:ascii="仿宋_GB2312" w:hAnsi="仿宋_GB2312" w:eastAsia="仿宋_GB2312" w:cs="仿宋_GB2312"/>
          <w:sz w:val="28"/>
          <w:szCs w:val="28"/>
        </w:rPr>
        <w:t>。</w:t>
      </w:r>
    </w:p>
    <w:p>
      <w:pPr>
        <w:adjustRightInd w:val="0"/>
        <w:snapToGrid w:val="0"/>
        <w:spacing w:line="360" w:lineRule="auto"/>
        <w:ind w:firstLine="560" w:firstLineChars="200"/>
        <w:outlineLvl w:val="2"/>
        <w:rPr>
          <w:rFonts w:hint="eastAsia" w:ascii="仿宋_GB2312" w:hAnsi="仿宋_GB2312" w:eastAsia="仿宋_GB2312" w:cs="仿宋_GB2312"/>
          <w:sz w:val="28"/>
          <w:szCs w:val="28"/>
        </w:rPr>
      </w:pPr>
      <w:bookmarkStart w:id="47" w:name="_Toc35588420"/>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产出时效</w:t>
      </w:r>
      <w:bookmarkEnd w:id="47"/>
    </w:p>
    <w:p>
      <w:pPr>
        <w:autoSpaceDE w:val="0"/>
        <w:autoSpaceDN w:val="0"/>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2023年完成项目巡查、检查时间在12月底之前，按照相关要求完成了相应工作，项目产出时效较好。</w:t>
      </w:r>
    </w:p>
    <w:p>
      <w:pPr>
        <w:adjustRightInd w:val="0"/>
        <w:snapToGrid w:val="0"/>
        <w:spacing w:line="360" w:lineRule="auto"/>
        <w:ind w:firstLine="560" w:firstLineChars="200"/>
        <w:outlineLvl w:val="2"/>
        <w:rPr>
          <w:rFonts w:hint="eastAsia" w:ascii="仿宋_GB2312" w:hAnsi="仿宋_GB2312" w:eastAsia="仿宋_GB2312" w:cs="仿宋_GB2312"/>
          <w:sz w:val="28"/>
          <w:szCs w:val="28"/>
        </w:rPr>
      </w:pPr>
      <w:bookmarkStart w:id="48" w:name="_Toc35588421"/>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产出成本</w:t>
      </w:r>
      <w:bookmarkEnd w:id="48"/>
    </w:p>
    <w:p>
      <w:pPr>
        <w:autoSpaceDE w:val="0"/>
        <w:autoSpaceDN w:val="0"/>
        <w:adjustRightInd w:val="0"/>
        <w:snapToGrid w:val="0"/>
        <w:spacing w:line="360" w:lineRule="auto"/>
        <w:ind w:firstLine="560" w:firstLineChars="200"/>
        <w:rPr>
          <w:rFonts w:hint="eastAsia" w:ascii="仿宋_GB2312" w:hAnsi="仿宋_GB2312" w:eastAsia="仿宋_GB2312" w:cs="仿宋_GB2312"/>
          <w:sz w:val="28"/>
          <w:szCs w:val="28"/>
        </w:rPr>
      </w:pPr>
      <w:bookmarkStart w:id="49" w:name="_Toc35588422"/>
      <w:r>
        <w:rPr>
          <w:rFonts w:hint="eastAsia" w:ascii="仿宋_GB2312" w:hAnsi="仿宋_GB2312" w:eastAsia="仿宋_GB2312" w:cs="仿宋_GB2312"/>
          <w:sz w:val="28"/>
          <w:szCs w:val="28"/>
        </w:rPr>
        <w:t>在项目实施过程中，我局按照从严控制的原则，通过公开招标确定第三方服务公司。截至2023年12月底，设施农业长效监管项目实际支出149.67万元，项目整体资金控制在预算范围内，成本控制情况较好。</w:t>
      </w:r>
    </w:p>
    <w:p>
      <w:pPr>
        <w:autoSpaceDE w:val="0"/>
        <w:autoSpaceDN w:val="0"/>
        <w:adjustRightInd w:val="0"/>
        <w:snapToGrid w:val="0"/>
        <w:spacing w:line="360" w:lineRule="auto"/>
        <w:ind w:firstLine="560" w:firstLineChars="200"/>
        <w:outlineLvl w:val="1"/>
        <w:rPr>
          <w:rFonts w:hint="eastAsia" w:ascii="仿宋_GB2312" w:hAnsi="仿宋_GB2312" w:eastAsia="仿宋_GB2312" w:cs="仿宋_GB2312"/>
          <w:sz w:val="28"/>
          <w:szCs w:val="28"/>
        </w:rPr>
      </w:pPr>
      <w:bookmarkStart w:id="50" w:name="_Toc135254611"/>
      <w:bookmarkStart w:id="51" w:name="_Toc15234"/>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项目效益情况</w:t>
      </w:r>
      <w:bookmarkEnd w:id="49"/>
      <w:bookmarkEnd w:id="50"/>
      <w:bookmarkEnd w:id="51"/>
    </w:p>
    <w:p>
      <w:pPr>
        <w:adjustRightInd w:val="0"/>
        <w:snapToGrid w:val="0"/>
        <w:spacing w:line="360" w:lineRule="auto"/>
        <w:ind w:firstLine="560" w:firstLineChars="200"/>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rPr>
        <w:t>通过项目的实施，</w:t>
      </w:r>
      <w:r>
        <w:rPr>
          <w:rFonts w:hint="eastAsia" w:ascii="仿宋_GB2312" w:hAnsi="仿宋_GB2312" w:eastAsia="仿宋_GB2312" w:cs="仿宋_GB2312"/>
          <w:sz w:val="28"/>
          <w:szCs w:val="28"/>
        </w:rPr>
        <w:t>进一步加强了对永久基本农田和耕地的保护，坚决遏制耕地“非农化”、“非粮化”，严防“大棚房”问题死灰复燃，</w:t>
      </w:r>
      <w:r>
        <w:rPr>
          <w:rFonts w:hint="eastAsia" w:ascii="仿宋_GB2312" w:hAnsi="仿宋_GB2312" w:eastAsia="仿宋_GB2312" w:cs="仿宋_GB2312"/>
          <w:iCs/>
          <w:sz w:val="28"/>
          <w:szCs w:val="28"/>
          <w:shd w:val="clear" w:color="auto" w:fill="FFFFFF"/>
        </w:rPr>
        <w:t>但项目实施效益方面的佐证资料不够充分，也未及时开展服务对象满意度调查。</w:t>
      </w:r>
      <w:r>
        <w:rPr>
          <w:rFonts w:hint="eastAsia" w:ascii="仿宋_GB2312" w:hAnsi="仿宋_GB2312" w:eastAsia="仿宋_GB2312" w:cs="仿宋_GB2312"/>
          <w:iCs/>
          <w:sz w:val="28"/>
          <w:szCs w:val="28"/>
        </w:rPr>
        <w:t>该指标分值30分，得分28.00分，得分率93.33%。评分见表6。</w:t>
      </w:r>
    </w:p>
    <w:p>
      <w:pPr>
        <w:adjustRightInd w:val="0"/>
        <w:snapToGrid w:val="0"/>
        <w:spacing w:line="360" w:lineRule="auto"/>
        <w:jc w:val="center"/>
        <w:rPr>
          <w:rFonts w:ascii="黑体" w:hAnsi="黑体" w:eastAsia="黑体"/>
          <w:iCs/>
          <w:sz w:val="28"/>
          <w:szCs w:val="28"/>
        </w:rPr>
      </w:pPr>
      <w:r>
        <w:rPr>
          <w:rFonts w:hint="eastAsia" w:ascii="黑体" w:hAnsi="黑体" w:eastAsia="黑体"/>
          <w:iCs/>
          <w:sz w:val="28"/>
          <w:szCs w:val="28"/>
        </w:rPr>
        <w:t>表6：效益指标设定及评分情况表</w:t>
      </w:r>
    </w:p>
    <w:tbl>
      <w:tblPr>
        <w:tblStyle w:val="12"/>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793"/>
        <w:gridCol w:w="3023"/>
        <w:gridCol w:w="113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19" w:type="pct"/>
            <w:shd w:val="clear" w:color="auto" w:fill="BEBEBE"/>
            <w:noWrap w:val="0"/>
            <w:vAlign w:val="center"/>
          </w:tcPr>
          <w:p>
            <w:pPr>
              <w:widowControl/>
              <w:adjustRightInd w:val="0"/>
              <w:snapToGrid w:val="0"/>
              <w:jc w:val="center"/>
              <w:rPr>
                <w:rFonts w:ascii="宋体" w:hAnsi="宋体" w:eastAsia="宋体" w:cs="Arial"/>
                <w:b/>
                <w:bCs/>
                <w:iCs/>
                <w:kern w:val="0"/>
                <w:sz w:val="20"/>
                <w:szCs w:val="20"/>
              </w:rPr>
            </w:pPr>
            <w:r>
              <w:rPr>
                <w:rFonts w:hint="eastAsia" w:ascii="宋体" w:hAnsi="宋体" w:eastAsia="宋体" w:cs="Arial"/>
                <w:b/>
                <w:bCs/>
                <w:iCs/>
                <w:kern w:val="0"/>
                <w:sz w:val="20"/>
                <w:szCs w:val="20"/>
              </w:rPr>
              <w:t>一级指标</w:t>
            </w:r>
          </w:p>
        </w:tc>
        <w:tc>
          <w:tcPr>
            <w:tcW w:w="1059" w:type="pct"/>
            <w:shd w:val="clear" w:color="auto" w:fill="BEBEBE"/>
            <w:noWrap w:val="0"/>
            <w:vAlign w:val="center"/>
          </w:tcPr>
          <w:p>
            <w:pPr>
              <w:widowControl/>
              <w:adjustRightInd w:val="0"/>
              <w:snapToGrid w:val="0"/>
              <w:jc w:val="center"/>
              <w:rPr>
                <w:rFonts w:ascii="宋体" w:hAnsi="宋体" w:eastAsia="宋体" w:cs="Arial"/>
                <w:b/>
                <w:bCs/>
                <w:iCs/>
                <w:kern w:val="0"/>
                <w:sz w:val="20"/>
                <w:szCs w:val="20"/>
              </w:rPr>
            </w:pPr>
            <w:r>
              <w:rPr>
                <w:rFonts w:hint="eastAsia" w:ascii="宋体" w:hAnsi="宋体" w:eastAsia="宋体" w:cs="Arial"/>
                <w:b/>
                <w:bCs/>
                <w:iCs/>
                <w:kern w:val="0"/>
                <w:sz w:val="20"/>
                <w:szCs w:val="20"/>
              </w:rPr>
              <w:t>二级指标</w:t>
            </w:r>
          </w:p>
        </w:tc>
        <w:tc>
          <w:tcPr>
            <w:tcW w:w="1786" w:type="pct"/>
            <w:shd w:val="clear" w:color="auto" w:fill="BEBEBE"/>
            <w:noWrap w:val="0"/>
            <w:vAlign w:val="center"/>
          </w:tcPr>
          <w:p>
            <w:pPr>
              <w:widowControl/>
              <w:adjustRightInd w:val="0"/>
              <w:snapToGrid w:val="0"/>
              <w:jc w:val="center"/>
              <w:rPr>
                <w:rFonts w:ascii="宋体" w:hAnsi="宋体" w:eastAsia="宋体" w:cs="Arial"/>
                <w:b/>
                <w:bCs/>
                <w:iCs/>
                <w:kern w:val="0"/>
                <w:sz w:val="20"/>
                <w:szCs w:val="20"/>
              </w:rPr>
            </w:pPr>
            <w:r>
              <w:rPr>
                <w:rFonts w:hint="eastAsia" w:ascii="宋体" w:hAnsi="宋体" w:eastAsia="宋体" w:cs="Arial"/>
                <w:b/>
                <w:bCs/>
                <w:iCs/>
                <w:kern w:val="0"/>
                <w:sz w:val="20"/>
                <w:szCs w:val="20"/>
              </w:rPr>
              <w:t>三级指标</w:t>
            </w:r>
          </w:p>
        </w:tc>
        <w:tc>
          <w:tcPr>
            <w:tcW w:w="670" w:type="pct"/>
            <w:shd w:val="clear" w:color="auto" w:fill="BEBEBE"/>
            <w:noWrap w:val="0"/>
            <w:vAlign w:val="center"/>
          </w:tcPr>
          <w:p>
            <w:pPr>
              <w:widowControl/>
              <w:adjustRightInd w:val="0"/>
              <w:snapToGrid w:val="0"/>
              <w:jc w:val="center"/>
              <w:rPr>
                <w:rFonts w:ascii="宋体" w:hAnsi="宋体" w:eastAsia="宋体" w:cs="Arial"/>
                <w:b/>
                <w:bCs/>
                <w:iCs/>
                <w:kern w:val="0"/>
                <w:sz w:val="20"/>
                <w:szCs w:val="20"/>
              </w:rPr>
            </w:pPr>
            <w:r>
              <w:rPr>
                <w:rFonts w:hint="eastAsia" w:ascii="宋体" w:hAnsi="宋体" w:eastAsia="宋体" w:cs="Arial"/>
                <w:b/>
                <w:bCs/>
                <w:iCs/>
                <w:kern w:val="0"/>
                <w:sz w:val="20"/>
                <w:szCs w:val="20"/>
              </w:rPr>
              <w:t>分值</w:t>
            </w:r>
          </w:p>
        </w:tc>
        <w:tc>
          <w:tcPr>
            <w:tcW w:w="765" w:type="pct"/>
            <w:shd w:val="clear" w:color="auto" w:fill="BEBEBE"/>
            <w:noWrap w:val="0"/>
            <w:vAlign w:val="center"/>
          </w:tcPr>
          <w:p>
            <w:pPr>
              <w:widowControl/>
              <w:adjustRightInd w:val="0"/>
              <w:snapToGrid w:val="0"/>
              <w:jc w:val="center"/>
              <w:rPr>
                <w:rFonts w:ascii="宋体" w:hAnsi="宋体" w:eastAsia="宋体" w:cs="Arial"/>
                <w:b/>
                <w:bCs/>
                <w:iCs/>
                <w:kern w:val="0"/>
                <w:sz w:val="20"/>
                <w:szCs w:val="20"/>
              </w:rPr>
            </w:pPr>
            <w:r>
              <w:rPr>
                <w:rFonts w:hint="eastAsia" w:ascii="宋体" w:hAnsi="宋体" w:eastAsia="宋体" w:cs="Arial"/>
                <w:b/>
                <w:bCs/>
                <w:i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9" w:type="pct"/>
            <w:vMerge w:val="restar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效益</w:t>
            </w:r>
          </w:p>
        </w:tc>
        <w:tc>
          <w:tcPr>
            <w:tcW w:w="1059" w:type="pct"/>
            <w:vMerge w:val="restart"/>
            <w:noWrap w:val="0"/>
            <w:vAlign w:val="center"/>
          </w:tcPr>
          <w:p>
            <w:pPr>
              <w:widowControl/>
              <w:adjustRightInd w:val="0"/>
              <w:snapToGrid w:val="0"/>
              <w:jc w:val="center"/>
              <w:rPr>
                <w:rFonts w:ascii="宋体" w:hAnsi="宋体" w:eastAsia="宋体" w:cs="宋体"/>
                <w:iCs/>
                <w:kern w:val="0"/>
                <w:sz w:val="20"/>
                <w:szCs w:val="20"/>
              </w:rPr>
            </w:pPr>
            <w:r>
              <w:rPr>
                <w:rFonts w:hint="eastAsia" w:ascii="宋体" w:hAnsi="宋体" w:eastAsia="宋体" w:cs="宋体"/>
                <w:iCs/>
                <w:kern w:val="0"/>
                <w:sz w:val="20"/>
                <w:szCs w:val="20"/>
              </w:rPr>
              <w:t>项目效益</w:t>
            </w:r>
          </w:p>
        </w:tc>
        <w:tc>
          <w:tcPr>
            <w:tcW w:w="178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lang w:bidi="ar"/>
              </w:rPr>
              <w:t>规范备案管理、建立设施农业监管数据台账</w:t>
            </w:r>
          </w:p>
        </w:tc>
        <w:tc>
          <w:tcPr>
            <w:tcW w:w="670" w:type="pct"/>
            <w:noWrap w:val="0"/>
            <w:vAlign w:val="center"/>
          </w:tcPr>
          <w:p>
            <w:pPr>
              <w:widowControl/>
              <w:adjustRightInd w:val="0"/>
              <w:snapToGrid w:val="0"/>
              <w:jc w:val="center"/>
              <w:rPr>
                <w:rFonts w:ascii="宋体" w:hAnsi="宋体" w:eastAsia="宋体" w:cs="宋体"/>
                <w:iCs/>
                <w:kern w:val="0"/>
                <w:sz w:val="20"/>
                <w:szCs w:val="20"/>
              </w:rPr>
            </w:pPr>
            <w:r>
              <w:rPr>
                <w:rFonts w:hint="eastAsia" w:ascii="宋体" w:hAnsi="宋体" w:eastAsia="宋体" w:cs="宋体"/>
                <w:iCs/>
                <w:kern w:val="0"/>
                <w:sz w:val="20"/>
                <w:szCs w:val="20"/>
              </w:rPr>
              <w:t>10</w:t>
            </w:r>
          </w:p>
        </w:tc>
        <w:tc>
          <w:tcPr>
            <w:tcW w:w="76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iCs/>
                <w:kern w:val="0"/>
                <w:sz w:val="20"/>
                <w:szCs w:val="20"/>
              </w:rPr>
            </w:pPr>
            <w:r>
              <w:rPr>
                <w:rFonts w:hint="eastAsia"/>
                <w:sz w:val="20"/>
                <w:szCs w:val="20"/>
              </w:rPr>
              <w:t>9.5</w:t>
            </w: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9" w:type="pct"/>
            <w:vMerge w:val="continue"/>
            <w:noWrap w:val="0"/>
            <w:vAlign w:val="center"/>
          </w:tcPr>
          <w:p>
            <w:pPr>
              <w:widowControl/>
              <w:adjustRightInd w:val="0"/>
              <w:snapToGrid w:val="0"/>
              <w:jc w:val="center"/>
              <w:rPr>
                <w:rFonts w:ascii="宋体" w:hAnsi="宋体" w:eastAsia="宋体" w:cs="宋体"/>
                <w:iCs/>
                <w:kern w:val="0"/>
                <w:sz w:val="20"/>
                <w:szCs w:val="20"/>
              </w:rPr>
            </w:pPr>
          </w:p>
        </w:tc>
        <w:tc>
          <w:tcPr>
            <w:tcW w:w="1059" w:type="pct"/>
            <w:vMerge w:val="continue"/>
            <w:noWrap w:val="0"/>
            <w:vAlign w:val="center"/>
          </w:tcPr>
          <w:p>
            <w:pPr>
              <w:widowControl/>
              <w:adjustRightInd w:val="0"/>
              <w:snapToGrid w:val="0"/>
              <w:jc w:val="center"/>
              <w:rPr>
                <w:rFonts w:hint="eastAsia" w:ascii="宋体" w:hAnsi="宋体" w:eastAsia="宋体" w:cs="宋体"/>
                <w:iCs/>
                <w:kern w:val="0"/>
                <w:sz w:val="20"/>
                <w:szCs w:val="20"/>
              </w:rPr>
            </w:pPr>
          </w:p>
        </w:tc>
        <w:tc>
          <w:tcPr>
            <w:tcW w:w="1786"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lang w:bidi="ar"/>
              </w:rPr>
              <w:t>指导乡镇开展设施农业日常管理工作</w:t>
            </w:r>
          </w:p>
        </w:tc>
        <w:tc>
          <w:tcPr>
            <w:tcW w:w="670" w:type="pct"/>
            <w:noWrap w:val="0"/>
            <w:vAlign w:val="center"/>
          </w:tcPr>
          <w:p>
            <w:pPr>
              <w:widowControl/>
              <w:adjustRightInd w:val="0"/>
              <w:snapToGrid w:val="0"/>
              <w:jc w:val="center"/>
              <w:rPr>
                <w:rFonts w:ascii="宋体" w:hAnsi="宋体" w:eastAsia="宋体" w:cs="宋体"/>
                <w:iCs/>
                <w:kern w:val="0"/>
                <w:sz w:val="20"/>
                <w:szCs w:val="20"/>
              </w:rPr>
            </w:pPr>
            <w:r>
              <w:rPr>
                <w:rFonts w:hint="eastAsia" w:ascii="宋体" w:hAnsi="宋体" w:eastAsia="宋体" w:cs="宋体"/>
                <w:iCs/>
                <w:kern w:val="0"/>
                <w:sz w:val="20"/>
                <w:szCs w:val="20"/>
              </w:rPr>
              <w:t>10</w:t>
            </w:r>
          </w:p>
        </w:tc>
        <w:tc>
          <w:tcPr>
            <w:tcW w:w="765" w:type="pct"/>
            <w:tcBorders>
              <w:top w:val="nil"/>
              <w:left w:val="single" w:color="auto" w:sz="4" w:space="0"/>
              <w:bottom w:val="single" w:color="auto" w:sz="4" w:space="0"/>
              <w:right w:val="single" w:color="auto" w:sz="4" w:space="0"/>
            </w:tcBorders>
            <w:noWrap w:val="0"/>
            <w:vAlign w:val="center"/>
          </w:tcPr>
          <w:p>
            <w:pPr>
              <w:widowControl/>
              <w:tabs>
                <w:tab w:val="left" w:pos="294"/>
                <w:tab w:val="center" w:pos="641"/>
              </w:tabs>
              <w:adjustRightInd w:val="0"/>
              <w:snapToGrid w:val="0"/>
              <w:jc w:val="center"/>
              <w:rPr>
                <w:rFonts w:ascii="宋体" w:hAnsi="宋体" w:eastAsia="宋体" w:cs="宋体"/>
                <w:iCs/>
                <w:kern w:val="0"/>
                <w:sz w:val="20"/>
                <w:szCs w:val="20"/>
              </w:rPr>
            </w:pPr>
            <w:r>
              <w:rPr>
                <w:rFonts w:hint="eastAsia" w:eastAsia="宋体"/>
                <w:sz w:val="20"/>
                <w:szCs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9" w:type="pct"/>
            <w:vMerge w:val="continue"/>
            <w:noWrap w:val="0"/>
            <w:vAlign w:val="center"/>
          </w:tcPr>
          <w:p>
            <w:pPr>
              <w:widowControl/>
              <w:adjustRightInd w:val="0"/>
              <w:snapToGrid w:val="0"/>
              <w:jc w:val="center"/>
              <w:rPr>
                <w:rFonts w:hint="eastAsia" w:ascii="宋体" w:hAnsi="宋体" w:eastAsia="宋体" w:cs="宋体"/>
                <w:iCs/>
                <w:kern w:val="0"/>
                <w:sz w:val="20"/>
                <w:szCs w:val="20"/>
              </w:rPr>
            </w:pPr>
          </w:p>
        </w:tc>
        <w:tc>
          <w:tcPr>
            <w:tcW w:w="1059" w:type="pct"/>
            <w:vMerge w:val="restar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服务对象满意度指标</w:t>
            </w:r>
          </w:p>
        </w:tc>
        <w:tc>
          <w:tcPr>
            <w:tcW w:w="1786"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lang w:bidi="ar"/>
              </w:rPr>
            </w:pPr>
            <w:r>
              <w:rPr>
                <w:rFonts w:hint="eastAsia" w:ascii="宋体" w:hAnsi="宋体" w:eastAsia="宋体" w:cs="宋体"/>
                <w:iCs/>
                <w:kern w:val="0"/>
                <w:sz w:val="20"/>
                <w:szCs w:val="20"/>
                <w:lang w:bidi="ar"/>
              </w:rPr>
              <w:t>部门领导对监管工作的满意度</w:t>
            </w:r>
          </w:p>
        </w:tc>
        <w:tc>
          <w:tcPr>
            <w:tcW w:w="670" w:type="pc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5</w:t>
            </w:r>
          </w:p>
        </w:tc>
        <w:tc>
          <w:tcPr>
            <w:tcW w:w="765" w:type="pct"/>
            <w:tcBorders>
              <w:top w:val="nil"/>
              <w:left w:val="single" w:color="auto" w:sz="4" w:space="0"/>
              <w:bottom w:val="single" w:color="auto" w:sz="4" w:space="0"/>
              <w:right w:val="single" w:color="auto" w:sz="4" w:space="0"/>
            </w:tcBorders>
            <w:noWrap w:val="0"/>
            <w:vAlign w:val="center"/>
          </w:tcPr>
          <w:p>
            <w:pPr>
              <w:widowControl/>
              <w:tabs>
                <w:tab w:val="left" w:pos="294"/>
                <w:tab w:val="center" w:pos="641"/>
              </w:tabs>
              <w:adjustRightInd w:val="0"/>
              <w:snapToGrid w:val="0"/>
              <w:jc w:val="center"/>
              <w:rPr>
                <w:sz w:val="20"/>
                <w:szCs w:val="20"/>
              </w:rPr>
            </w:pPr>
            <w:r>
              <w:rPr>
                <w:rFonts w:hint="eastAsia"/>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9" w:type="pct"/>
            <w:vMerge w:val="continue"/>
            <w:noWrap w:val="0"/>
            <w:vAlign w:val="center"/>
          </w:tcPr>
          <w:p>
            <w:pPr>
              <w:widowControl/>
              <w:adjustRightInd w:val="0"/>
              <w:snapToGrid w:val="0"/>
              <w:jc w:val="center"/>
              <w:rPr>
                <w:rFonts w:ascii="宋体" w:hAnsi="宋体" w:eastAsia="宋体" w:cs="宋体"/>
                <w:iCs/>
                <w:kern w:val="0"/>
                <w:sz w:val="20"/>
                <w:szCs w:val="20"/>
              </w:rPr>
            </w:pPr>
          </w:p>
        </w:tc>
        <w:tc>
          <w:tcPr>
            <w:tcW w:w="1059" w:type="pct"/>
            <w:vMerge w:val="continue"/>
            <w:noWrap w:val="0"/>
            <w:vAlign w:val="center"/>
          </w:tcPr>
          <w:p>
            <w:pPr>
              <w:widowControl/>
              <w:adjustRightInd w:val="0"/>
              <w:snapToGrid w:val="0"/>
              <w:jc w:val="center"/>
              <w:rPr>
                <w:rFonts w:hint="eastAsia" w:ascii="宋体" w:hAnsi="宋体" w:eastAsia="宋体" w:cs="宋体"/>
                <w:iCs/>
                <w:kern w:val="0"/>
                <w:sz w:val="20"/>
                <w:szCs w:val="20"/>
              </w:rPr>
            </w:pPr>
          </w:p>
        </w:tc>
        <w:tc>
          <w:tcPr>
            <w:tcW w:w="1786"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iCs/>
                <w:kern w:val="0"/>
                <w:sz w:val="20"/>
                <w:szCs w:val="20"/>
                <w:lang w:bidi="ar"/>
              </w:rPr>
            </w:pPr>
            <w:r>
              <w:rPr>
                <w:rFonts w:hint="eastAsia" w:ascii="宋体" w:hAnsi="宋体" w:eastAsia="宋体" w:cs="宋体"/>
                <w:iCs/>
                <w:kern w:val="0"/>
                <w:sz w:val="20"/>
                <w:szCs w:val="20"/>
                <w:lang w:bidi="ar"/>
              </w:rPr>
              <w:t>监管对象对监管工作的满意度</w:t>
            </w:r>
          </w:p>
        </w:tc>
        <w:tc>
          <w:tcPr>
            <w:tcW w:w="670" w:type="pct"/>
            <w:noWrap w:val="0"/>
            <w:vAlign w:val="center"/>
          </w:tcPr>
          <w:p>
            <w:pPr>
              <w:widowControl/>
              <w:adjustRightInd w:val="0"/>
              <w:snapToGrid w:val="0"/>
              <w:jc w:val="center"/>
              <w:rPr>
                <w:rFonts w:hint="eastAsia" w:ascii="宋体" w:hAnsi="宋体" w:eastAsia="宋体" w:cs="宋体"/>
                <w:iCs/>
                <w:kern w:val="0"/>
                <w:sz w:val="20"/>
                <w:szCs w:val="20"/>
              </w:rPr>
            </w:pPr>
            <w:r>
              <w:rPr>
                <w:rFonts w:hint="eastAsia" w:ascii="宋体" w:hAnsi="宋体" w:eastAsia="宋体" w:cs="宋体"/>
                <w:iCs/>
                <w:kern w:val="0"/>
                <w:sz w:val="20"/>
                <w:szCs w:val="20"/>
              </w:rPr>
              <w:t>5</w:t>
            </w:r>
          </w:p>
        </w:tc>
        <w:tc>
          <w:tcPr>
            <w:tcW w:w="765" w:type="pct"/>
            <w:tcBorders>
              <w:top w:val="nil"/>
              <w:left w:val="single" w:color="auto" w:sz="4" w:space="0"/>
              <w:bottom w:val="single" w:color="auto" w:sz="4" w:space="0"/>
              <w:right w:val="single" w:color="auto" w:sz="4" w:space="0"/>
            </w:tcBorders>
            <w:noWrap w:val="0"/>
            <w:vAlign w:val="center"/>
          </w:tcPr>
          <w:p>
            <w:pPr>
              <w:widowControl/>
              <w:tabs>
                <w:tab w:val="left" w:pos="294"/>
                <w:tab w:val="center" w:pos="641"/>
              </w:tabs>
              <w:adjustRightInd w:val="0"/>
              <w:snapToGrid w:val="0"/>
              <w:jc w:val="center"/>
              <w:rPr>
                <w:sz w:val="20"/>
                <w:szCs w:val="20"/>
              </w:rPr>
            </w:pPr>
            <w:r>
              <w:rPr>
                <w:rFonts w:hint="eastAsia"/>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4" w:type="pct"/>
            <w:gridSpan w:val="3"/>
            <w:noWrap w:val="0"/>
            <w:vAlign w:val="center"/>
          </w:tcPr>
          <w:p>
            <w:pPr>
              <w:widowControl/>
              <w:adjustRightInd w:val="0"/>
              <w:snapToGrid w:val="0"/>
              <w:jc w:val="center"/>
              <w:rPr>
                <w:rFonts w:hint="eastAsia" w:ascii="宋体" w:hAnsi="宋体" w:eastAsia="宋体" w:cs="宋体"/>
                <w:b/>
                <w:bCs/>
                <w:iCs/>
                <w:kern w:val="0"/>
                <w:sz w:val="20"/>
                <w:szCs w:val="20"/>
              </w:rPr>
            </w:pPr>
            <w:r>
              <w:rPr>
                <w:rFonts w:hint="eastAsia" w:ascii="宋体" w:hAnsi="宋体" w:eastAsia="宋体" w:cs="宋体"/>
                <w:b/>
                <w:bCs/>
                <w:iCs/>
                <w:kern w:val="0"/>
                <w:sz w:val="20"/>
                <w:szCs w:val="20"/>
              </w:rPr>
              <w:t>合计</w:t>
            </w:r>
          </w:p>
        </w:tc>
        <w:tc>
          <w:tcPr>
            <w:tcW w:w="670" w:type="pct"/>
            <w:noWrap w:val="0"/>
            <w:vAlign w:val="center"/>
          </w:tcPr>
          <w:p>
            <w:pPr>
              <w:widowControl/>
              <w:adjustRightInd w:val="0"/>
              <w:snapToGrid w:val="0"/>
              <w:jc w:val="center"/>
              <w:rPr>
                <w:rFonts w:ascii="宋体" w:hAnsi="宋体" w:eastAsia="宋体" w:cs="宋体"/>
                <w:b/>
                <w:bCs/>
                <w:iCs/>
                <w:kern w:val="0"/>
                <w:sz w:val="20"/>
                <w:szCs w:val="20"/>
              </w:rPr>
            </w:pPr>
            <w:r>
              <w:rPr>
                <w:rFonts w:hint="eastAsia" w:ascii="宋体" w:hAnsi="宋体" w:eastAsia="宋体" w:cs="宋体"/>
                <w:b/>
                <w:bCs/>
                <w:iCs/>
                <w:kern w:val="0"/>
                <w:sz w:val="20"/>
                <w:szCs w:val="20"/>
              </w:rPr>
              <w:t>30</w:t>
            </w:r>
          </w:p>
        </w:tc>
        <w:tc>
          <w:tcPr>
            <w:tcW w:w="765" w:type="pct"/>
            <w:noWrap w:val="0"/>
            <w:vAlign w:val="center"/>
          </w:tcPr>
          <w:p>
            <w:pPr>
              <w:widowControl/>
              <w:adjustRightInd w:val="0"/>
              <w:snapToGrid w:val="0"/>
              <w:jc w:val="center"/>
              <w:rPr>
                <w:rFonts w:ascii="宋体" w:hAnsi="宋体" w:eastAsia="宋体" w:cs="宋体"/>
                <w:b/>
                <w:bCs/>
                <w:iCs/>
                <w:kern w:val="0"/>
                <w:sz w:val="20"/>
                <w:szCs w:val="20"/>
              </w:rPr>
            </w:pPr>
            <w:r>
              <w:rPr>
                <w:rFonts w:hint="eastAsia" w:ascii="宋体" w:hAnsi="宋体" w:eastAsia="宋体" w:cs="宋体"/>
                <w:b/>
                <w:bCs/>
                <w:iCs/>
                <w:kern w:val="0"/>
                <w:sz w:val="20"/>
                <w:szCs w:val="20"/>
              </w:rPr>
              <w:t>28.00</w:t>
            </w:r>
          </w:p>
        </w:tc>
      </w:tr>
    </w:tbl>
    <w:p>
      <w:pPr>
        <w:adjustRightInd w:val="0"/>
        <w:snapToGrid w:val="0"/>
        <w:spacing w:line="360" w:lineRule="auto"/>
        <w:ind w:firstLine="640" w:firstLineChars="200"/>
        <w:rPr>
          <w:rFonts w:hint="eastAsia" w:ascii="仿宋_GB2312"/>
          <w:iCs/>
          <w:sz w:val="32"/>
          <w:szCs w:val="32"/>
        </w:rPr>
      </w:pPr>
    </w:p>
    <w:p>
      <w:pPr>
        <w:autoSpaceDE w:val="0"/>
        <w:autoSpaceDN w:val="0"/>
        <w:adjustRightInd w:val="0"/>
        <w:snapToGrid w:val="0"/>
        <w:spacing w:line="360" w:lineRule="auto"/>
        <w:ind w:firstLine="560" w:firstLineChars="200"/>
        <w:outlineLvl w:val="2"/>
        <w:rPr>
          <w:rFonts w:hint="eastAsia" w:ascii="仿宋_GB2312" w:hAnsi="仿宋_GB2312" w:eastAsia="仿宋_GB2312" w:cs="仿宋_GB2312"/>
          <w:color w:val="000000"/>
          <w:kern w:val="0"/>
          <w:sz w:val="28"/>
          <w:szCs w:val="28"/>
        </w:rPr>
      </w:pPr>
      <w:bookmarkStart w:id="52" w:name="_Toc35588423"/>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项目效益</w:t>
      </w:r>
      <w:bookmarkEnd w:id="52"/>
    </w:p>
    <w:p>
      <w:pPr>
        <w:autoSpaceDE w:val="0"/>
        <w:autoSpaceDN w:val="0"/>
        <w:adjustRightInd w:val="0"/>
        <w:snapToGrid w:val="0"/>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通过项目的实施，通州区所有设施农业大棚均</w:t>
      </w:r>
      <w:r>
        <w:rPr>
          <w:rFonts w:hint="eastAsia" w:ascii="仿宋_GB2312" w:hAnsi="仿宋_GB2312" w:eastAsia="仿宋_GB2312" w:cs="仿宋_GB2312"/>
          <w:sz w:val="28"/>
          <w:szCs w:val="28"/>
        </w:rPr>
        <w:t>建立了设施农业管理台账</w:t>
      </w:r>
      <w:r>
        <w:rPr>
          <w:rFonts w:hint="eastAsia" w:ascii="仿宋_GB2312" w:hAnsi="仿宋_GB2312" w:eastAsia="仿宋_GB2312" w:cs="仿宋_GB2312"/>
          <w:color w:val="000000"/>
          <w:kern w:val="0"/>
          <w:sz w:val="28"/>
          <w:szCs w:val="28"/>
        </w:rPr>
        <w:t>，实行一棚一码上账管理，对农业台账变动情况进行动态监管，设施农业管理规范性有效提高；通过对全区全覆盖的日常监管巡查，已将查处问题反馈给各乡镇进行整改，基本实现了项目预期目标，但反映项目实施的效果佐证材料存在不足。</w:t>
      </w:r>
    </w:p>
    <w:p>
      <w:pPr>
        <w:autoSpaceDE w:val="0"/>
        <w:autoSpaceDN w:val="0"/>
        <w:adjustRightInd w:val="0"/>
        <w:snapToGrid w:val="0"/>
        <w:spacing w:line="360" w:lineRule="auto"/>
        <w:ind w:firstLine="560" w:firstLineChars="200"/>
        <w:outlineLvl w:val="2"/>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满意度</w:t>
      </w:r>
    </w:p>
    <w:p>
      <w:pPr>
        <w:autoSpaceDE w:val="0"/>
        <w:autoSpaceDN w:val="0"/>
        <w:adjustRightInd w:val="0"/>
        <w:snapToGrid w:val="0"/>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项目实施完成后，未及时针对被监管对象开展满意度调查，被监管对象对监管活动的方式方法等情况掌握不够到位，不利于项目后续进行完善改进。</w:t>
      </w:r>
    </w:p>
    <w:p>
      <w:pPr>
        <w:adjustRightInd w:val="0"/>
        <w:snapToGrid w:val="0"/>
        <w:spacing w:line="360" w:lineRule="auto"/>
        <w:ind w:firstLine="560" w:firstLineChars="200"/>
        <w:outlineLvl w:val="0"/>
        <w:rPr>
          <w:rFonts w:hint="eastAsia" w:ascii="仿宋_GB2312" w:hAnsi="仿宋_GB2312" w:eastAsia="仿宋_GB2312" w:cs="仿宋_GB2312"/>
          <w:sz w:val="28"/>
          <w:szCs w:val="28"/>
        </w:rPr>
      </w:pPr>
      <w:bookmarkStart w:id="53" w:name="_Toc135254612"/>
      <w:bookmarkStart w:id="54" w:name="_Toc35588424"/>
      <w:bookmarkStart w:id="55" w:name="_Toc32493"/>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存在的问题及原因分析</w:t>
      </w:r>
      <w:bookmarkEnd w:id="53"/>
      <w:bookmarkEnd w:id="54"/>
      <w:bookmarkEnd w:id="55"/>
    </w:p>
    <w:p>
      <w:pPr>
        <w:adjustRightInd w:val="0"/>
        <w:snapToGrid w:val="0"/>
        <w:spacing w:line="360" w:lineRule="auto"/>
        <w:ind w:firstLine="560" w:firstLineChars="200"/>
        <w:outlineLvl w:val="1"/>
        <w:rPr>
          <w:rFonts w:hint="eastAsia" w:ascii="仿宋_GB2312" w:hAnsi="仿宋_GB2312" w:eastAsia="仿宋_GB2312" w:cs="仿宋_GB2312"/>
          <w:sz w:val="28"/>
          <w:szCs w:val="28"/>
        </w:rPr>
      </w:pPr>
      <w:bookmarkStart w:id="56" w:name="_Toc15211"/>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项目精细化管理有待提升</w:t>
      </w:r>
      <w:bookmarkEnd w:id="56"/>
    </w:p>
    <w:p>
      <w:pPr>
        <w:snapToGrid w:val="0"/>
        <w:spacing w:line="360" w:lineRule="auto"/>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项目实施中对第三方的过程监督管理不够到位。按照合同“区农业农村局每月单独或者旁站监督第三方的现场检查，抽取一定数量的设施农业项目进行复核或现场检查”的约定，我局采取了旁站监督的方式进行现场检查，但在对第三方的现场监督检查过程中，未能及时形成过程监督管理资料，过程管理“留痕”意识不足，项目精细化管理有待进一步提升。</w:t>
      </w:r>
    </w:p>
    <w:p>
      <w:pPr>
        <w:adjustRightInd w:val="0"/>
        <w:snapToGrid w:val="0"/>
        <w:spacing w:line="360" w:lineRule="auto"/>
        <w:ind w:firstLine="560" w:firstLineChars="200"/>
        <w:outlineLvl w:val="1"/>
        <w:rPr>
          <w:rFonts w:hint="eastAsia" w:ascii="仿宋_GB2312" w:hAnsi="仿宋_GB2312" w:eastAsia="仿宋_GB2312" w:cs="仿宋_GB2312"/>
          <w:sz w:val="28"/>
          <w:szCs w:val="28"/>
        </w:rPr>
      </w:pPr>
      <w:bookmarkStart w:id="57" w:name="_Toc9700"/>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效益佐证材料收集整理不足</w:t>
      </w:r>
      <w:bookmarkEnd w:id="57"/>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设施农业长效监管项目实施完成后，我局未及时针对被监管对象开展满意度调查，被监管对象对第三方的监管方式、方法的满意程度掌握不够到位，不利于下一步优化项目管理。</w:t>
      </w:r>
    </w:p>
    <w:p>
      <w:pPr>
        <w:adjustRightInd w:val="0"/>
        <w:snapToGrid w:val="0"/>
        <w:spacing w:line="360" w:lineRule="auto"/>
        <w:ind w:firstLine="560" w:firstLineChars="200"/>
        <w:outlineLvl w:val="0"/>
        <w:rPr>
          <w:rFonts w:hint="eastAsia" w:ascii="仿宋_GB2312" w:hAnsi="仿宋_GB2312" w:eastAsia="仿宋_GB2312" w:cs="仿宋_GB2312"/>
          <w:sz w:val="28"/>
          <w:szCs w:val="28"/>
        </w:rPr>
      </w:pPr>
      <w:bookmarkStart w:id="58" w:name="_Toc10771"/>
      <w:bookmarkStart w:id="59" w:name="_Toc35588427"/>
      <w:bookmarkStart w:id="60" w:name="_Toc135254616"/>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有关建议</w:t>
      </w:r>
      <w:bookmarkEnd w:id="58"/>
      <w:bookmarkEnd w:id="59"/>
      <w:bookmarkEnd w:id="60"/>
    </w:p>
    <w:p>
      <w:pPr>
        <w:adjustRightInd w:val="0"/>
        <w:snapToGrid w:val="0"/>
        <w:spacing w:line="360" w:lineRule="auto"/>
        <w:ind w:firstLine="560" w:firstLineChars="200"/>
        <w:outlineLvl w:val="1"/>
        <w:rPr>
          <w:rFonts w:hint="eastAsia" w:ascii="仿宋_GB2312" w:hAnsi="仿宋_GB2312" w:eastAsia="仿宋_GB2312" w:cs="仿宋_GB2312"/>
          <w:sz w:val="28"/>
          <w:szCs w:val="28"/>
        </w:rPr>
      </w:pPr>
      <w:bookmarkStart w:id="61" w:name="_Toc10344"/>
      <w:bookmarkStart w:id="62" w:name="_Toc35588428"/>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）加强项目过程监管，强化主体责任</w:t>
      </w:r>
      <w:bookmarkEnd w:id="61"/>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强化项目主体监管责任，有序推进项目执行进度。加强对服务单位的监督检查，加大对项目成果开展过程式管理的力度，加强全流程的成果质量监管，以保证项目成果的质量。</w:t>
      </w:r>
    </w:p>
    <w:p>
      <w:pPr>
        <w:adjustRightInd w:val="0"/>
        <w:snapToGrid w:val="0"/>
        <w:spacing w:line="360" w:lineRule="auto"/>
        <w:ind w:firstLine="560" w:firstLineChars="200"/>
        <w:outlineLvl w:val="1"/>
        <w:rPr>
          <w:rFonts w:hint="eastAsia" w:ascii="仿宋_GB2312" w:hAnsi="仿宋_GB2312" w:eastAsia="仿宋_GB2312" w:cs="仿宋_GB2312"/>
          <w:sz w:val="28"/>
          <w:szCs w:val="28"/>
        </w:rPr>
      </w:pPr>
      <w:bookmarkStart w:id="63" w:name="_Toc19374"/>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）加强绩效管理意识，丰富效益支撑材料</w:t>
      </w:r>
      <w:bookmarkEnd w:id="63"/>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下一步将建立健全利益相关方的满意度回访调查工作机制。注重满意度调查，扩大满意度调查覆盖面，提升满意度支撑资料的准确性，进一步优化项目管理，全面、客观地反映项目实施效果和绩效实现情况。</w:t>
      </w:r>
    </w:p>
    <w:p>
      <w:pPr>
        <w:adjustRightInd w:val="0"/>
        <w:snapToGrid w:val="0"/>
        <w:spacing w:line="360" w:lineRule="auto"/>
        <w:ind w:firstLine="560" w:firstLineChars="200"/>
        <w:outlineLvl w:val="0"/>
        <w:rPr>
          <w:rFonts w:hint="eastAsia" w:ascii="仿宋_GB2312" w:hAnsi="仿宋_GB2312" w:eastAsia="仿宋_GB2312" w:cs="仿宋_GB2312"/>
          <w:sz w:val="28"/>
          <w:szCs w:val="28"/>
        </w:rPr>
      </w:pPr>
      <w:bookmarkStart w:id="64" w:name="_Toc2617"/>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其他需要说明的问题</w:t>
      </w:r>
      <w:bookmarkEnd w:id="62"/>
      <w:bookmarkEnd w:id="64"/>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黑体" w:eastAsia="黑体"/>
          <w:sz w:val="28"/>
          <w:szCs w:val="28"/>
          <w:highlight w:val="none"/>
          <w:lang w:eastAsia="zh-CN"/>
        </w:rPr>
        <w:t>二</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tbl>
      <w:tblPr>
        <w:tblStyle w:val="12"/>
        <w:tblW w:w="5618" w:type="pct"/>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00"/>
        <w:gridCol w:w="924"/>
        <w:gridCol w:w="393"/>
        <w:gridCol w:w="1266"/>
        <w:gridCol w:w="1089"/>
        <w:gridCol w:w="984"/>
        <w:gridCol w:w="420"/>
        <w:gridCol w:w="629"/>
        <w:gridCol w:w="883"/>
        <w:gridCol w:w="297"/>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000" w:type="pct"/>
            <w:gridSpan w:val="12"/>
            <w:tcBorders>
              <w:top w:val="nil"/>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5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开展政策性农业保险工作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91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北京市通州区农业农村局</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2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北京市通州区农业农村局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191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杨跃方</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172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81582565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45" w:type="pct"/>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6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     预算数</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     预算数</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5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5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45" w:type="pct"/>
            <w:gridSpan w:val="2"/>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687"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6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348.67</w:t>
            </w:r>
          </w:p>
        </w:tc>
        <w:tc>
          <w:tcPr>
            <w:tcW w:w="56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348.67</w:t>
            </w:r>
          </w:p>
        </w:tc>
        <w:tc>
          <w:tcPr>
            <w:tcW w:w="51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333.5</w:t>
            </w:r>
          </w:p>
        </w:tc>
        <w:tc>
          <w:tcPr>
            <w:tcW w:w="547"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95.65%</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45" w:type="pct"/>
            <w:gridSpan w:val="2"/>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45" w:type="pct"/>
            <w:gridSpan w:val="2"/>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48.67</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48.67</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68.83%</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3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3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2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5"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2387" w:type="pct"/>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通过参保，提高农业抗灾能力、保证农民稳定增收。</w:t>
            </w:r>
          </w:p>
        </w:tc>
        <w:tc>
          <w:tcPr>
            <w:tcW w:w="2236" w:type="pct"/>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通过参保，提高农业抗灾能力、保证农民稳定增收。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年度指标值</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实际完成值</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参保覆盖乡镇</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9个</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9个</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参保覆盖村庄</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359村</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359村</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参加险种类型</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≥13个</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36个</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小麦、玉米区财政补贴比率</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露地蔬菜</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连栋温室、砖钢结构日光温室、简易温室、钢架大棚</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质量指标</w:t>
            </w: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能繁母猪、生猪、母牛区财政补贴比率</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其余险种</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现场勘查定损时长</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24小时内</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24小时内</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定损后出具理赔单据时长</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8小时内</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8小时内</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理赔单据出具后，赔款到账时长</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10日内</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10日内</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300万元</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300万元</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8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2022年区级(结转)</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48.67万元</w:t>
            </w:r>
          </w:p>
        </w:tc>
        <w:tc>
          <w:tcPr>
            <w:tcW w:w="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33.5万元</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82"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86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通过开展政策性农业保险工作，提高通州区域农业抗灾能力</w:t>
            </w:r>
          </w:p>
        </w:tc>
        <w:tc>
          <w:tcPr>
            <w:tcW w:w="56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w:t>
            </w:r>
          </w:p>
        </w:tc>
        <w:tc>
          <w:tcPr>
            <w:tcW w:w="733"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达到防灾减灾、助农增收效果</w:t>
            </w:r>
          </w:p>
        </w:tc>
        <w:tc>
          <w:tcPr>
            <w:tcW w:w="3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4"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8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通过开展政策性农业保险工作，保证农民稳定增收，降低农民损失</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达到防灾减灾、助农增收效果</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75"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参保农户满意度</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49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2"/>
                <w:szCs w:val="22"/>
                <w:u w:val="none"/>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69"/>
        <w:gridCol w:w="1086"/>
        <w:gridCol w:w="718"/>
        <w:gridCol w:w="1114"/>
        <w:gridCol w:w="169"/>
        <w:gridCol w:w="938"/>
        <w:gridCol w:w="842"/>
        <w:gridCol w:w="208"/>
        <w:gridCol w:w="323"/>
        <w:gridCol w:w="651"/>
        <w:gridCol w:w="685"/>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928" w:type="dxa"/>
            <w:gridSpan w:val="13"/>
            <w:tcBorders>
              <w:top w:val="nil"/>
              <w:left w:val="nil"/>
              <w:bottom w:val="single" w:color="auto" w:sz="4" w:space="0"/>
              <w:right w:val="nil"/>
            </w:tcBorders>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2023</w:t>
            </w:r>
            <w:r>
              <w:rPr>
                <w:rFonts w:hint="eastAsia" w:ascii="宋体" w:hAnsi="宋体" w:cs="宋体"/>
                <w:color w:val="auto"/>
                <w:kern w:val="0"/>
                <w:sz w:val="18"/>
                <w:szCs w:val="1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农业、农村发展规划编制及涉农政策、项目规范化管理工作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4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 601001</w:t>
            </w:r>
          </w:p>
        </w:tc>
        <w:tc>
          <w:tcPr>
            <w:tcW w:w="105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4"/>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4"/>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47" w:type="dxa"/>
            <w:gridSpan w:val="2"/>
            <w:vMerge w:val="restart"/>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vAlign w:val="center"/>
          </w:tcPr>
          <w:p>
            <w:pPr>
              <w:widowControl/>
              <w:spacing w:line="240" w:lineRule="exact"/>
              <w:jc w:val="center"/>
              <w:rPr>
                <w:rFonts w:ascii="宋体" w:hAnsi="宋体" w:cs="宋体"/>
                <w:color w:val="auto"/>
                <w:kern w:val="0"/>
                <w:sz w:val="18"/>
                <w:szCs w:val="18"/>
              </w:rPr>
            </w:pPr>
          </w:p>
        </w:tc>
        <w:tc>
          <w:tcPr>
            <w:tcW w:w="1114"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97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8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4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0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50"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88.9</w:t>
            </w:r>
            <w:r>
              <w:rPr>
                <w:rFonts w:hint="eastAsia" w:ascii="宋体" w:hAnsi="宋体" w:cs="宋体"/>
                <w:color w:val="auto"/>
                <w:kern w:val="0"/>
                <w:sz w:val="18"/>
                <w:szCs w:val="18"/>
                <w:lang w:val="en-US" w:eastAsia="zh-CN"/>
              </w:rPr>
              <w:t>6</w:t>
            </w:r>
          </w:p>
        </w:tc>
        <w:tc>
          <w:tcPr>
            <w:tcW w:w="97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685"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88.96%</w:t>
            </w:r>
          </w:p>
        </w:tc>
        <w:tc>
          <w:tcPr>
            <w:tcW w:w="647"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107" w:type="dxa"/>
            <w:gridSpan w:val="2"/>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50" w:type="dxa"/>
            <w:gridSpan w:val="2"/>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88.9</w:t>
            </w:r>
            <w:r>
              <w:rPr>
                <w:rFonts w:hint="eastAsia" w:ascii="宋体" w:hAnsi="宋体" w:cs="宋体"/>
                <w:color w:val="auto"/>
                <w:kern w:val="0"/>
                <w:sz w:val="18"/>
                <w:szCs w:val="18"/>
                <w:lang w:val="en-US" w:eastAsia="zh-CN"/>
              </w:rPr>
              <w:t>6</w:t>
            </w:r>
          </w:p>
        </w:tc>
        <w:tc>
          <w:tcPr>
            <w:tcW w:w="97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8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88.96%</w:t>
            </w:r>
          </w:p>
        </w:tc>
        <w:tc>
          <w:tcPr>
            <w:tcW w:w="64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vAlign w:val="center"/>
          </w:tcPr>
          <w:p>
            <w:pPr>
              <w:widowControl/>
              <w:spacing w:line="240" w:lineRule="exact"/>
              <w:jc w:val="center"/>
              <w:rPr>
                <w:rFonts w:ascii="宋体" w:hAnsi="宋体" w:cs="宋体"/>
                <w:color w:val="auto"/>
                <w:kern w:val="0"/>
                <w:sz w:val="18"/>
                <w:szCs w:val="18"/>
              </w:rPr>
            </w:pPr>
          </w:p>
        </w:tc>
        <w:tc>
          <w:tcPr>
            <w:tcW w:w="110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97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85" w:type="dxa"/>
            <w:vAlign w:val="center"/>
          </w:tcPr>
          <w:p>
            <w:pPr>
              <w:widowControl/>
              <w:spacing w:line="240" w:lineRule="exact"/>
              <w:jc w:val="center"/>
              <w:rPr>
                <w:rFonts w:ascii="宋体" w:hAnsi="宋体" w:cs="宋体"/>
                <w:color w:val="auto"/>
                <w:kern w:val="0"/>
                <w:sz w:val="18"/>
                <w:szCs w:val="18"/>
              </w:rPr>
            </w:pPr>
          </w:p>
        </w:tc>
        <w:tc>
          <w:tcPr>
            <w:tcW w:w="64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vAlign w:val="center"/>
          </w:tcPr>
          <w:p>
            <w:pPr>
              <w:widowControl/>
              <w:spacing w:line="240" w:lineRule="exact"/>
              <w:jc w:val="center"/>
              <w:rPr>
                <w:rFonts w:ascii="宋体" w:hAnsi="宋体" w:cs="宋体"/>
                <w:color w:val="auto"/>
                <w:kern w:val="0"/>
                <w:sz w:val="18"/>
                <w:szCs w:val="18"/>
              </w:rPr>
            </w:pPr>
          </w:p>
        </w:tc>
        <w:tc>
          <w:tcPr>
            <w:tcW w:w="1107" w:type="dxa"/>
            <w:gridSpan w:val="2"/>
            <w:vAlign w:val="center"/>
          </w:tcPr>
          <w:p>
            <w:pPr>
              <w:widowControl/>
              <w:spacing w:line="240" w:lineRule="exact"/>
              <w:jc w:val="center"/>
              <w:rPr>
                <w:rFonts w:ascii="宋体" w:hAnsi="宋体" w:cs="宋体"/>
                <w:color w:val="auto"/>
                <w:kern w:val="0"/>
                <w:sz w:val="18"/>
                <w:szCs w:val="18"/>
              </w:rPr>
            </w:pPr>
          </w:p>
        </w:tc>
        <w:tc>
          <w:tcPr>
            <w:tcW w:w="1050" w:type="dxa"/>
            <w:gridSpan w:val="2"/>
            <w:vAlign w:val="center"/>
          </w:tcPr>
          <w:p>
            <w:pPr>
              <w:widowControl/>
              <w:spacing w:line="240" w:lineRule="exact"/>
              <w:jc w:val="center"/>
              <w:rPr>
                <w:rFonts w:ascii="宋体" w:hAnsi="宋体" w:cs="宋体"/>
                <w:color w:val="auto"/>
                <w:kern w:val="0"/>
                <w:sz w:val="18"/>
                <w:szCs w:val="18"/>
              </w:rPr>
            </w:pPr>
          </w:p>
        </w:tc>
        <w:tc>
          <w:tcPr>
            <w:tcW w:w="97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85" w:type="dxa"/>
            <w:vAlign w:val="center"/>
          </w:tcPr>
          <w:p>
            <w:pPr>
              <w:widowControl/>
              <w:spacing w:line="240" w:lineRule="exact"/>
              <w:jc w:val="center"/>
              <w:rPr>
                <w:rFonts w:ascii="宋体" w:hAnsi="宋体" w:cs="宋体"/>
                <w:color w:val="auto"/>
                <w:kern w:val="0"/>
                <w:sz w:val="18"/>
                <w:szCs w:val="18"/>
              </w:rPr>
            </w:pPr>
          </w:p>
        </w:tc>
        <w:tc>
          <w:tcPr>
            <w:tcW w:w="64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4994" w:type="dxa"/>
            <w:gridSpan w:val="6"/>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提升农业规划水平，提升政策制定与项目管理的科学合理性。</w:t>
            </w:r>
          </w:p>
        </w:tc>
        <w:tc>
          <w:tcPr>
            <w:tcW w:w="3356" w:type="dxa"/>
            <w:gridSpan w:val="6"/>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提升农业规划水平，提升政策制定与项目管理的科学合理性。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57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3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5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32"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评审涉农项目覆盖率</w:t>
            </w:r>
          </w:p>
        </w:tc>
        <w:tc>
          <w:tcPr>
            <w:tcW w:w="938" w:type="dxa"/>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2"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31"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51" w:type="dxa"/>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农业农村发展规划、政策、调研课题数量</w:t>
            </w:r>
          </w:p>
        </w:tc>
        <w:tc>
          <w:tcPr>
            <w:tcW w:w="938" w:type="dxa"/>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5个</w:t>
            </w:r>
          </w:p>
        </w:tc>
        <w:tc>
          <w:tcPr>
            <w:tcW w:w="842"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31"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51"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重要工程监理覆盖率</w:t>
            </w:r>
          </w:p>
        </w:tc>
        <w:tc>
          <w:tcPr>
            <w:tcW w:w="938" w:type="dxa"/>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2"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31"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51"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咨询、论证、修改和宣传涉农政策覆盖率</w:t>
            </w:r>
          </w:p>
        </w:tc>
        <w:tc>
          <w:tcPr>
            <w:tcW w:w="938" w:type="dxa"/>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2"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31"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51"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涉农项目通过专家评审率</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2"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31"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51"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涉农政策经过咨询、论证、修改通过率</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2"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31"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51"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涉农项目评审完成时间</w:t>
            </w:r>
          </w:p>
        </w:tc>
        <w:tc>
          <w:tcPr>
            <w:tcW w:w="938"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531"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51"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涉农政策咨询、论证、修改和宣传完成时间</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84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531"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51"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成本控制在总预算内</w:t>
            </w:r>
          </w:p>
        </w:tc>
        <w:tc>
          <w:tcPr>
            <w:tcW w:w="938"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w:t>
            </w:r>
            <w:r>
              <w:rPr>
                <w:rFonts w:hint="eastAsia" w:ascii="宋体" w:hAnsi="宋体" w:cs="宋体"/>
                <w:color w:val="auto"/>
                <w:kern w:val="0"/>
                <w:sz w:val="18"/>
                <w:szCs w:val="18"/>
                <w:lang w:val="en-US" w:eastAsia="zh-CN"/>
              </w:rPr>
              <w:t>100</w:t>
            </w:r>
            <w:r>
              <w:rPr>
                <w:rFonts w:hint="eastAsia" w:ascii="宋体" w:hAnsi="宋体" w:eastAsia="宋体" w:cs="宋体"/>
                <w:color w:val="auto"/>
                <w:kern w:val="0"/>
                <w:sz w:val="18"/>
                <w:szCs w:val="18"/>
                <w:lang w:eastAsia="zh-CN"/>
              </w:rPr>
              <w:t>万</w:t>
            </w:r>
            <w:r>
              <w:rPr>
                <w:rFonts w:hint="eastAsia" w:ascii="宋体" w:hAnsi="宋体" w:cs="宋体"/>
                <w:color w:val="auto"/>
                <w:kern w:val="0"/>
                <w:sz w:val="18"/>
                <w:szCs w:val="18"/>
                <w:lang w:val="en-US" w:eastAsia="zh-CN"/>
              </w:rPr>
              <w:t>元</w:t>
            </w:r>
          </w:p>
        </w:tc>
        <w:tc>
          <w:tcPr>
            <w:tcW w:w="842"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88.9</w:t>
            </w:r>
            <w:r>
              <w:rPr>
                <w:rFonts w:hint="eastAsia" w:ascii="宋体" w:hAnsi="宋体" w:cs="宋体"/>
                <w:color w:val="auto"/>
                <w:kern w:val="0"/>
                <w:sz w:val="18"/>
                <w:szCs w:val="18"/>
                <w:lang w:val="en-US" w:eastAsia="zh-CN"/>
              </w:rPr>
              <w:t>6万元</w:t>
            </w:r>
          </w:p>
        </w:tc>
        <w:tc>
          <w:tcPr>
            <w:tcW w:w="531"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51"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提升农业规划水平，进一步提升政策制定与项目管理的科学合理性</w:t>
            </w:r>
          </w:p>
        </w:tc>
        <w:tc>
          <w:tcPr>
            <w:tcW w:w="938" w:type="dxa"/>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有效提高</w:t>
            </w:r>
          </w:p>
        </w:tc>
        <w:tc>
          <w:tcPr>
            <w:tcW w:w="842"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有效提高</w:t>
            </w:r>
          </w:p>
        </w:tc>
        <w:tc>
          <w:tcPr>
            <w:tcW w:w="531"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651"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局领导对涉农政策、项目管理等工作的满意度</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≥80%</w:t>
            </w:r>
          </w:p>
        </w:tc>
        <w:tc>
          <w:tcPr>
            <w:tcW w:w="842"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531"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51"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32"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6414" w:type="dxa"/>
            <w:gridSpan w:val="8"/>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3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51"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98.9</w:t>
            </w:r>
          </w:p>
        </w:tc>
        <w:tc>
          <w:tcPr>
            <w:tcW w:w="1332" w:type="dxa"/>
            <w:gridSpan w:val="2"/>
            <w:vAlign w:val="center"/>
          </w:tcPr>
          <w:p>
            <w:pPr>
              <w:widowControl/>
              <w:spacing w:line="240" w:lineRule="exact"/>
              <w:jc w:val="center"/>
              <w:rPr>
                <w:rFonts w:ascii="宋体" w:hAnsi="宋体" w:cs="宋体"/>
                <w:color w:val="auto"/>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18"/>
                <w:szCs w:val="18"/>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18"/>
                <w:szCs w:val="18"/>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2023</w:t>
            </w:r>
            <w:r>
              <w:rPr>
                <w:rFonts w:hint="eastAsia" w:ascii="宋体" w:hAnsi="宋体" w:cs="宋体"/>
                <w:color w:val="auto"/>
                <w:kern w:val="0"/>
                <w:sz w:val="22"/>
                <w:szCs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设施农业长效监管（政府购买检查服务）</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r>
              <w:rPr>
                <w:rFonts w:hint="eastAsia" w:ascii="宋体" w:hAnsi="宋体" w:cs="宋体"/>
                <w:color w:val="auto"/>
                <w:kern w:val="0"/>
                <w:sz w:val="18"/>
                <w:szCs w:val="18"/>
                <w:lang w:val="en-US" w:eastAsia="zh-CN"/>
              </w:rPr>
              <w:t>601001</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杨跃方</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149.67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99.78%</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149.67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99.78%</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378"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以“大棚房”问题专项清理整治行动为契机，形成目标明确、上下一体、部门联动、职责清晰、标准统一的长效工作机制，坚决防止“大棚房”问题发生反弹</w:t>
            </w:r>
            <w:r>
              <w:rPr>
                <w:rFonts w:hint="eastAsia" w:ascii="宋体" w:hAnsi="宋体" w:cs="宋体"/>
                <w:color w:val="auto"/>
                <w:kern w:val="0"/>
                <w:sz w:val="18"/>
                <w:szCs w:val="18"/>
                <w:lang w:eastAsia="zh-CN"/>
              </w:rPr>
              <w:t>。</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按照“发现一处置一整改”全流程闭环监管要求，将区、镇、村三级及各部门监管责任落实到人，形成目标明确、上下一体、部门联动、职责清晰、标准统一的长效工作机制</w:t>
            </w:r>
            <w:r>
              <w:rPr>
                <w:rFonts w:hint="eastAsia" w:ascii="宋体" w:hAnsi="宋体" w:cs="宋体"/>
                <w:color w:val="auto"/>
                <w:kern w:val="0"/>
                <w:sz w:val="18"/>
                <w:szCs w:val="18"/>
                <w:lang w:eastAsia="zh-CN"/>
              </w:rPr>
              <w:t>。</w:t>
            </w:r>
          </w:p>
        </w:tc>
      </w:tr>
      <w:tr>
        <w:tblPrEx>
          <w:tblCellMar>
            <w:top w:w="0" w:type="dxa"/>
            <w:left w:w="108" w:type="dxa"/>
            <w:bottom w:w="0" w:type="dxa"/>
            <w:right w:w="108" w:type="dxa"/>
          </w:tblCellMar>
        </w:tblPrEx>
        <w:trPr>
          <w:trHeight w:val="892"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bidi="ar"/>
              </w:rPr>
              <w:t>巡查设施农业项目数量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bidi="ar"/>
              </w:rPr>
              <w:t>2000</w:t>
            </w:r>
            <w:r>
              <w:rPr>
                <w:rFonts w:hint="eastAsia" w:ascii="宋体" w:hAnsi="宋体" w:eastAsia="宋体" w:cs="宋体"/>
                <w:color w:val="auto"/>
                <w:kern w:val="0"/>
                <w:sz w:val="18"/>
                <w:szCs w:val="18"/>
                <w:lang w:bidi="ar"/>
              </w:rPr>
              <w:t>个</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bidi="ar"/>
              </w:rPr>
              <w:t>设施农业项目巡查覆盖率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bidi="ar"/>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bidi="ar"/>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bidi="ar"/>
              </w:rPr>
              <w:t>完成设施农业项目巡查时间</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bidi="ar"/>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bidi="ar"/>
              </w:rPr>
              <w:t>12月底前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2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bidi="ar"/>
              </w:rPr>
              <w:t>总成本控制</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bidi="ar"/>
              </w:rPr>
              <w:t>≤1</w:t>
            </w:r>
            <w:r>
              <w:rPr>
                <w:rFonts w:hint="eastAsia" w:ascii="宋体" w:hAnsi="宋体" w:eastAsia="宋体" w:cs="宋体"/>
                <w:color w:val="auto"/>
                <w:kern w:val="0"/>
                <w:sz w:val="18"/>
                <w:szCs w:val="18"/>
                <w:lang w:val="en-US" w:eastAsia="zh-CN" w:bidi="ar"/>
              </w:rPr>
              <w:t>5</w:t>
            </w:r>
            <w:r>
              <w:rPr>
                <w:rFonts w:hint="eastAsia" w:ascii="宋体" w:hAnsi="宋体" w:eastAsia="宋体" w:cs="宋体"/>
                <w:color w:val="auto"/>
                <w:kern w:val="0"/>
                <w:sz w:val="18"/>
                <w:szCs w:val="18"/>
                <w:lang w:bidi="ar"/>
              </w:rPr>
              <w:t>0万元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149.67万元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7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bidi="ar"/>
              </w:rPr>
              <w:t>规范备案管理、建立设施农业监管数据台账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bidi="ar"/>
              </w:rPr>
              <w:t>有效提高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bidi="ar"/>
              </w:rPr>
              <w:t>有效提高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bidi="ar"/>
              </w:rPr>
              <w:t>指导乡镇开展设施农业日常管理工作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bidi="ar"/>
              </w:rPr>
              <w:t>有效提高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bidi="ar"/>
              </w:rPr>
              <w:t>有效提高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7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bidi="ar"/>
              </w:rPr>
              <w:t>部门领导对监管工作的满意度</w:t>
            </w:r>
          </w:p>
        </w:tc>
        <w:tc>
          <w:tcPr>
            <w:tcW w:w="93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18"/>
                <w:szCs w:val="18"/>
              </w:rPr>
            </w:pPr>
            <w:r>
              <w:rPr>
                <w:rFonts w:hint="eastAsia" w:ascii="宋体" w:hAnsi="宋体" w:eastAsia="宋体" w:cs="宋体"/>
                <w:color w:val="auto"/>
                <w:kern w:val="0"/>
                <w:sz w:val="18"/>
                <w:szCs w:val="18"/>
                <w:lang w:bidi="ar"/>
              </w:rPr>
              <w:t>≥75%</w:t>
            </w:r>
          </w:p>
        </w:tc>
        <w:tc>
          <w:tcPr>
            <w:tcW w:w="848"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18"/>
                <w:szCs w:val="18"/>
              </w:rPr>
            </w:pPr>
            <w:r>
              <w:rPr>
                <w:rFonts w:hint="eastAsia" w:ascii="宋体" w:hAnsi="宋体" w:eastAsia="宋体" w:cs="宋体"/>
                <w:color w:val="auto"/>
                <w:kern w:val="0"/>
                <w:sz w:val="18"/>
                <w:szCs w:val="18"/>
                <w:lang w:bidi="ar"/>
              </w:rPr>
              <w:t>75%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bidi="ar"/>
              </w:rPr>
              <w:t>监管对象对监管工作的满意度</w:t>
            </w:r>
          </w:p>
        </w:tc>
        <w:tc>
          <w:tcPr>
            <w:tcW w:w="93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18"/>
                <w:szCs w:val="18"/>
              </w:rPr>
            </w:pPr>
            <w:r>
              <w:rPr>
                <w:rFonts w:ascii="宋体" w:hAnsi="宋体" w:eastAsia="宋体" w:cs="宋体"/>
                <w:color w:val="auto"/>
                <w:kern w:val="0"/>
                <w:sz w:val="18"/>
                <w:szCs w:val="18"/>
                <w:lang w:bidi="ar"/>
              </w:rPr>
              <w:t>≥</w:t>
            </w:r>
            <w:r>
              <w:rPr>
                <w:rFonts w:hint="eastAsia" w:ascii="宋体" w:hAnsi="宋体" w:eastAsia="宋体" w:cs="宋体"/>
                <w:color w:val="auto"/>
                <w:kern w:val="0"/>
                <w:sz w:val="18"/>
                <w:szCs w:val="18"/>
                <w:lang w:bidi="ar"/>
              </w:rPr>
              <w:t>90%</w:t>
            </w:r>
          </w:p>
        </w:tc>
        <w:tc>
          <w:tcPr>
            <w:tcW w:w="84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18"/>
                <w:szCs w:val="18"/>
              </w:rPr>
            </w:pPr>
            <w:r>
              <w:rPr>
                <w:rFonts w:hint="eastAsia" w:ascii="宋体" w:hAnsi="宋体" w:eastAsia="宋体" w:cs="宋体"/>
                <w:color w:val="auto"/>
                <w:kern w:val="0"/>
                <w:sz w:val="18"/>
                <w:szCs w:val="18"/>
                <w:lang w:bidi="ar"/>
              </w:rPr>
              <w:t>90%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1050"/>
        <w:gridCol w:w="115"/>
        <w:gridCol w:w="656"/>
        <w:gridCol w:w="571"/>
        <w:gridCol w:w="265"/>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auto"/>
                <w:kern w:val="0"/>
                <w:sz w:val="20"/>
                <w:szCs w:val="20"/>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single" w:color="auto" w:sz="4" w:space="0"/>
              <w:right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2023</w:t>
            </w:r>
            <w:r>
              <w:rPr>
                <w:rFonts w:hint="eastAsia" w:ascii="宋体" w:hAnsi="宋体" w:cs="宋体"/>
                <w:color w:val="auto"/>
                <w:kern w:val="0"/>
                <w:sz w:val="20"/>
                <w:szCs w:val="20"/>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项目名称</w:t>
            </w:r>
          </w:p>
        </w:tc>
        <w:tc>
          <w:tcPr>
            <w:tcW w:w="7381"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sz w:val="20"/>
                <w:szCs w:val="20"/>
              </w:rPr>
              <w:t>通州区“两田”高效节水工程运行维护区级配套资金</w:t>
            </w:r>
          </w:p>
        </w:tc>
      </w:tr>
      <w:tr>
        <w:tblPrEx>
          <w:tblCellMar>
            <w:top w:w="0" w:type="dxa"/>
            <w:left w:w="108" w:type="dxa"/>
            <w:bottom w:w="0" w:type="dxa"/>
            <w:right w:w="108" w:type="dxa"/>
          </w:tblCellMar>
        </w:tblPrEx>
        <w:trPr>
          <w:trHeight w:val="842"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主管部门</w:t>
            </w:r>
          </w:p>
        </w:tc>
        <w:tc>
          <w:tcPr>
            <w:tcW w:w="402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北京市通州区农业农村局</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实施单位</w:t>
            </w:r>
          </w:p>
        </w:tc>
        <w:tc>
          <w:tcPr>
            <w:tcW w:w="23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漷县镇、马驹桥镇、西集镇、张家湾镇、于家务乡政府</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项目</w:t>
            </w:r>
            <w:r>
              <w:rPr>
                <w:rFonts w:ascii="宋体" w:hAnsi="宋体" w:cs="宋体"/>
                <w:color w:val="auto"/>
                <w:kern w:val="0"/>
                <w:sz w:val="20"/>
                <w:szCs w:val="20"/>
              </w:rPr>
              <w:t>负责人</w:t>
            </w:r>
          </w:p>
        </w:tc>
        <w:tc>
          <w:tcPr>
            <w:tcW w:w="402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王连春</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ascii="宋体" w:hAnsi="宋体" w:cs="宋体"/>
                <w:color w:val="auto"/>
                <w:kern w:val="0"/>
                <w:sz w:val="20"/>
                <w:szCs w:val="20"/>
              </w:rPr>
              <w:t>联系电话</w:t>
            </w:r>
          </w:p>
        </w:tc>
        <w:tc>
          <w:tcPr>
            <w:tcW w:w="23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81582825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auto"/>
                <w:kern w:val="0"/>
                <w:sz w:val="20"/>
                <w:szCs w:val="20"/>
              </w:rPr>
            </w:pPr>
            <w:r>
              <w:rPr>
                <w:rFonts w:hint="eastAsia" w:ascii="宋体" w:hAnsi="宋体" w:cs="宋体"/>
                <w:color w:val="auto"/>
                <w:kern w:val="0"/>
                <w:sz w:val="20"/>
                <w:szCs w:val="20"/>
              </w:rPr>
              <w:t>项目资金（万元）</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年初</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预算数</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全年</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预算数</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全年</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执行数</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分值</w:t>
            </w: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执行率</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color w:val="auto"/>
                <w:kern w:val="0"/>
                <w:sz w:val="20"/>
                <w:szCs w:val="20"/>
              </w:rPr>
            </w:pPr>
            <w:r>
              <w:rPr>
                <w:rFonts w:hint="eastAsia" w:ascii="宋体" w:hAnsi="宋体" w:cs="宋体"/>
                <w:color w:val="auto"/>
                <w:kern w:val="0"/>
                <w:sz w:val="20"/>
                <w:szCs w:val="20"/>
              </w:rPr>
              <w:t>年度资金总额</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000000"/>
                <w:kern w:val="0"/>
                <w:sz w:val="20"/>
                <w:szCs w:val="20"/>
                <w:lang w:val="en-US" w:eastAsia="zh-CN"/>
              </w:rPr>
              <w:t>16.87</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000000"/>
                <w:kern w:val="0"/>
                <w:sz w:val="20"/>
                <w:szCs w:val="20"/>
                <w:lang w:val="en-US" w:eastAsia="zh-CN"/>
              </w:rPr>
              <w:t>16.87</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000000"/>
                <w:kern w:val="0"/>
                <w:sz w:val="20"/>
                <w:szCs w:val="20"/>
                <w:lang w:val="en-US" w:eastAsia="zh-CN"/>
              </w:rPr>
              <w:t>16.87</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10</w:t>
            </w: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其中：当年财政拨款</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bidi="ar-SA"/>
              </w:rPr>
            </w:pPr>
            <w:r>
              <w:rPr>
                <w:rFonts w:hint="eastAsia" w:ascii="宋体" w:hAnsi="宋体" w:cs="宋体"/>
                <w:color w:val="000000"/>
                <w:kern w:val="0"/>
                <w:sz w:val="20"/>
                <w:szCs w:val="20"/>
                <w:lang w:val="en-US" w:eastAsia="zh-CN"/>
              </w:rPr>
              <w:t>16.87</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bidi="ar-SA"/>
              </w:rPr>
            </w:pPr>
            <w:r>
              <w:rPr>
                <w:rFonts w:hint="eastAsia" w:ascii="宋体" w:hAnsi="宋体" w:cs="宋体"/>
                <w:color w:val="000000"/>
                <w:kern w:val="0"/>
                <w:sz w:val="20"/>
                <w:szCs w:val="20"/>
                <w:lang w:val="en-US" w:eastAsia="zh-CN"/>
              </w:rPr>
              <w:t>16.87</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bidi="ar-SA"/>
              </w:rPr>
            </w:pPr>
            <w:r>
              <w:rPr>
                <w:rFonts w:hint="eastAsia" w:ascii="宋体" w:hAnsi="宋体" w:cs="宋体"/>
                <w:color w:val="000000"/>
                <w:kern w:val="0"/>
                <w:sz w:val="20"/>
                <w:szCs w:val="20"/>
                <w:lang w:val="en-US" w:eastAsia="zh-CN"/>
              </w:rPr>
              <w:t>16.87</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w:t>
            </w: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 xml:space="preserve">      上年结转资金</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w:t>
            </w: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 xml:space="preserve">  其他资金</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w:t>
            </w: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年度总体目标</w:t>
            </w:r>
          </w:p>
        </w:tc>
        <w:tc>
          <w:tcPr>
            <w:tcW w:w="499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预期目标</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实际完成情况</w:t>
            </w:r>
          </w:p>
        </w:tc>
      </w:tr>
      <w:tr>
        <w:tblPrEx>
          <w:tblCellMar>
            <w:top w:w="0" w:type="dxa"/>
            <w:left w:w="108" w:type="dxa"/>
            <w:bottom w:w="0" w:type="dxa"/>
            <w:right w:w="108" w:type="dxa"/>
          </w:tblCellMar>
        </w:tblPrEx>
        <w:trPr>
          <w:trHeight w:val="2588"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499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年初设定目标：按照《北京市推进“两田一园”高效节水工作方案》的相关要求，</w:t>
            </w:r>
            <w:r>
              <w:rPr>
                <w:rFonts w:hint="eastAsia" w:ascii="宋体" w:hAnsi="宋体" w:cs="宋体"/>
                <w:color w:val="000000"/>
                <w:kern w:val="0"/>
                <w:sz w:val="20"/>
                <w:szCs w:val="20"/>
                <w:lang w:val="en-US" w:eastAsia="zh-CN"/>
              </w:rPr>
              <w:t>2023年通州区“两田”高效节水工程区级配套资金，共计16.87万元，主要用于高效节水示范镇灌溉设施管护费用及高标准农田节水灌溉设施运行维护费用。其中：8.87万元用于高效节水示范镇灌溉设施管护，涉及漷县镇3548亩地；8万元用于2022年通州区新建成高标准农田的节水灌溉设施运行维护，涉及</w:t>
            </w:r>
            <w:r>
              <w:rPr>
                <w:rFonts w:hint="eastAsia" w:ascii="宋体" w:hAnsi="宋体" w:cs="宋体"/>
                <w:color w:val="auto"/>
                <w:kern w:val="0"/>
                <w:sz w:val="20"/>
                <w:szCs w:val="20"/>
                <w:lang w:eastAsia="zh-CN"/>
              </w:rPr>
              <w:t>漷县镇、马驹桥镇、西集镇、张家湾镇、于家务乡，</w:t>
            </w:r>
            <w:r>
              <w:rPr>
                <w:rFonts w:hint="eastAsia" w:ascii="宋体" w:hAnsi="宋体" w:cs="宋体"/>
                <w:color w:val="000000"/>
                <w:kern w:val="0"/>
                <w:sz w:val="20"/>
                <w:szCs w:val="20"/>
                <w:lang w:val="en-US" w:eastAsia="zh-CN"/>
              </w:rPr>
              <w:t>3420.14亩地。两项合计16.87万元。</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cs="宋体"/>
                <w:color w:val="000000"/>
                <w:kern w:val="0"/>
                <w:sz w:val="20"/>
                <w:szCs w:val="20"/>
                <w:lang w:val="en-US" w:eastAsia="zh-CN"/>
              </w:rPr>
            </w:pPr>
            <w:r>
              <w:rPr>
                <w:rFonts w:hint="eastAsia" w:ascii="宋体" w:hAnsi="宋体" w:cs="宋体"/>
                <w:color w:val="000000"/>
                <w:kern w:val="0"/>
                <w:sz w:val="20"/>
                <w:szCs w:val="20"/>
              </w:rPr>
              <w:t>年度总体目标完成情况综述：高效节水灌溉设施管护费用，</w:t>
            </w:r>
            <w:r>
              <w:rPr>
                <w:rFonts w:hint="eastAsia" w:ascii="宋体" w:hAnsi="宋体" w:cs="宋体"/>
                <w:color w:val="000000"/>
                <w:kern w:val="0"/>
                <w:sz w:val="20"/>
                <w:szCs w:val="20"/>
                <w:lang w:val="en-US" w:eastAsia="zh-CN"/>
              </w:rPr>
              <w:t>区</w:t>
            </w:r>
            <w:r>
              <w:rPr>
                <w:rFonts w:hint="eastAsia" w:ascii="宋体" w:hAnsi="宋体" w:cs="宋体"/>
                <w:color w:val="000000"/>
                <w:kern w:val="0"/>
                <w:sz w:val="20"/>
                <w:szCs w:val="20"/>
              </w:rPr>
              <w:t>级补贴</w:t>
            </w:r>
            <w:r>
              <w:rPr>
                <w:rFonts w:hint="eastAsia" w:ascii="宋体" w:hAnsi="宋体" w:cs="宋体"/>
                <w:color w:val="000000"/>
                <w:kern w:val="0"/>
                <w:sz w:val="20"/>
                <w:szCs w:val="20"/>
                <w:lang w:eastAsia="zh-CN"/>
              </w:rPr>
              <w:t>安排</w:t>
            </w:r>
            <w:r>
              <w:rPr>
                <w:rFonts w:hint="eastAsia" w:ascii="宋体" w:hAnsi="宋体" w:cs="宋体"/>
                <w:color w:val="000000"/>
                <w:kern w:val="0"/>
                <w:sz w:val="20"/>
                <w:szCs w:val="20"/>
                <w:lang w:val="en-US" w:eastAsia="zh-CN"/>
              </w:rPr>
              <w:t>16.87万元</w:t>
            </w: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年已拨付补贴资金</w:t>
            </w:r>
            <w:r>
              <w:rPr>
                <w:rFonts w:hint="eastAsia" w:ascii="宋体" w:hAnsi="宋体" w:cs="宋体"/>
                <w:color w:val="000000"/>
                <w:kern w:val="0"/>
                <w:sz w:val="20"/>
                <w:szCs w:val="20"/>
                <w:lang w:val="en-US" w:eastAsia="zh-CN"/>
              </w:rPr>
              <w:t>16.87</w:t>
            </w:r>
            <w:r>
              <w:rPr>
                <w:rFonts w:hint="eastAsia" w:ascii="宋体" w:hAnsi="宋体" w:cs="宋体"/>
                <w:color w:val="000000"/>
                <w:kern w:val="0"/>
                <w:sz w:val="20"/>
                <w:szCs w:val="20"/>
              </w:rPr>
              <w:t>万元，涉及</w:t>
            </w:r>
            <w:r>
              <w:rPr>
                <w:rFonts w:hint="eastAsia" w:ascii="宋体" w:hAnsi="宋体" w:cs="宋体"/>
                <w:color w:val="auto"/>
                <w:kern w:val="0"/>
                <w:sz w:val="20"/>
                <w:szCs w:val="20"/>
                <w:lang w:eastAsia="zh-CN"/>
              </w:rPr>
              <w:t>漷县镇、马驹桥镇、西集镇、张家湾镇、于家务乡，均由属地政府拨付至各村委会或土地联营公司安排专款专用</w:t>
            </w:r>
            <w:r>
              <w:rPr>
                <w:rFonts w:hint="eastAsia" w:ascii="宋体" w:hAnsi="宋体" w:cs="宋体"/>
                <w:color w:val="000000"/>
                <w:kern w:val="0"/>
                <w:sz w:val="20"/>
                <w:szCs w:val="20"/>
                <w:lang w:val="en-US" w:eastAsia="zh-CN"/>
              </w:rPr>
              <w:t>。</w:t>
            </w:r>
          </w:p>
        </w:tc>
      </w:tr>
      <w:tr>
        <w:tblPrEx>
          <w:tblCellMar>
            <w:top w:w="0" w:type="dxa"/>
            <w:left w:w="108" w:type="dxa"/>
            <w:bottom w:w="0" w:type="dxa"/>
            <w:right w:w="108" w:type="dxa"/>
          </w:tblCellMar>
        </w:tblPrEx>
        <w:trPr>
          <w:trHeight w:val="1226"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绩</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效</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指</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二级指标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三级指标</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年度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指标值</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实际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完成值</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分值</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得分</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偏差原因分析及改进措施</w:t>
            </w:r>
          </w:p>
        </w:tc>
      </w:tr>
      <w:tr>
        <w:tblPrEx>
          <w:tblCellMar>
            <w:top w:w="0" w:type="dxa"/>
            <w:left w:w="108" w:type="dxa"/>
            <w:bottom w:w="0" w:type="dxa"/>
            <w:right w:w="108" w:type="dxa"/>
          </w:tblCellMar>
        </w:tblPrEx>
        <w:trPr>
          <w:trHeight w:val="76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产出指标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eastAsia="宋体" w:cs="Times New Roman"/>
                <w:kern w:val="2"/>
                <w:sz w:val="20"/>
                <w:szCs w:val="20"/>
                <w:lang w:val="en-US" w:eastAsia="zh-CN" w:bidi="ar-SA"/>
              </w:rPr>
            </w:pPr>
            <w:r>
              <w:rPr>
                <w:rFonts w:hint="eastAsia" w:ascii="宋体" w:hAnsi="宋体" w:eastAsia="宋体"/>
                <w:sz w:val="20"/>
                <w:szCs w:val="20"/>
              </w:rPr>
              <w:t>维保“两田一园”面积</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3548</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3548</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r>
        <w:tblPrEx>
          <w:tblCellMar>
            <w:top w:w="0" w:type="dxa"/>
            <w:left w:w="108" w:type="dxa"/>
            <w:bottom w:w="0" w:type="dxa"/>
            <w:right w:w="108" w:type="dxa"/>
          </w:tblCellMar>
        </w:tblPrEx>
        <w:trPr>
          <w:trHeight w:val="53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维保高标准农田面积</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3420.14</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3420.14</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r>
        <w:tblPrEx>
          <w:tblCellMar>
            <w:top w:w="0" w:type="dxa"/>
            <w:left w:w="108" w:type="dxa"/>
            <w:bottom w:w="0" w:type="dxa"/>
            <w:right w:w="108" w:type="dxa"/>
          </w:tblCellMar>
        </w:tblPrEx>
        <w:trPr>
          <w:trHeight w:val="117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质量指标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color w:val="auto"/>
                <w:kern w:val="0"/>
                <w:sz w:val="20"/>
                <w:szCs w:val="20"/>
              </w:rPr>
            </w:pPr>
            <w:r>
              <w:rPr>
                <w:rFonts w:hint="eastAsia" w:ascii="宋体" w:hAnsi="宋体" w:eastAsia="宋体"/>
                <w:sz w:val="20"/>
                <w:szCs w:val="20"/>
              </w:rPr>
              <w:t>补贴的“两田一园”符合《北京市推进“两田一园”高效节水工作方案》中要求</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Times New Roman"/>
                <w:kern w:val="2"/>
                <w:sz w:val="20"/>
                <w:szCs w:val="20"/>
                <w:lang w:val="en-US" w:eastAsia="zh-CN" w:bidi="ar-SA"/>
              </w:rPr>
            </w:pPr>
            <w:r>
              <w:rPr>
                <w:rFonts w:hint="eastAsia" w:ascii="宋体" w:hAnsi="宋体" w:eastAsia="宋体"/>
                <w:sz w:val="20"/>
                <w:szCs w:val="20"/>
              </w:rPr>
              <w:t>符合</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Times New Roman"/>
                <w:kern w:val="2"/>
                <w:sz w:val="20"/>
                <w:szCs w:val="20"/>
                <w:lang w:val="en-US" w:eastAsia="zh-CN" w:bidi="ar-SA"/>
              </w:rPr>
            </w:pPr>
            <w:r>
              <w:rPr>
                <w:rFonts w:hint="eastAsia" w:ascii="宋体" w:hAnsi="宋体" w:eastAsia="宋体"/>
                <w:sz w:val="20"/>
                <w:szCs w:val="20"/>
              </w:rPr>
              <w:t>符合</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r>
        <w:tblPrEx>
          <w:tblCellMar>
            <w:top w:w="0" w:type="dxa"/>
            <w:left w:w="108" w:type="dxa"/>
            <w:bottom w:w="0" w:type="dxa"/>
            <w:right w:w="108" w:type="dxa"/>
          </w:tblCellMar>
        </w:tblPrEx>
        <w:trPr>
          <w:trHeight w:val="522"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时效指标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补助资金发放时间</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2023年底之前</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2023年12月</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r>
        <w:tblPrEx>
          <w:tblCellMar>
            <w:top w:w="0" w:type="dxa"/>
            <w:left w:w="108" w:type="dxa"/>
            <w:bottom w:w="0" w:type="dxa"/>
            <w:right w:w="108" w:type="dxa"/>
          </w:tblCellMar>
        </w:tblPrEx>
        <w:trPr>
          <w:trHeight w:val="56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成本指标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color w:val="auto"/>
                <w:kern w:val="0"/>
                <w:sz w:val="20"/>
                <w:szCs w:val="20"/>
              </w:rPr>
            </w:pPr>
            <w:r>
              <w:rPr>
                <w:rFonts w:hint="eastAsia" w:ascii="宋体" w:hAnsi="宋体" w:eastAsia="宋体"/>
                <w:sz w:val="20"/>
                <w:szCs w:val="20"/>
              </w:rPr>
              <w:t>区级配套资金标准</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000000"/>
                <w:kern w:val="0"/>
                <w:sz w:val="20"/>
                <w:szCs w:val="20"/>
                <w:lang w:val="en-US" w:eastAsia="zh-CN"/>
              </w:rPr>
              <w:t>≤25元/亩</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000000"/>
                <w:kern w:val="0"/>
                <w:sz w:val="20"/>
                <w:szCs w:val="20"/>
                <w:lang w:val="en-US" w:eastAsia="zh-CN"/>
              </w:rPr>
              <w:t>24.2元/亩</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r>
        <w:tblPrEx>
          <w:tblCellMar>
            <w:top w:w="0" w:type="dxa"/>
            <w:left w:w="108" w:type="dxa"/>
            <w:bottom w:w="0" w:type="dxa"/>
            <w:right w:w="108" w:type="dxa"/>
          </w:tblCellMar>
        </w:tblPrEx>
        <w:trPr>
          <w:trHeight w:val="244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经济效益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color w:val="auto"/>
                <w:kern w:val="0"/>
                <w:sz w:val="20"/>
                <w:szCs w:val="20"/>
              </w:rPr>
            </w:pPr>
            <w:r>
              <w:rPr>
                <w:rFonts w:hint="eastAsia" w:ascii="宋体" w:hAnsi="宋体" w:cs="宋体"/>
                <w:color w:val="auto"/>
                <w:kern w:val="0"/>
                <w:sz w:val="20"/>
                <w:szCs w:val="20"/>
              </w:rPr>
              <w:t>通过开展菜田粮田高效节水工作，提高通州区农业高效节水能力</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eastAsia="宋体"/>
                <w:sz w:val="20"/>
                <w:szCs w:val="20"/>
              </w:rPr>
              <w:t>有效提高</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hint="eastAsia" w:ascii="宋体" w:hAnsi="宋体" w:eastAsia="宋体"/>
                <w:sz w:val="20"/>
                <w:szCs w:val="20"/>
              </w:rPr>
              <w:t>通过项目开展，</w:t>
            </w:r>
            <w:r>
              <w:rPr>
                <w:rFonts w:hint="eastAsia" w:ascii="宋体" w:hAnsi="宋体"/>
                <w:sz w:val="20"/>
                <w:szCs w:val="20"/>
                <w:lang w:eastAsia="zh-CN"/>
              </w:rPr>
              <w:t>确保全区</w:t>
            </w:r>
            <w:r>
              <w:rPr>
                <w:rFonts w:hint="eastAsia" w:ascii="宋体" w:hAnsi="宋体"/>
                <w:sz w:val="20"/>
                <w:szCs w:val="20"/>
                <w:lang w:val="en-US" w:eastAsia="zh-CN"/>
              </w:rPr>
              <w:t>6968.14</w:t>
            </w:r>
            <w:r>
              <w:rPr>
                <w:rFonts w:hint="eastAsia" w:ascii="宋体" w:hAnsi="宋体" w:cs="宋体"/>
                <w:kern w:val="0"/>
                <w:sz w:val="20"/>
                <w:szCs w:val="20"/>
                <w:lang w:eastAsia="zh-CN"/>
              </w:rPr>
              <w:t>农田</w:t>
            </w:r>
            <w:r>
              <w:rPr>
                <w:rFonts w:hint="eastAsia" w:ascii="宋体" w:hAnsi="宋体" w:eastAsia="宋体" w:cs="宋体"/>
                <w:kern w:val="0"/>
                <w:sz w:val="20"/>
                <w:szCs w:val="20"/>
              </w:rPr>
              <w:t>得到有效灌溉，提高</w:t>
            </w:r>
            <w:r>
              <w:rPr>
                <w:rFonts w:hint="eastAsia" w:ascii="宋体" w:hAnsi="宋体" w:eastAsia="宋体"/>
                <w:sz w:val="20"/>
                <w:szCs w:val="20"/>
              </w:rPr>
              <w:t>农业高效节水能力。</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10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ascii="宋体" w:hAnsi="宋体" w:eastAsia="宋体" w:cs="宋体"/>
                <w:kern w:val="0"/>
                <w:sz w:val="20"/>
                <w:szCs w:val="20"/>
              </w:rPr>
              <w:t>10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r>
        <w:tblPrEx>
          <w:tblCellMar>
            <w:top w:w="0" w:type="dxa"/>
            <w:left w:w="108" w:type="dxa"/>
            <w:bottom w:w="0" w:type="dxa"/>
            <w:right w:w="108" w:type="dxa"/>
          </w:tblCellMar>
        </w:tblPrEx>
        <w:trPr>
          <w:trHeight w:val="146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社会效益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color w:val="auto"/>
                <w:kern w:val="0"/>
                <w:sz w:val="20"/>
                <w:szCs w:val="20"/>
              </w:rPr>
            </w:pPr>
            <w:r>
              <w:rPr>
                <w:rFonts w:hint="eastAsia" w:ascii="宋体" w:hAnsi="宋体" w:eastAsia="宋体"/>
                <w:sz w:val="20"/>
                <w:szCs w:val="20"/>
              </w:rPr>
              <w:t>通过开展两田高效节水项目，确保农业高效节水灌溉工程持久性发挥效益。</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Times New Roman"/>
                <w:kern w:val="2"/>
                <w:sz w:val="20"/>
                <w:szCs w:val="20"/>
                <w:lang w:val="en-US" w:eastAsia="zh-CN" w:bidi="ar-SA"/>
              </w:rPr>
            </w:pPr>
            <w:r>
              <w:rPr>
                <w:rFonts w:hint="eastAsia" w:ascii="宋体" w:hAnsi="宋体" w:eastAsia="宋体"/>
                <w:sz w:val="20"/>
                <w:szCs w:val="20"/>
              </w:rPr>
              <w:t>较显著</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hint="eastAsia" w:ascii="宋体" w:hAnsi="宋体" w:eastAsia="宋体" w:cs="宋体"/>
                <w:kern w:val="0"/>
                <w:sz w:val="20"/>
                <w:szCs w:val="20"/>
              </w:rPr>
              <w:t>促进</w:t>
            </w:r>
            <w:r>
              <w:rPr>
                <w:rFonts w:hint="eastAsia" w:ascii="宋体" w:hAnsi="宋体" w:cs="宋体"/>
                <w:kern w:val="0"/>
                <w:sz w:val="20"/>
                <w:szCs w:val="20"/>
                <w:lang w:val="en-US" w:eastAsia="zh-CN"/>
              </w:rPr>
              <w:t>6968.14</w:t>
            </w:r>
            <w:r>
              <w:rPr>
                <w:rFonts w:ascii="宋体" w:hAnsi="宋体" w:eastAsia="宋体" w:cs="宋体"/>
                <w:kern w:val="0"/>
                <w:sz w:val="20"/>
                <w:szCs w:val="20"/>
              </w:rPr>
              <w:t>8</w:t>
            </w:r>
            <w:r>
              <w:rPr>
                <w:rFonts w:hint="eastAsia" w:ascii="宋体" w:hAnsi="宋体" w:eastAsia="宋体" w:cs="宋体"/>
                <w:kern w:val="0"/>
                <w:sz w:val="20"/>
                <w:szCs w:val="20"/>
              </w:rPr>
              <w:t>亩土地得到有效灌溉</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10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ascii="宋体" w:hAnsi="宋体" w:eastAsia="宋体" w:cs="宋体"/>
                <w:kern w:val="0"/>
                <w:sz w:val="20"/>
                <w:szCs w:val="20"/>
              </w:rPr>
              <w:t>10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r>
        <w:tblPrEx>
          <w:tblCellMar>
            <w:top w:w="0" w:type="dxa"/>
            <w:left w:w="108" w:type="dxa"/>
            <w:bottom w:w="0" w:type="dxa"/>
            <w:right w:w="108" w:type="dxa"/>
          </w:tblCellMar>
        </w:tblPrEx>
        <w:trPr>
          <w:trHeight w:val="1248"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可持续影响指标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eastAsia="zh-CN"/>
              </w:rPr>
              <w:t>通过开展两田高效节水设施运维，确保农田灌溉设施能够正常长久使用。</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得到有效保障</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已完成</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r>
        <w:tblPrEx>
          <w:tblCellMar>
            <w:top w:w="0" w:type="dxa"/>
            <w:left w:w="108" w:type="dxa"/>
            <w:bottom w:w="0" w:type="dxa"/>
            <w:right w:w="108" w:type="dxa"/>
          </w:tblCellMar>
        </w:tblPrEx>
        <w:trPr>
          <w:trHeight w:val="85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满意度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服务对象满意度指标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eastAsia="宋体" w:cs="Times New Roman"/>
                <w:kern w:val="2"/>
                <w:sz w:val="20"/>
                <w:szCs w:val="20"/>
                <w:lang w:val="en-US" w:eastAsia="zh-CN" w:bidi="ar-SA"/>
              </w:rPr>
            </w:pPr>
            <w:r>
              <w:rPr>
                <w:rFonts w:hint="eastAsia" w:ascii="宋体" w:hAnsi="宋体" w:eastAsia="宋体"/>
                <w:sz w:val="20"/>
                <w:szCs w:val="20"/>
              </w:rPr>
              <w:t>菜田粮田种植户满意度</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Times New Roman"/>
                <w:kern w:val="2"/>
                <w:sz w:val="20"/>
                <w:szCs w:val="20"/>
                <w:lang w:val="en-US" w:eastAsia="zh-CN" w:bidi="ar-SA"/>
              </w:rPr>
            </w:pPr>
            <w:r>
              <w:rPr>
                <w:rFonts w:hint="eastAsia" w:ascii="宋体" w:hAnsi="宋体" w:eastAsia="宋体"/>
                <w:sz w:val="20"/>
                <w:szCs w:val="20"/>
              </w:rPr>
              <w:t>≥80%</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hint="eastAsia" w:ascii="宋体" w:hAnsi="宋体" w:eastAsia="宋体"/>
                <w:sz w:val="20"/>
                <w:szCs w:val="20"/>
              </w:rPr>
              <w:t>8</w:t>
            </w:r>
            <w:r>
              <w:rPr>
                <w:rFonts w:ascii="宋体" w:hAnsi="宋体" w:eastAsia="宋体"/>
                <w:sz w:val="20"/>
                <w:szCs w:val="20"/>
              </w:rPr>
              <w:t>0%</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hint="eastAsia" w:ascii="宋体" w:hAnsi="宋体" w:cs="宋体"/>
                <w:kern w:val="0"/>
                <w:sz w:val="20"/>
                <w:szCs w:val="20"/>
                <w:lang w:val="en-US" w:eastAsia="zh-CN"/>
              </w:rPr>
              <w:t>1</w:t>
            </w:r>
            <w:r>
              <w:rPr>
                <w:rFonts w:ascii="宋体" w:hAnsi="宋体" w:eastAsia="宋体" w:cs="宋体"/>
                <w:kern w:val="0"/>
                <w:sz w:val="20"/>
                <w:szCs w:val="20"/>
              </w:rPr>
              <w:t>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0"/>
                <w:szCs w:val="20"/>
                <w:lang w:val="en-US" w:eastAsia="zh-CN" w:bidi="ar-SA"/>
              </w:rPr>
            </w:pPr>
            <w:r>
              <w:rPr>
                <w:rFonts w:ascii="宋体" w:hAnsi="宋体" w:eastAsia="宋体" w:cs="宋体"/>
                <w:kern w:val="0"/>
                <w:sz w:val="20"/>
                <w:szCs w:val="20"/>
              </w:rPr>
              <w:t>10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r>
        <w:tblPrEx>
          <w:tblCellMar>
            <w:top w:w="0" w:type="dxa"/>
            <w:left w:w="108" w:type="dxa"/>
            <w:bottom w:w="0" w:type="dxa"/>
            <w:right w:w="108" w:type="dxa"/>
          </w:tblCellMar>
        </w:tblPrEx>
        <w:trPr>
          <w:trHeight w:val="291" w:hRule="exact"/>
          <w:jc w:val="center"/>
        </w:trPr>
        <w:tc>
          <w:tcPr>
            <w:tcW w:w="6737"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总分</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100</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Layout w:type="fixed"/>
        <w:tblCellMar>
          <w:top w:w="0" w:type="dxa"/>
          <w:left w:w="108" w:type="dxa"/>
          <w:bottom w:w="0" w:type="dxa"/>
          <w:right w:w="108" w:type="dxa"/>
        </w:tblCellMar>
      </w:tblPr>
      <w:tblGrid>
        <w:gridCol w:w="578"/>
        <w:gridCol w:w="1009"/>
        <w:gridCol w:w="1046"/>
        <w:gridCol w:w="718"/>
        <w:gridCol w:w="1071"/>
        <w:gridCol w:w="43"/>
        <w:gridCol w:w="949"/>
        <w:gridCol w:w="1006"/>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tblPrEx>
          <w:tblCellMar>
            <w:top w:w="0" w:type="dxa"/>
            <w:left w:w="108" w:type="dxa"/>
            <w:bottom w:w="0" w:type="dxa"/>
            <w:right w:w="108" w:type="dxa"/>
          </w:tblCellMar>
        </w:tblPrEx>
        <w:trPr>
          <w:trHeight w:val="541"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项目名称</w:t>
            </w:r>
          </w:p>
        </w:tc>
        <w:tc>
          <w:tcPr>
            <w:tcW w:w="7341"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通州区推进“田长制”落实耕地保护利用（政府购买耕地质量等级监测评价与分类管理、基本农田巡查监管服务）</w:t>
            </w:r>
          </w:p>
        </w:tc>
      </w:tr>
      <w:tr>
        <w:tblPrEx>
          <w:tblCellMar>
            <w:top w:w="0" w:type="dxa"/>
            <w:left w:w="108" w:type="dxa"/>
            <w:bottom w:w="0" w:type="dxa"/>
            <w:right w:w="108" w:type="dxa"/>
          </w:tblCellMar>
        </w:tblPrEx>
        <w:trPr>
          <w:trHeight w:val="291"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主管部门</w:t>
            </w:r>
          </w:p>
        </w:tc>
        <w:tc>
          <w:tcPr>
            <w:tcW w:w="3827"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color w:val="auto"/>
                <w:kern w:val="0"/>
                <w:sz w:val="20"/>
                <w:szCs w:val="20"/>
              </w:rPr>
              <w:t>北京市通州区农业农村局</w:t>
            </w: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827"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559" w:hRule="exact"/>
          <w:jc w:val="center"/>
        </w:trPr>
        <w:tc>
          <w:tcPr>
            <w:tcW w:w="158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kern w:val="0"/>
                <w:sz w:val="18"/>
                <w:szCs w:val="18"/>
              </w:rPr>
            </w:pPr>
            <w:r>
              <w:rPr>
                <w:rFonts w:hint="eastAsia" w:ascii="宋体" w:hAnsi="宋体" w:cs="宋体"/>
                <w:kern w:val="0"/>
                <w:sz w:val="18"/>
                <w:szCs w:val="18"/>
              </w:rPr>
              <w:t>项目资金（万元）</w:t>
            </w: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年初     预算数</w:t>
            </w: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全年     预算数</w:t>
            </w: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5.00</w:t>
            </w: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5.00</w:t>
            </w: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75.00</w:t>
            </w: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5.00</w:t>
            </w: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5.00</w:t>
            </w: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75.00</w:t>
            </w: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年度总体目标</w:t>
            </w:r>
          </w:p>
        </w:tc>
        <w:tc>
          <w:tcPr>
            <w:tcW w:w="4836"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预期目标</w:t>
            </w:r>
          </w:p>
        </w:tc>
        <w:tc>
          <w:tcPr>
            <w:tcW w:w="3514"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3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4836"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完成耕地等级调查评价报告、土壤环境质量类别划分报告、设施农用地土壤环境状况调查与评估报告、产地土壤环境质量区级监测评估报告</w:t>
            </w:r>
          </w:p>
        </w:tc>
        <w:tc>
          <w:tcPr>
            <w:tcW w:w="3514"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完成了《2023年通州区耕地质量等级调查评价报告》（含耕地质量等级及变动表II 502-B）、《2023年通州区耕地土壤环境质量类别划分报告》（含耕地土壤环境质量类别分类清单）、《2023年通州区设施农用地土壤环境状况调查与评估报告》、《2023年北京市农产品产地土壤环境质量监测区级监测评估报告》。</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一级指标</w:t>
            </w:r>
          </w:p>
        </w:tc>
        <w:tc>
          <w:tcPr>
            <w:tcW w:w="10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二级指标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三级指标</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年度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指标值</w:t>
            </w:r>
          </w:p>
        </w:tc>
        <w:tc>
          <w:tcPr>
            <w:tcW w:w="10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实际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35"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产出指标</w:t>
            </w:r>
          </w:p>
        </w:tc>
        <w:tc>
          <w:tcPr>
            <w:tcW w:w="104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数量指标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耕地等级调查评价报告</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1份</w:t>
            </w:r>
          </w:p>
        </w:tc>
        <w:tc>
          <w:tcPr>
            <w:tcW w:w="10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1份</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618"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土壤环境质量类别划分报告</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pPr>
            <w:r>
              <w:rPr>
                <w:rFonts w:hint="eastAsia" w:ascii="宋体" w:hAnsi="宋体" w:cs="宋体"/>
                <w:kern w:val="0"/>
                <w:sz w:val="18"/>
                <w:szCs w:val="18"/>
              </w:rPr>
              <w:t>1份</w:t>
            </w:r>
          </w:p>
        </w:tc>
        <w:tc>
          <w:tcPr>
            <w:tcW w:w="100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pPr>
            <w:r>
              <w:rPr>
                <w:rFonts w:hint="eastAsia" w:ascii="宋体" w:hAnsi="宋体" w:cs="宋体"/>
                <w:kern w:val="0"/>
                <w:sz w:val="18"/>
                <w:szCs w:val="18"/>
              </w:rPr>
              <w:t>1份</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854"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设施农用地土壤环境状况调查与评估报告</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pPr>
            <w:r>
              <w:rPr>
                <w:rFonts w:hint="eastAsia" w:ascii="宋体" w:hAnsi="宋体" w:cs="宋体"/>
                <w:kern w:val="0"/>
                <w:sz w:val="18"/>
                <w:szCs w:val="18"/>
              </w:rPr>
              <w:t>1份</w:t>
            </w:r>
          </w:p>
        </w:tc>
        <w:tc>
          <w:tcPr>
            <w:tcW w:w="100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pPr>
            <w:r>
              <w:rPr>
                <w:rFonts w:hint="eastAsia" w:ascii="宋体" w:hAnsi="宋体" w:cs="宋体"/>
                <w:kern w:val="0"/>
                <w:sz w:val="18"/>
                <w:szCs w:val="18"/>
              </w:rPr>
              <w:t>1份</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产地土壤环境质量区级监测评估报告</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pPr>
            <w:r>
              <w:rPr>
                <w:rFonts w:hint="eastAsia" w:ascii="宋体" w:hAnsi="宋体" w:cs="宋体"/>
                <w:kern w:val="0"/>
                <w:sz w:val="18"/>
                <w:szCs w:val="18"/>
              </w:rPr>
              <w:t>1份</w:t>
            </w:r>
          </w:p>
        </w:tc>
        <w:tc>
          <w:tcPr>
            <w:tcW w:w="100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pPr>
            <w:r>
              <w:rPr>
                <w:rFonts w:hint="eastAsia" w:ascii="宋体" w:hAnsi="宋体" w:cs="宋体"/>
                <w:kern w:val="0"/>
                <w:sz w:val="18"/>
                <w:szCs w:val="18"/>
              </w:rPr>
              <w:t>1份</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质量指标</w:t>
            </w:r>
          </w:p>
        </w:tc>
        <w:tc>
          <w:tcPr>
            <w:tcW w:w="1789"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科学规范</w:t>
            </w:r>
          </w:p>
        </w:tc>
        <w:tc>
          <w:tcPr>
            <w:tcW w:w="992" w:type="dxa"/>
            <w:gridSpan w:val="2"/>
            <w:tcBorders>
              <w:top w:val="nil"/>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规范</w:t>
            </w:r>
          </w:p>
        </w:tc>
        <w:tc>
          <w:tcPr>
            <w:tcW w:w="1006" w:type="dxa"/>
            <w:tcBorders>
              <w:top w:val="nil"/>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规范</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时效指标</w:t>
            </w:r>
          </w:p>
        </w:tc>
        <w:tc>
          <w:tcPr>
            <w:tcW w:w="1789"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按时完成</w:t>
            </w:r>
          </w:p>
        </w:tc>
        <w:tc>
          <w:tcPr>
            <w:tcW w:w="992" w:type="dxa"/>
            <w:gridSpan w:val="2"/>
            <w:tcBorders>
              <w:top w:val="nil"/>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按时</w:t>
            </w:r>
          </w:p>
        </w:tc>
        <w:tc>
          <w:tcPr>
            <w:tcW w:w="1006" w:type="dxa"/>
            <w:tcBorders>
              <w:top w:val="nil"/>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按时</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成本指标</w:t>
            </w:r>
          </w:p>
        </w:tc>
        <w:tc>
          <w:tcPr>
            <w:tcW w:w="1789"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项目成本</w:t>
            </w:r>
          </w:p>
        </w:tc>
        <w:tc>
          <w:tcPr>
            <w:tcW w:w="992" w:type="dxa"/>
            <w:gridSpan w:val="2"/>
            <w:tcBorders>
              <w:top w:val="nil"/>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合理</w:t>
            </w:r>
          </w:p>
        </w:tc>
        <w:tc>
          <w:tcPr>
            <w:tcW w:w="1006" w:type="dxa"/>
            <w:tcBorders>
              <w:top w:val="nil"/>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合理</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685"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效益指标</w:t>
            </w: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社会效益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掌握耕地质量和环境状况</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基本掌握</w:t>
            </w:r>
          </w:p>
        </w:tc>
        <w:tc>
          <w:tcPr>
            <w:tcW w:w="10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基本掌握</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8</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新增耕地较多，需要加强巡查利用</w:t>
            </w:r>
          </w:p>
        </w:tc>
      </w:tr>
      <w:tr>
        <w:tblPrEx>
          <w:tblCellMar>
            <w:top w:w="0" w:type="dxa"/>
            <w:left w:w="108" w:type="dxa"/>
            <w:bottom w:w="0" w:type="dxa"/>
            <w:right w:w="108" w:type="dxa"/>
          </w:tblCellMar>
        </w:tblPrEx>
        <w:trPr>
          <w:trHeight w:val="824"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生态效益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保护耕地土壤环境和健康</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有效防控保护</w:t>
            </w:r>
          </w:p>
        </w:tc>
        <w:tc>
          <w:tcPr>
            <w:tcW w:w="10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有效防控保护</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8</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耕地利用背景复杂，做好源头防控</w:t>
            </w:r>
          </w:p>
        </w:tc>
      </w:tr>
      <w:tr>
        <w:tblPrEx>
          <w:tblCellMar>
            <w:top w:w="0" w:type="dxa"/>
            <w:left w:w="108" w:type="dxa"/>
            <w:bottom w:w="0" w:type="dxa"/>
            <w:right w:w="108" w:type="dxa"/>
          </w:tblCellMar>
        </w:tblPrEx>
        <w:trPr>
          <w:trHeight w:val="679" w:hRule="exact"/>
          <w:jc w:val="center"/>
        </w:trPr>
        <w:tc>
          <w:tcPr>
            <w:tcW w:w="57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可持续影响指标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保障粮菜安全提质生产</w:t>
            </w: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有效保障</w:t>
            </w:r>
          </w:p>
        </w:tc>
        <w:tc>
          <w:tcPr>
            <w:tcW w:w="10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有效保障</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8</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加强评价成果应用转换</w:t>
            </w:r>
          </w:p>
        </w:tc>
      </w:tr>
      <w:tr>
        <w:tblPrEx>
          <w:tblCellMar>
            <w:top w:w="0" w:type="dxa"/>
            <w:left w:w="108" w:type="dxa"/>
            <w:bottom w:w="0" w:type="dxa"/>
            <w:right w:w="108" w:type="dxa"/>
          </w:tblCellMar>
        </w:tblPrEx>
        <w:trPr>
          <w:trHeight w:val="880"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满意度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指标</w:t>
            </w: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服务对象满意度指标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乡镇满意度</w:t>
            </w: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≥90%</w:t>
            </w:r>
          </w:p>
        </w:tc>
        <w:tc>
          <w:tcPr>
            <w:tcW w:w="100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85%</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8</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需提升耕地保护意识</w:t>
            </w:r>
          </w:p>
        </w:tc>
      </w:tr>
      <w:tr>
        <w:tblPrEx>
          <w:tblCellMar>
            <w:top w:w="0" w:type="dxa"/>
            <w:left w:w="108" w:type="dxa"/>
            <w:bottom w:w="0" w:type="dxa"/>
            <w:right w:w="108" w:type="dxa"/>
          </w:tblCellMar>
        </w:tblPrEx>
        <w:trPr>
          <w:trHeight w:val="425"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=SUM(ABOVE) </w:instrText>
            </w:r>
            <w:r>
              <w:rPr>
                <w:rFonts w:ascii="宋体" w:hAnsi="宋体" w:cs="宋体"/>
                <w:kern w:val="0"/>
                <w:sz w:val="18"/>
                <w:szCs w:val="18"/>
              </w:rPr>
              <w:fldChar w:fldCharType="separate"/>
            </w:r>
            <w:r>
              <w:rPr>
                <w:rFonts w:hint="eastAsia" w:ascii="宋体" w:hAnsi="宋体" w:cs="宋体"/>
                <w:kern w:val="0"/>
                <w:sz w:val="18"/>
                <w:szCs w:val="18"/>
                <w:lang w:val="en-US" w:eastAsia="zh-CN"/>
              </w:rPr>
              <w:t>9</w:t>
            </w:r>
            <w:r>
              <w:rPr>
                <w:rFonts w:ascii="宋体" w:hAnsi="宋体" w:cs="宋体"/>
                <w:kern w:val="0"/>
                <w:sz w:val="18"/>
                <w:szCs w:val="18"/>
              </w:rPr>
              <w:t>2</w:t>
            </w:r>
            <w:r>
              <w:rPr>
                <w:rFonts w:ascii="宋体" w:hAnsi="宋体" w:cs="宋体"/>
                <w:kern w:val="0"/>
                <w:sz w:val="18"/>
                <w:szCs w:val="18"/>
              </w:rPr>
              <w:fldChar w:fldCharType="end"/>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624"/>
        <w:gridCol w:w="1125"/>
        <w:gridCol w:w="1190"/>
        <w:gridCol w:w="848"/>
        <w:gridCol w:w="287"/>
        <w:gridCol w:w="27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通州区耕地保护利用补贴资金</w:t>
            </w:r>
          </w:p>
        </w:tc>
      </w:tr>
      <w:tr>
        <w:tblPrEx>
          <w:tblCellMar>
            <w:top w:w="0" w:type="dxa"/>
            <w:left w:w="108" w:type="dxa"/>
            <w:bottom w:w="0" w:type="dxa"/>
            <w:right w:w="108" w:type="dxa"/>
          </w:tblCellMar>
        </w:tblPrEx>
        <w:trPr>
          <w:trHeight w:val="43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 601001</w:t>
            </w:r>
          </w:p>
        </w:tc>
        <w:tc>
          <w:tcPr>
            <w:tcW w:w="11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22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18"/>
                <w:szCs w:val="18"/>
                <w:lang w:val="en-US" w:eastAsia="zh-CN"/>
              </w:rPr>
            </w:pPr>
          </w:p>
        </w:tc>
        <w:tc>
          <w:tcPr>
            <w:tcW w:w="11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22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7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68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7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10077.74</w:t>
            </w: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10077.74</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cs="宋体"/>
                <w:color w:val="auto"/>
                <w:kern w:val="0"/>
                <w:sz w:val="18"/>
                <w:szCs w:val="18"/>
                <w:lang w:val="en-US" w:eastAsia="zh-CN"/>
              </w:rPr>
            </w:pPr>
          </w:p>
        </w:tc>
        <w:tc>
          <w:tcPr>
            <w:tcW w:w="11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10077.74</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cs="宋体"/>
                <w:color w:val="auto"/>
                <w:kern w:val="0"/>
                <w:sz w:val="18"/>
                <w:szCs w:val="18"/>
                <w:lang w:val="en-US" w:eastAsia="zh-CN"/>
              </w:rPr>
            </w:pPr>
          </w:p>
        </w:tc>
        <w:tc>
          <w:tcPr>
            <w:tcW w:w="68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7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10077.74</w:t>
            </w: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10077.74</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cs="宋体"/>
                <w:color w:val="auto"/>
                <w:kern w:val="0"/>
                <w:sz w:val="18"/>
                <w:szCs w:val="18"/>
                <w:lang w:val="en-US" w:eastAsia="zh-CN"/>
              </w:rPr>
            </w:pPr>
          </w:p>
        </w:tc>
        <w:tc>
          <w:tcPr>
            <w:tcW w:w="11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10077.74</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68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7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p>
        </w:tc>
        <w:tc>
          <w:tcPr>
            <w:tcW w:w="11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p>
        </w:tc>
        <w:tc>
          <w:tcPr>
            <w:tcW w:w="68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7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1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68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19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499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宋体" w:hAnsi="宋体" w:cs="宋体"/>
                <w:color w:val="auto"/>
                <w:kern w:val="0"/>
                <w:sz w:val="18"/>
                <w:szCs w:val="18"/>
              </w:rPr>
            </w:pPr>
            <w:r>
              <w:rPr>
                <w:rFonts w:hint="eastAsia" w:ascii="宋体" w:hAnsi="宋体" w:cs="宋体"/>
                <w:color w:val="auto"/>
                <w:kern w:val="0"/>
                <w:sz w:val="18"/>
                <w:szCs w:val="18"/>
              </w:rPr>
              <w:t>推进耕地保护空间复耕复种和保粮稳菜任务实施，鼓励乡镇政府集中流转复耕土地，促进耕地集中连片、发展规模经营和高效农业，有力支撑都市型现代农业高质量发展和城市副中心建设。</w:t>
            </w:r>
          </w:p>
        </w:tc>
        <w:tc>
          <w:tcPr>
            <w:tcW w:w="335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完成</w:t>
            </w:r>
            <w:r>
              <w:rPr>
                <w:rFonts w:hint="eastAsia" w:ascii="宋体" w:hAnsi="宋体" w:cs="宋体"/>
                <w:color w:val="auto"/>
                <w:kern w:val="0"/>
                <w:sz w:val="18"/>
                <w:szCs w:val="18"/>
                <w:lang w:val="en-US" w:eastAsia="zh-CN"/>
              </w:rPr>
              <w:t>9个乡镇的土地流转复耕复种，拨付土地流转补贴费用，</w:t>
            </w:r>
            <w:r>
              <w:rPr>
                <w:rFonts w:hint="eastAsia" w:ascii="宋体" w:hAnsi="宋体" w:cs="宋体"/>
                <w:color w:val="auto"/>
                <w:kern w:val="0"/>
                <w:sz w:val="18"/>
                <w:szCs w:val="18"/>
              </w:rPr>
              <w:t>促进耕地集中连片、发展规模经营和高效农业，有力支撑都市型现代农业高质量发展和城市副中心建设</w:t>
            </w:r>
            <w:r>
              <w:rPr>
                <w:rFonts w:hint="eastAsia" w:ascii="宋体" w:hAnsi="宋体" w:cs="宋体"/>
                <w:color w:val="auto"/>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年度</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实际</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补贴乡镇</w:t>
            </w:r>
          </w:p>
        </w:tc>
        <w:tc>
          <w:tcPr>
            <w:tcW w:w="11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18"/>
                <w:szCs w:val="18"/>
              </w:rPr>
            </w:pPr>
            <w:r>
              <w:rPr>
                <w:rFonts w:hint="eastAsia" w:ascii="宋体" w:hAnsi="宋体" w:cs="宋体"/>
                <w:i w:val="0"/>
                <w:color w:val="000000"/>
                <w:kern w:val="0"/>
                <w:sz w:val="18"/>
                <w:szCs w:val="18"/>
                <w:u w:val="none"/>
                <w:lang w:val="en-US" w:eastAsia="zh-CN" w:bidi="ar"/>
              </w:rPr>
              <w:t>9个</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auto"/>
                <w:kern w:val="0"/>
                <w:sz w:val="18"/>
                <w:szCs w:val="18"/>
                <w:lang w:val="en-US" w:eastAsia="zh-CN" w:bidi="ar-SA"/>
              </w:rPr>
            </w:pPr>
            <w:r>
              <w:rPr>
                <w:rFonts w:hint="eastAsia" w:ascii="宋体" w:hAnsi="宋体" w:cs="宋体"/>
                <w:i w:val="0"/>
                <w:color w:val="000000"/>
                <w:kern w:val="0"/>
                <w:sz w:val="18"/>
                <w:szCs w:val="18"/>
                <w:u w:val="none"/>
                <w:lang w:val="en-US" w:eastAsia="zh-CN" w:bidi="ar"/>
              </w:rPr>
              <w:t>9个</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宋体" w:hAnsi="宋体" w:cs="宋体"/>
                <w:color w:val="auto"/>
                <w:kern w:val="0"/>
                <w:sz w:val="18"/>
                <w:szCs w:val="18"/>
              </w:rPr>
            </w:pPr>
            <w:r>
              <w:rPr>
                <w:rFonts w:hint="eastAsia" w:ascii="宋体" w:hAnsi="宋体" w:cs="宋体"/>
                <w:color w:val="auto"/>
                <w:kern w:val="0"/>
                <w:sz w:val="18"/>
                <w:szCs w:val="18"/>
              </w:rPr>
              <w:t>补贴覆盖率</w:t>
            </w: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宋体" w:hAnsi="宋体" w:cs="宋体"/>
                <w:color w:val="auto"/>
                <w:kern w:val="0"/>
                <w:sz w:val="18"/>
                <w:szCs w:val="18"/>
              </w:rPr>
            </w:pPr>
            <w:r>
              <w:rPr>
                <w:rFonts w:hint="eastAsia" w:ascii="宋体" w:hAnsi="宋体" w:cs="宋体"/>
                <w:color w:val="auto"/>
                <w:kern w:val="0"/>
                <w:sz w:val="18"/>
                <w:szCs w:val="18"/>
              </w:rPr>
              <w:t>完成拨付补贴</w:t>
            </w: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12月底前</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宋体" w:hAnsi="宋体" w:cs="宋体"/>
                <w:color w:val="auto"/>
                <w:kern w:val="0"/>
                <w:sz w:val="18"/>
                <w:szCs w:val="18"/>
              </w:rPr>
            </w:pPr>
            <w:r>
              <w:rPr>
                <w:rFonts w:hint="eastAsia" w:ascii="宋体" w:hAnsi="宋体" w:cs="宋体"/>
                <w:color w:val="auto"/>
                <w:kern w:val="0"/>
                <w:sz w:val="18"/>
                <w:szCs w:val="18"/>
              </w:rPr>
              <w:t>总成本控制</w:t>
            </w: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w:t>
            </w:r>
            <w:r>
              <w:rPr>
                <w:rFonts w:hint="eastAsia" w:ascii="宋体" w:hAnsi="宋体" w:cs="宋体"/>
                <w:color w:val="auto"/>
                <w:kern w:val="0"/>
                <w:sz w:val="18"/>
                <w:szCs w:val="18"/>
                <w:lang w:val="en-US" w:eastAsia="zh-CN"/>
              </w:rPr>
              <w:t>10077.7365</w:t>
            </w:r>
            <w:r>
              <w:rPr>
                <w:rFonts w:hint="eastAsia" w:ascii="宋体" w:hAnsi="宋体" w:eastAsia="宋体" w:cs="宋体"/>
                <w:color w:val="auto"/>
                <w:kern w:val="0"/>
                <w:sz w:val="18"/>
                <w:szCs w:val="18"/>
                <w:lang w:eastAsia="zh-CN"/>
              </w:rPr>
              <w:t>万</w:t>
            </w:r>
            <w:r>
              <w:rPr>
                <w:rFonts w:hint="eastAsia" w:ascii="宋体" w:hAnsi="宋体" w:cs="宋体"/>
                <w:color w:val="auto"/>
                <w:kern w:val="0"/>
                <w:sz w:val="18"/>
                <w:szCs w:val="18"/>
                <w:lang w:val="en-US" w:eastAsia="zh-CN"/>
              </w:rPr>
              <w:t>元</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10077.7365</w:t>
            </w:r>
            <w:r>
              <w:rPr>
                <w:rFonts w:hint="eastAsia" w:ascii="宋体" w:hAnsi="宋体" w:eastAsia="宋体" w:cs="宋体"/>
                <w:color w:val="auto"/>
                <w:kern w:val="0"/>
                <w:sz w:val="18"/>
                <w:szCs w:val="18"/>
                <w:lang w:eastAsia="zh-CN"/>
              </w:rPr>
              <w:t>万</w:t>
            </w:r>
            <w:r>
              <w:rPr>
                <w:rFonts w:hint="eastAsia" w:ascii="宋体" w:hAnsi="宋体" w:cs="宋体"/>
                <w:color w:val="auto"/>
                <w:kern w:val="0"/>
                <w:sz w:val="18"/>
                <w:szCs w:val="18"/>
                <w:lang w:val="en-US" w:eastAsia="zh-CN"/>
              </w:rPr>
              <w:t>元</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宋体" w:hAnsi="宋体" w:cs="宋体"/>
                <w:color w:val="auto"/>
                <w:kern w:val="0"/>
                <w:sz w:val="18"/>
                <w:szCs w:val="18"/>
              </w:rPr>
            </w:pPr>
            <w:r>
              <w:rPr>
                <w:rFonts w:hint="eastAsia" w:ascii="宋体" w:hAnsi="宋体" w:cs="宋体"/>
                <w:color w:val="auto"/>
                <w:kern w:val="0"/>
                <w:sz w:val="18"/>
                <w:szCs w:val="18"/>
              </w:rPr>
              <w:t>助力都市型现代农业高质量发展和城市副中心建设</w:t>
            </w:r>
          </w:p>
        </w:tc>
        <w:tc>
          <w:tcPr>
            <w:tcW w:w="1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有效促进</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有效促进</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61" w:hRule="exact"/>
          <w:jc w:val="center"/>
        </w:trPr>
        <w:tc>
          <w:tcPr>
            <w:tcW w:w="57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宋体" w:hAnsi="宋体" w:cs="宋体"/>
                <w:color w:val="auto"/>
                <w:kern w:val="0"/>
                <w:sz w:val="18"/>
                <w:szCs w:val="18"/>
              </w:rPr>
            </w:pPr>
            <w:r>
              <w:rPr>
                <w:rFonts w:hint="eastAsia" w:ascii="宋体" w:hAnsi="宋体" w:cs="宋体"/>
                <w:color w:val="auto"/>
                <w:kern w:val="0"/>
                <w:sz w:val="18"/>
                <w:szCs w:val="18"/>
              </w:rPr>
              <w:t>促进耕地集中连片、发展规模经营和高效农业发展</w:t>
            </w:r>
          </w:p>
        </w:tc>
        <w:tc>
          <w:tcPr>
            <w:tcW w:w="11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显著</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显著</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满意度</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宋体" w:hAnsi="宋体" w:cs="宋体"/>
                <w:color w:val="auto"/>
                <w:kern w:val="0"/>
                <w:sz w:val="18"/>
                <w:szCs w:val="18"/>
              </w:rPr>
            </w:pPr>
            <w:r>
              <w:rPr>
                <w:rFonts w:hint="eastAsia" w:ascii="宋体" w:hAnsi="宋体" w:cs="宋体"/>
                <w:color w:val="auto"/>
                <w:kern w:val="0"/>
                <w:sz w:val="18"/>
                <w:szCs w:val="18"/>
              </w:rPr>
              <w:t>受益对象满意度</w:t>
            </w:r>
          </w:p>
        </w:tc>
        <w:tc>
          <w:tcPr>
            <w:tcW w:w="11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≥8</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Layout w:type="fixed"/>
        <w:tblCellMar>
          <w:top w:w="0" w:type="dxa"/>
          <w:left w:w="108" w:type="dxa"/>
          <w:bottom w:w="0" w:type="dxa"/>
          <w:right w:w="108" w:type="dxa"/>
        </w:tblCellMar>
      </w:tblPr>
      <w:tblGrid>
        <w:gridCol w:w="578"/>
        <w:gridCol w:w="1009"/>
        <w:gridCol w:w="1046"/>
        <w:gridCol w:w="718"/>
        <w:gridCol w:w="1071"/>
        <w:gridCol w:w="43"/>
        <w:gridCol w:w="949"/>
        <w:gridCol w:w="1006"/>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tblPrEx>
          <w:tblCellMar>
            <w:top w:w="0" w:type="dxa"/>
            <w:left w:w="108" w:type="dxa"/>
            <w:bottom w:w="0" w:type="dxa"/>
            <w:right w:w="108" w:type="dxa"/>
          </w:tblCellMar>
        </w:tblPrEx>
        <w:trPr>
          <w:trHeight w:val="673"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项目名称</w:t>
            </w:r>
          </w:p>
        </w:tc>
        <w:tc>
          <w:tcPr>
            <w:tcW w:w="7341"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新增耕地农业生产符合性评价工作资金</w:t>
            </w:r>
          </w:p>
        </w:tc>
      </w:tr>
      <w:tr>
        <w:tblPrEx>
          <w:tblCellMar>
            <w:top w:w="0" w:type="dxa"/>
            <w:left w:w="108" w:type="dxa"/>
            <w:bottom w:w="0" w:type="dxa"/>
            <w:right w:w="108" w:type="dxa"/>
          </w:tblCellMar>
        </w:tblPrEx>
        <w:trPr>
          <w:trHeight w:val="291"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主管部门</w:t>
            </w:r>
          </w:p>
        </w:tc>
        <w:tc>
          <w:tcPr>
            <w:tcW w:w="3827"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color w:val="auto"/>
                <w:kern w:val="0"/>
                <w:sz w:val="18"/>
                <w:szCs w:val="18"/>
              </w:rPr>
              <w:t>北京市通州区农业农村局</w:t>
            </w: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827"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559" w:hRule="exact"/>
          <w:jc w:val="center"/>
        </w:trPr>
        <w:tc>
          <w:tcPr>
            <w:tcW w:w="158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kern w:val="0"/>
                <w:sz w:val="18"/>
                <w:szCs w:val="18"/>
              </w:rPr>
            </w:pPr>
            <w:r>
              <w:rPr>
                <w:rFonts w:hint="eastAsia" w:ascii="宋体" w:hAnsi="宋体" w:cs="宋体"/>
                <w:kern w:val="0"/>
                <w:sz w:val="18"/>
                <w:szCs w:val="18"/>
              </w:rPr>
              <w:t>项目资金（万元）</w:t>
            </w: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年初     预算数</w:t>
            </w: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全年     预算数</w:t>
            </w: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全年执行数</w:t>
            </w: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199.72</w:t>
            </w: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100.66</w:t>
            </w: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100.66</w:t>
            </w: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63"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年度总体目标</w:t>
            </w:r>
          </w:p>
        </w:tc>
        <w:tc>
          <w:tcPr>
            <w:tcW w:w="4836"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预期目标</w:t>
            </w:r>
          </w:p>
        </w:tc>
        <w:tc>
          <w:tcPr>
            <w:tcW w:w="3514"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946"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4836"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完成1</w:t>
            </w:r>
            <w:r>
              <w:rPr>
                <w:rFonts w:ascii="宋体" w:hAnsi="宋体" w:cs="宋体"/>
                <w:kern w:val="0"/>
                <w:sz w:val="18"/>
                <w:szCs w:val="18"/>
              </w:rPr>
              <w:t>0个</w:t>
            </w:r>
            <w:r>
              <w:rPr>
                <w:rFonts w:hint="eastAsia" w:ascii="宋体" w:hAnsi="宋体" w:cs="宋体"/>
                <w:kern w:val="0"/>
                <w:sz w:val="18"/>
                <w:szCs w:val="18"/>
              </w:rPr>
              <w:t>新增耕地项目农业生产符合性评价报告</w:t>
            </w:r>
          </w:p>
        </w:tc>
        <w:tc>
          <w:tcPr>
            <w:tcW w:w="3514"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hint="eastAsia" w:ascii="宋体" w:hAnsi="宋体" w:cs="宋体"/>
                <w:kern w:val="0"/>
                <w:sz w:val="18"/>
                <w:szCs w:val="18"/>
              </w:rPr>
              <w:t>完成了，宋庄一期、潞城一期、张家湾一期报告，西集二期报告基本完成，项目总体进度超过5</w:t>
            </w:r>
            <w:r>
              <w:rPr>
                <w:rFonts w:ascii="宋体" w:hAnsi="宋体" w:cs="宋体"/>
                <w:kern w:val="0"/>
                <w:sz w:val="18"/>
                <w:szCs w:val="18"/>
              </w:rPr>
              <w:t>0%</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一级指标</w:t>
            </w:r>
          </w:p>
        </w:tc>
        <w:tc>
          <w:tcPr>
            <w:tcW w:w="10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二级指标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三级指标</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年度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指标值</w:t>
            </w:r>
          </w:p>
        </w:tc>
        <w:tc>
          <w:tcPr>
            <w:tcW w:w="10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实际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46"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产出指标</w:t>
            </w:r>
          </w:p>
        </w:tc>
        <w:tc>
          <w:tcPr>
            <w:tcW w:w="104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数量指标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农业生产符合性</w:t>
            </w:r>
            <w:r>
              <w:rPr>
                <w:rFonts w:hint="eastAsia" w:ascii="宋体" w:hAnsi="宋体" w:cs="宋体"/>
                <w:kern w:val="0"/>
                <w:sz w:val="18"/>
                <w:szCs w:val="18"/>
              </w:rPr>
              <w:t>报告</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份</w:t>
            </w:r>
          </w:p>
        </w:tc>
        <w:tc>
          <w:tcPr>
            <w:tcW w:w="10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份</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4</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项目整改进度影响评价进度</w:t>
            </w:r>
          </w:p>
        </w:tc>
      </w:tr>
      <w:tr>
        <w:tblPrEx>
          <w:tblCellMar>
            <w:top w:w="0" w:type="dxa"/>
            <w:left w:w="108" w:type="dxa"/>
            <w:bottom w:w="0" w:type="dxa"/>
            <w:right w:w="108" w:type="dxa"/>
          </w:tblCellMar>
        </w:tblPrEx>
        <w:trPr>
          <w:trHeight w:val="854"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评价新增耕地面积</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pPr>
            <w:r>
              <w:rPr>
                <w:rFonts w:ascii="宋体" w:hAnsi="宋体" w:cs="宋体"/>
                <w:kern w:val="0"/>
                <w:sz w:val="18"/>
                <w:szCs w:val="18"/>
              </w:rPr>
              <w:t>7350亩</w:t>
            </w:r>
          </w:p>
        </w:tc>
        <w:tc>
          <w:tcPr>
            <w:tcW w:w="100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pPr>
            <w:r>
              <w:rPr>
                <w:rFonts w:ascii="宋体" w:hAnsi="宋体" w:cs="宋体"/>
                <w:kern w:val="0"/>
                <w:sz w:val="18"/>
                <w:szCs w:val="18"/>
              </w:rPr>
              <w:t>4698亩</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项目整改进度影响评价进度</w:t>
            </w: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采样调查点位数</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9</w:t>
            </w:r>
            <w:r>
              <w:rPr>
                <w:rFonts w:ascii="宋体" w:hAnsi="宋体" w:cs="宋体"/>
                <w:kern w:val="0"/>
                <w:sz w:val="18"/>
                <w:szCs w:val="18"/>
              </w:rPr>
              <w:t>68个</w:t>
            </w:r>
          </w:p>
        </w:tc>
        <w:tc>
          <w:tcPr>
            <w:tcW w:w="100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50个</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项目整改进度影响评价进度</w:t>
            </w:r>
          </w:p>
        </w:tc>
      </w:tr>
      <w:tr>
        <w:tblPrEx>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质量指标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科学规范</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规范</w:t>
            </w:r>
          </w:p>
        </w:tc>
        <w:tc>
          <w:tcPr>
            <w:tcW w:w="100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规范</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p>
        </w:tc>
      </w:tr>
      <w:tr>
        <w:tblPrEx>
          <w:tblCellMar>
            <w:top w:w="0" w:type="dxa"/>
            <w:left w:w="108" w:type="dxa"/>
            <w:bottom w:w="0" w:type="dxa"/>
            <w:right w:w="108" w:type="dxa"/>
          </w:tblCellMar>
        </w:tblPrEx>
        <w:trPr>
          <w:trHeight w:val="538"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时效指标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按时完成</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按时</w:t>
            </w:r>
          </w:p>
        </w:tc>
        <w:tc>
          <w:tcPr>
            <w:tcW w:w="100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按时</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7</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cs="宋体"/>
                <w:kern w:val="0"/>
                <w:sz w:val="18"/>
                <w:szCs w:val="18"/>
              </w:rPr>
            </w:pPr>
            <w:r>
              <w:rPr>
                <w:rFonts w:ascii="宋体" w:hAnsi="宋体" w:cs="宋体"/>
                <w:kern w:val="0"/>
                <w:sz w:val="18"/>
                <w:szCs w:val="18"/>
              </w:rPr>
              <w:t>项目整改进度影响评价进度</w:t>
            </w:r>
          </w:p>
        </w:tc>
      </w:tr>
      <w:tr>
        <w:tblPrEx>
          <w:tblCellMar>
            <w:top w:w="0" w:type="dxa"/>
            <w:left w:w="108" w:type="dxa"/>
            <w:bottom w:w="0" w:type="dxa"/>
            <w:right w:w="108" w:type="dxa"/>
          </w:tblCellMar>
        </w:tblPrEx>
        <w:trPr>
          <w:trHeight w:val="458"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成本指标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项目成本</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合理</w:t>
            </w:r>
          </w:p>
        </w:tc>
        <w:tc>
          <w:tcPr>
            <w:tcW w:w="100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合理</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p>
        </w:tc>
      </w:tr>
      <w:tr>
        <w:tblPrEx>
          <w:tblCellMar>
            <w:top w:w="0" w:type="dxa"/>
            <w:left w:w="108" w:type="dxa"/>
            <w:bottom w:w="0" w:type="dxa"/>
            <w:right w:w="108" w:type="dxa"/>
          </w:tblCellMar>
        </w:tblPrEx>
        <w:trPr>
          <w:trHeight w:val="802"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效益指标</w:t>
            </w: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社会效益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掌握新增耕地质量和环境状况</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基本掌握</w:t>
            </w:r>
          </w:p>
        </w:tc>
        <w:tc>
          <w:tcPr>
            <w:tcW w:w="10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基本掌握</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6</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按项目设计进度整改落实确认新增耕地</w:t>
            </w:r>
          </w:p>
        </w:tc>
      </w:tr>
      <w:tr>
        <w:tblPrEx>
          <w:tblCellMar>
            <w:top w:w="0" w:type="dxa"/>
            <w:left w:w="108" w:type="dxa"/>
            <w:bottom w:w="0" w:type="dxa"/>
            <w:right w:w="108" w:type="dxa"/>
          </w:tblCellMar>
        </w:tblPrEx>
        <w:trPr>
          <w:trHeight w:val="824"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生态效益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落实耕地保护空间</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有效防控保护</w:t>
            </w:r>
          </w:p>
        </w:tc>
        <w:tc>
          <w:tcPr>
            <w:tcW w:w="10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有效防控保护</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6</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耕地利用背景复杂，守好入口</w:t>
            </w:r>
          </w:p>
        </w:tc>
      </w:tr>
      <w:tr>
        <w:tblPrEx>
          <w:tblCellMar>
            <w:top w:w="0" w:type="dxa"/>
            <w:left w:w="108" w:type="dxa"/>
            <w:bottom w:w="0" w:type="dxa"/>
            <w:right w:w="108" w:type="dxa"/>
          </w:tblCellMar>
        </w:tblPrEx>
        <w:trPr>
          <w:trHeight w:val="882" w:hRule="exact"/>
          <w:jc w:val="center"/>
        </w:trPr>
        <w:tc>
          <w:tcPr>
            <w:tcW w:w="57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可持续影响指标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夯实粮菜提质生产基础</w:t>
            </w: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基本保障</w:t>
            </w:r>
          </w:p>
        </w:tc>
        <w:tc>
          <w:tcPr>
            <w:tcW w:w="10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基本保障</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6</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加快符合的新增耕地科学利用</w:t>
            </w:r>
          </w:p>
        </w:tc>
      </w:tr>
      <w:tr>
        <w:tblPrEx>
          <w:tblCellMar>
            <w:top w:w="0" w:type="dxa"/>
            <w:left w:w="108" w:type="dxa"/>
            <w:bottom w:w="0" w:type="dxa"/>
            <w:right w:w="108" w:type="dxa"/>
          </w:tblCellMar>
        </w:tblPrEx>
        <w:trPr>
          <w:trHeight w:val="880"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00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满意度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指标</w:t>
            </w: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服务对象满意度指标</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乡镇满意度</w:t>
            </w: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≥90%</w:t>
            </w:r>
          </w:p>
        </w:tc>
        <w:tc>
          <w:tcPr>
            <w:tcW w:w="100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85%</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ascii="宋体" w:hAnsi="宋体" w:cs="宋体"/>
                <w:kern w:val="0"/>
                <w:sz w:val="18"/>
                <w:szCs w:val="18"/>
              </w:rPr>
              <w:t>8</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kern w:val="0"/>
                <w:sz w:val="18"/>
                <w:szCs w:val="18"/>
              </w:rPr>
            </w:pPr>
            <w:r>
              <w:rPr>
                <w:rFonts w:ascii="宋体" w:hAnsi="宋体" w:cs="宋体"/>
                <w:kern w:val="0"/>
                <w:sz w:val="18"/>
                <w:szCs w:val="18"/>
              </w:rPr>
              <w:t>需提升新增耕地保护意识</w:t>
            </w:r>
          </w:p>
        </w:tc>
      </w:tr>
      <w:tr>
        <w:tblPrEx>
          <w:tblCellMar>
            <w:top w:w="0" w:type="dxa"/>
            <w:left w:w="108" w:type="dxa"/>
            <w:bottom w:w="0" w:type="dxa"/>
            <w:right w:w="108" w:type="dxa"/>
          </w:tblCellMar>
        </w:tblPrEx>
        <w:trPr>
          <w:trHeight w:val="425"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Layout w:type="fixed"/>
        <w:tblCellMar>
          <w:top w:w="0" w:type="dxa"/>
          <w:left w:w="108" w:type="dxa"/>
          <w:bottom w:w="0" w:type="dxa"/>
          <w:right w:w="108" w:type="dxa"/>
        </w:tblCellMar>
      </w:tblPr>
      <w:tblGrid>
        <w:gridCol w:w="578"/>
        <w:gridCol w:w="1009"/>
        <w:gridCol w:w="1046"/>
        <w:gridCol w:w="393"/>
        <w:gridCol w:w="1396"/>
        <w:gridCol w:w="43"/>
        <w:gridCol w:w="1097"/>
        <w:gridCol w:w="858"/>
        <w:gridCol w:w="202"/>
        <w:gridCol w:w="355"/>
        <w:gridCol w:w="557"/>
        <w:gridCol w:w="695"/>
        <w:gridCol w:w="699"/>
      </w:tblGrid>
      <w:tr>
        <w:tblPrEx>
          <w:tblCellMar>
            <w:top w:w="0" w:type="dxa"/>
            <w:left w:w="108" w:type="dxa"/>
            <w:bottom w:w="0" w:type="dxa"/>
            <w:right w:w="108" w:type="dxa"/>
          </w:tblCellMar>
        </w:tblPrEx>
        <w:trPr>
          <w:trHeight w:val="428" w:hRule="exact"/>
          <w:jc w:val="center"/>
        </w:trPr>
        <w:tc>
          <w:tcPr>
            <w:tcW w:w="8928"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tblPrEx>
          <w:tblCellMar>
            <w:top w:w="0" w:type="dxa"/>
            <w:left w:w="108" w:type="dxa"/>
            <w:bottom w:w="0" w:type="dxa"/>
            <w:right w:w="108" w:type="dxa"/>
          </w:tblCellMar>
        </w:tblPrEx>
        <w:trPr>
          <w:trHeight w:val="673"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kern w:val="0"/>
                <w:sz w:val="18"/>
                <w:szCs w:val="18"/>
              </w:rPr>
            </w:pPr>
            <w:r>
              <w:rPr>
                <w:rFonts w:hint="eastAsia" w:ascii="宋体" w:hAnsi="宋体" w:cs="宋体"/>
                <w:color w:val="000000"/>
                <w:kern w:val="0"/>
                <w:sz w:val="18"/>
                <w:szCs w:val="18"/>
              </w:rPr>
              <w:t>项目名称</w:t>
            </w:r>
          </w:p>
        </w:tc>
        <w:tc>
          <w:tcPr>
            <w:tcW w:w="7341"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kern w:val="0"/>
                <w:sz w:val="18"/>
                <w:szCs w:val="18"/>
              </w:rPr>
            </w:pPr>
            <w:r>
              <w:rPr>
                <w:rFonts w:hint="eastAsia" w:ascii="宋体" w:hAnsi="宋体" w:cs="宋体"/>
                <w:color w:val="000000"/>
                <w:kern w:val="0"/>
                <w:sz w:val="18"/>
                <w:szCs w:val="18"/>
              </w:rPr>
              <w:t>通州区国家现代农业产业园区级专项资金</w:t>
            </w:r>
          </w:p>
        </w:tc>
      </w:tr>
      <w:tr>
        <w:tblPrEx>
          <w:tblCellMar>
            <w:top w:w="0" w:type="dxa"/>
            <w:left w:w="108" w:type="dxa"/>
            <w:bottom w:w="0" w:type="dxa"/>
            <w:right w:w="108" w:type="dxa"/>
          </w:tblCellMar>
        </w:tblPrEx>
        <w:trPr>
          <w:trHeight w:val="291"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kern w:val="0"/>
                <w:sz w:val="18"/>
                <w:szCs w:val="18"/>
              </w:rPr>
            </w:pPr>
            <w:r>
              <w:rPr>
                <w:rFonts w:hint="eastAsia" w:ascii="宋体" w:hAnsi="宋体" w:cs="宋体"/>
                <w:color w:val="000000"/>
                <w:kern w:val="0"/>
                <w:sz w:val="18"/>
                <w:szCs w:val="18"/>
              </w:rPr>
              <w:t>主管部门及代码</w:t>
            </w:r>
          </w:p>
        </w:tc>
        <w:tc>
          <w:tcPr>
            <w:tcW w:w="397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kern w:val="0"/>
                <w:sz w:val="18"/>
                <w:szCs w:val="18"/>
              </w:rPr>
            </w:pPr>
            <w:r>
              <w:rPr>
                <w:rFonts w:hint="eastAsia" w:ascii="宋体" w:hAnsi="宋体" w:cs="宋体"/>
                <w:color w:val="auto"/>
                <w:kern w:val="0"/>
                <w:sz w:val="18"/>
                <w:szCs w:val="18"/>
                <w:lang w:eastAsia="zh-CN"/>
              </w:rPr>
              <w:t>北京市通州区农业农村局</w:t>
            </w:r>
          </w:p>
        </w:tc>
        <w:tc>
          <w:tcPr>
            <w:tcW w:w="1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宋体" w:hAnsi="宋体" w:cs="宋体"/>
                <w:kern w:val="0"/>
                <w:sz w:val="18"/>
                <w:szCs w:val="18"/>
              </w:rPr>
            </w:pPr>
            <w:r>
              <w:rPr>
                <w:rFonts w:hint="eastAsia" w:ascii="宋体" w:hAnsi="宋体" w:cs="宋体"/>
                <w:color w:val="000000"/>
                <w:kern w:val="0"/>
                <w:sz w:val="18"/>
                <w:szCs w:val="18"/>
              </w:rPr>
              <w:t>实施单位</w:t>
            </w:r>
          </w:p>
        </w:tc>
        <w:tc>
          <w:tcPr>
            <w:tcW w:w="2306"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kern w:val="0"/>
                <w:sz w:val="18"/>
                <w:szCs w:val="18"/>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18"/>
                <w:szCs w:val="18"/>
                <w:lang w:val="en-US" w:eastAsia="zh-CN" w:bidi="ar-SA"/>
              </w:rPr>
            </w:pPr>
            <w:r>
              <w:rPr>
                <w:rFonts w:hint="eastAsia" w:ascii="宋体" w:hAnsi="宋体" w:cs="宋体"/>
                <w:kern w:val="0"/>
                <w:sz w:val="18"/>
                <w:szCs w:val="18"/>
              </w:rPr>
              <w:t>项目</w:t>
            </w:r>
            <w:r>
              <w:rPr>
                <w:rFonts w:ascii="宋体" w:hAnsi="宋体" w:cs="宋体"/>
                <w:kern w:val="0"/>
                <w:sz w:val="18"/>
                <w:szCs w:val="18"/>
              </w:rPr>
              <w:t>负责人</w:t>
            </w:r>
          </w:p>
        </w:tc>
        <w:tc>
          <w:tcPr>
            <w:tcW w:w="397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18"/>
                <w:szCs w:val="18"/>
                <w:lang w:val="en-US" w:eastAsia="zh-CN" w:bidi="ar-SA"/>
              </w:rPr>
            </w:pP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18"/>
                <w:szCs w:val="18"/>
                <w:lang w:val="en-US" w:eastAsia="zh-CN" w:bidi="ar-SA"/>
              </w:rPr>
            </w:pPr>
            <w:r>
              <w:rPr>
                <w:rFonts w:ascii="宋体" w:hAnsi="宋体" w:cs="宋体"/>
                <w:kern w:val="0"/>
                <w:sz w:val="18"/>
                <w:szCs w:val="18"/>
              </w:rPr>
              <w:t>联系电话</w:t>
            </w:r>
          </w:p>
        </w:tc>
        <w:tc>
          <w:tcPr>
            <w:tcW w:w="230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559" w:hRule="exact"/>
          <w:jc w:val="center"/>
        </w:trPr>
        <w:tc>
          <w:tcPr>
            <w:tcW w:w="158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kern w:val="0"/>
                <w:sz w:val="18"/>
                <w:szCs w:val="18"/>
              </w:rPr>
            </w:pPr>
            <w:r>
              <w:rPr>
                <w:rFonts w:hint="eastAsia" w:ascii="宋体" w:hAnsi="宋体" w:cs="宋体"/>
                <w:color w:val="000000"/>
                <w:kern w:val="0"/>
                <w:sz w:val="18"/>
                <w:szCs w:val="18"/>
              </w:rPr>
              <w:t>项目资金（万元）</w:t>
            </w:r>
          </w:p>
        </w:tc>
        <w:tc>
          <w:tcPr>
            <w:tcW w:w="143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宋体" w:hAnsi="宋体" w:cs="宋体"/>
                <w:kern w:val="0"/>
                <w:sz w:val="18"/>
                <w:szCs w:val="18"/>
              </w:rPr>
            </w:pP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rPr>
              <w:t>年初预算数</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全年</w:t>
            </w:r>
            <w:r>
              <w:rPr>
                <w:rFonts w:hint="eastAsia" w:ascii="宋体" w:hAnsi="宋体" w:cs="宋体"/>
                <w:color w:val="000000"/>
                <w:kern w:val="0"/>
                <w:sz w:val="18"/>
                <w:szCs w:val="18"/>
              </w:rPr>
              <w:t>预算数</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rPr>
              <w:t>全年执行数</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rPr>
              <w:t>分值</w:t>
            </w:r>
          </w:p>
        </w:tc>
        <w:tc>
          <w:tcPr>
            <w:tcW w:w="6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rPr>
              <w:t>执行率</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43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kern w:val="0"/>
                <w:sz w:val="18"/>
                <w:szCs w:val="18"/>
              </w:rPr>
            </w:pPr>
            <w:r>
              <w:rPr>
                <w:rFonts w:hint="eastAsia" w:ascii="宋体" w:hAnsi="宋体" w:cs="宋体"/>
                <w:kern w:val="0"/>
                <w:sz w:val="18"/>
                <w:szCs w:val="18"/>
              </w:rPr>
              <w:t>年度资金总额</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3610.45</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3610.45</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3065.43</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10</w:t>
            </w:r>
          </w:p>
        </w:tc>
        <w:tc>
          <w:tcPr>
            <w:tcW w:w="6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99.86%</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43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其中：当年财政拨款</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3610.45</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3610.45</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3065.43</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10</w:t>
            </w:r>
          </w:p>
        </w:tc>
        <w:tc>
          <w:tcPr>
            <w:tcW w:w="6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99.86%</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lang w:val="en-US" w:eastAsia="zh-CN" w:bidi="ar-SA"/>
              </w:rPr>
            </w:pPr>
            <w:r>
              <w:rPr>
                <w:rFonts w:hint="eastAsia" w:ascii="宋体" w:hAnsi="宋体" w:cs="宋体"/>
                <w:color w:val="000000"/>
                <w:kern w:val="0"/>
                <w:sz w:val="18"/>
                <w:szCs w:val="18"/>
                <w:lang w:val="en-US" w:eastAsia="zh-CN"/>
              </w:rPr>
              <w:t>10</w:t>
            </w:r>
          </w:p>
        </w:tc>
      </w:tr>
      <w:tr>
        <w:tblPrEx>
          <w:tblCellMar>
            <w:top w:w="0" w:type="dxa"/>
            <w:left w:w="108" w:type="dxa"/>
            <w:bottom w:w="0" w:type="dxa"/>
            <w:right w:w="108" w:type="dxa"/>
          </w:tblCellMar>
        </w:tblPrEx>
        <w:trPr>
          <w:trHeight w:val="463"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43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 xml:space="preserve">      上年结转资金</w:t>
            </w:r>
          </w:p>
        </w:tc>
        <w:tc>
          <w:tcPr>
            <w:tcW w:w="143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kern w:val="0"/>
                <w:sz w:val="18"/>
                <w:szCs w:val="18"/>
              </w:rPr>
            </w:pPr>
          </w:p>
        </w:tc>
        <w:tc>
          <w:tcPr>
            <w:tcW w:w="1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kern w:val="0"/>
                <w:sz w:val="18"/>
                <w:szCs w:val="18"/>
              </w:rPr>
            </w:pPr>
          </w:p>
        </w:tc>
        <w:tc>
          <w:tcPr>
            <w:tcW w:w="1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宋体" w:hAnsi="宋体" w:cs="宋体"/>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ascii="宋体" w:hAnsi="宋体" w:cs="宋体"/>
                <w:kern w:val="0"/>
                <w:sz w:val="18"/>
                <w:szCs w:val="18"/>
              </w:rPr>
            </w:pPr>
          </w:p>
        </w:tc>
        <w:tc>
          <w:tcPr>
            <w:tcW w:w="6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c>
          <w:tcPr>
            <w:tcW w:w="143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r>
              <w:rPr>
                <w:rFonts w:hint="eastAsia" w:ascii="宋体" w:hAnsi="宋体" w:cs="宋体"/>
                <w:kern w:val="0"/>
                <w:sz w:val="18"/>
                <w:szCs w:val="18"/>
              </w:rPr>
              <w:t xml:space="preserve">  其他资金</w:t>
            </w:r>
          </w:p>
        </w:tc>
        <w:tc>
          <w:tcPr>
            <w:tcW w:w="143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kern w:val="0"/>
                <w:sz w:val="18"/>
                <w:szCs w:val="18"/>
              </w:rPr>
            </w:pPr>
          </w:p>
        </w:tc>
        <w:tc>
          <w:tcPr>
            <w:tcW w:w="1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kern w:val="0"/>
                <w:sz w:val="18"/>
                <w:szCs w:val="18"/>
              </w:rPr>
            </w:pPr>
          </w:p>
        </w:tc>
        <w:tc>
          <w:tcPr>
            <w:tcW w:w="1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宋体" w:hAnsi="宋体" w:cs="宋体"/>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ascii="宋体" w:hAnsi="宋体" w:cs="宋体"/>
                <w:kern w:val="0"/>
                <w:sz w:val="18"/>
                <w:szCs w:val="18"/>
              </w:rPr>
            </w:pPr>
          </w:p>
        </w:tc>
        <w:tc>
          <w:tcPr>
            <w:tcW w:w="6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498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3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46"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498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rPr>
              <w:t>年初设定目标</w:t>
            </w:r>
            <w:r>
              <w:rPr>
                <w:rFonts w:hint="eastAsia" w:ascii="宋体" w:hAnsi="宋体" w:eastAsia="宋体" w:cs="宋体"/>
                <w:kern w:val="0"/>
                <w:sz w:val="18"/>
                <w:szCs w:val="18"/>
                <w:lang w:eastAsia="zh-CN"/>
              </w:rPr>
              <w:t>完成通州区国家现代农业产业园创建工作。</w:t>
            </w:r>
          </w:p>
        </w:tc>
        <w:tc>
          <w:tcPr>
            <w:tcW w:w="33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完成了现代农业产业园创建工作。</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绩效指标</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913"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0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eastAsia="zh-CN"/>
              </w:rPr>
              <w:t>完成通州区国家现代农业产业园创建工作</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kern w:val="0"/>
                <w:sz w:val="18"/>
                <w:szCs w:val="18"/>
                <w:lang w:val="en-US"/>
              </w:rPr>
            </w:pPr>
            <w:r>
              <w:rPr>
                <w:rFonts w:hint="eastAsia" w:ascii="宋体" w:hAnsi="宋体" w:eastAsia="宋体" w:cs="宋体"/>
                <w:sz w:val="18"/>
                <w:szCs w:val="18"/>
                <w:lang w:val="en-US" w:eastAsia="zh-CN"/>
              </w:rPr>
              <w:t>1个</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sz w:val="18"/>
                <w:szCs w:val="18"/>
                <w:lang w:val="en-US" w:eastAsia="zh-CN"/>
              </w:rPr>
              <w:t>1个</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20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20</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177"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eastAsia="zh-CN"/>
              </w:rPr>
              <w:t>符合《</w:t>
            </w:r>
            <w:r>
              <w:rPr>
                <w:rFonts w:hint="eastAsia" w:ascii="宋体" w:hAnsi="宋体" w:eastAsia="宋体" w:cs="宋体"/>
                <w:kern w:val="0"/>
                <w:sz w:val="18"/>
                <w:szCs w:val="18"/>
              </w:rPr>
              <w:t>北京市通州区国家现代农业产业园</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创建方案</w:t>
            </w:r>
            <w:r>
              <w:rPr>
                <w:rFonts w:hint="eastAsia" w:ascii="宋体" w:hAnsi="宋体" w:eastAsia="宋体" w:cs="宋体"/>
                <w:kern w:val="0"/>
                <w:sz w:val="18"/>
                <w:szCs w:val="18"/>
                <w:lang w:eastAsia="zh-CN"/>
              </w:rPr>
              <w:t>》要求</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sz w:val="18"/>
                <w:szCs w:val="18"/>
              </w:rPr>
              <w:t>符合</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sz w:val="18"/>
                <w:szCs w:val="18"/>
              </w:rPr>
              <w:t>符合</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9</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时效</w:t>
            </w:r>
            <w:r>
              <w:rPr>
                <w:rFonts w:hint="eastAsia" w:ascii="宋体" w:hAnsi="宋体" w:eastAsia="宋体" w:cs="宋体"/>
                <w:kern w:val="0"/>
                <w:sz w:val="18"/>
                <w:szCs w:val="18"/>
              </w:rPr>
              <w:t>指标</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sz w:val="18"/>
                <w:szCs w:val="18"/>
              </w:rPr>
              <w:t>绩效评价完成时间</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sz w:val="18"/>
                <w:szCs w:val="18"/>
                <w:lang w:val="en-US" w:eastAsia="zh-CN"/>
              </w:rPr>
              <w:t>2023</w:t>
            </w:r>
            <w:r>
              <w:rPr>
                <w:rFonts w:hint="eastAsia" w:ascii="宋体" w:hAnsi="宋体" w:eastAsia="宋体" w:cs="宋体"/>
                <w:sz w:val="18"/>
                <w:szCs w:val="18"/>
              </w:rPr>
              <w:t>年</w:t>
            </w:r>
            <w:r>
              <w:rPr>
                <w:rFonts w:hint="eastAsia" w:ascii="宋体" w:hAnsi="宋体" w:eastAsia="宋体" w:cs="宋体"/>
                <w:sz w:val="18"/>
                <w:szCs w:val="18"/>
                <w:lang w:eastAsia="zh-CN"/>
              </w:rPr>
              <w:t>底</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eastAsia="zh-CN"/>
              </w:rPr>
              <w:t>已完成</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支出不超过总预算</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≤3610.45万元</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3065.43万元</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85"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0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效益</w:t>
            </w:r>
            <w:r>
              <w:rPr>
                <w:rFonts w:hint="eastAsia" w:ascii="宋体" w:hAnsi="宋体" w:eastAsia="宋体" w:cs="宋体"/>
                <w:kern w:val="0"/>
                <w:sz w:val="18"/>
                <w:szCs w:val="18"/>
              </w:rPr>
              <w:t>指标</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社会</w:t>
            </w:r>
            <w:r>
              <w:rPr>
                <w:rFonts w:hint="eastAsia" w:ascii="宋体" w:hAnsi="宋体" w:eastAsia="宋体" w:cs="宋体"/>
                <w:kern w:val="0"/>
                <w:sz w:val="18"/>
                <w:szCs w:val="18"/>
              </w:rPr>
              <w:t>效益指标</w:t>
            </w:r>
            <w:r>
              <w:rPr>
                <w:rFonts w:hint="eastAsia" w:ascii="宋体" w:hAnsi="宋体" w:eastAsia="宋体" w:cs="宋体"/>
                <w:kern w:val="0"/>
                <w:sz w:val="18"/>
                <w:szCs w:val="18"/>
              </w:rPr>
              <w:br w:type="textWrapping"/>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通过开展产业园项目，提升现代技术和科技装备集成。</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显著</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较显著</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kern w:val="0"/>
                <w:sz w:val="18"/>
                <w:szCs w:val="18"/>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通过开展产业园项目，提高农民收入。</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显著</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较显著</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kern w:val="0"/>
                <w:sz w:val="18"/>
                <w:szCs w:val="18"/>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通过开展产业园项目，增强蔬菜保障能力</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显著</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较显著</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服务对象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满意度指标</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eastAsia="zh-CN"/>
              </w:rPr>
              <w:t>土地经营者满意度</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80%</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80%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56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b w:val="0"/>
                <w:bCs w:val="0"/>
                <w:color w:val="000000"/>
                <w:kern w:val="0"/>
                <w:sz w:val="18"/>
                <w:szCs w:val="18"/>
              </w:rPr>
              <w:t>总分</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b w:val="0"/>
                <w:bCs w:val="0"/>
                <w:color w:val="000000"/>
                <w:kern w:val="0"/>
                <w:sz w:val="18"/>
                <w:szCs w:val="18"/>
                <w:lang w:val="en-US" w:eastAsia="zh-CN"/>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b w:val="0"/>
                <w:bCs w:val="0"/>
                <w:color w:val="000000"/>
                <w:kern w:val="0"/>
                <w:sz w:val="18"/>
                <w:szCs w:val="18"/>
                <w:lang w:val="en-US" w:eastAsia="zh-CN"/>
              </w:rPr>
              <w:t>100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r>
              <w:rPr>
                <w:rFonts w:hint="eastAsia" w:ascii="宋体" w:hAnsi="宋体" w:eastAsia="宋体" w:cs="宋体"/>
                <w:b w:val="0"/>
                <w:bCs w:val="0"/>
                <w:color w:val="000000"/>
                <w:kern w:val="0"/>
                <w:sz w:val="18"/>
                <w:szCs w:val="18"/>
                <w:lang w:val="en-US" w:eastAsia="zh-CN"/>
              </w:rPr>
              <w:t>93</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967"/>
        <w:gridCol w:w="147"/>
        <w:gridCol w:w="967"/>
        <w:gridCol w:w="1091"/>
        <w:gridCol w:w="99"/>
        <w:gridCol w:w="565"/>
        <w:gridCol w:w="206"/>
        <w:gridCol w:w="379"/>
        <w:gridCol w:w="457"/>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2023农业领域留白增绿补助资金</w:t>
            </w:r>
          </w:p>
        </w:tc>
      </w:tr>
      <w:tr>
        <w:tblPrEx>
          <w:tblCellMar>
            <w:top w:w="0" w:type="dxa"/>
            <w:left w:w="108" w:type="dxa"/>
            <w:bottom w:w="0" w:type="dxa"/>
            <w:right w:w="108" w:type="dxa"/>
          </w:tblCellMar>
        </w:tblPrEx>
        <w:trPr>
          <w:trHeight w:val="65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88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c>
          <w:tcPr>
            <w:tcW w:w="11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潞城镇、宋庄镇、台湖镇、永乐店镇、张家湾镇政府</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88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王忠钰</w:t>
            </w:r>
          </w:p>
        </w:tc>
        <w:tc>
          <w:tcPr>
            <w:tcW w:w="11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81582825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10.58</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10.58</w:t>
            </w:r>
          </w:p>
        </w:tc>
        <w:tc>
          <w:tcPr>
            <w:tcW w:w="11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10.58</w:t>
            </w: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10.58</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10.58</w:t>
            </w:r>
          </w:p>
        </w:tc>
        <w:tc>
          <w:tcPr>
            <w:tcW w:w="11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10.58</w:t>
            </w: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1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1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85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9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485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完成全年</w:t>
            </w:r>
            <w:r>
              <w:rPr>
                <w:rFonts w:hint="eastAsia" w:ascii="宋体" w:hAnsi="宋体" w:cs="宋体"/>
                <w:color w:val="auto"/>
                <w:kern w:val="0"/>
                <w:sz w:val="18"/>
                <w:szCs w:val="18"/>
                <w:lang w:val="en-US" w:eastAsia="zh-CN"/>
              </w:rPr>
              <w:t>2.2公顷留白增绿复种任务，并通过市级验收</w:t>
            </w:r>
          </w:p>
        </w:tc>
        <w:tc>
          <w:tcPr>
            <w:tcW w:w="349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完成全年</w:t>
            </w:r>
            <w:r>
              <w:rPr>
                <w:rFonts w:hint="eastAsia" w:ascii="宋体" w:hAnsi="宋体" w:cs="宋体"/>
                <w:color w:val="auto"/>
                <w:kern w:val="0"/>
                <w:sz w:val="18"/>
                <w:szCs w:val="18"/>
                <w:lang w:val="en-US" w:eastAsia="zh-CN"/>
              </w:rPr>
              <w:t>2.2公顷留白增绿复种任务，并通过市级验收</w:t>
            </w:r>
          </w:p>
        </w:tc>
      </w:tr>
      <w:tr>
        <w:tblPrEx>
          <w:tblCellMar>
            <w:top w:w="0" w:type="dxa"/>
            <w:left w:w="108" w:type="dxa"/>
            <w:bottom w:w="0" w:type="dxa"/>
            <w:right w:w="108" w:type="dxa"/>
          </w:tblCellMar>
        </w:tblPrEx>
        <w:trPr>
          <w:trHeight w:val="487" w:hRule="exact"/>
          <w:jc w:val="center"/>
        </w:trPr>
        <w:tc>
          <w:tcPr>
            <w:tcW w:w="578"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6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年度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指标值</w:t>
            </w:r>
          </w:p>
        </w:tc>
        <w:tc>
          <w:tcPr>
            <w:tcW w:w="10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实际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完成值</w:t>
            </w:r>
          </w:p>
        </w:tc>
        <w:tc>
          <w:tcPr>
            <w:tcW w:w="66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分值</w:t>
            </w:r>
          </w:p>
        </w:tc>
        <w:tc>
          <w:tcPr>
            <w:tcW w:w="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得分</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24"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685"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完成</w:t>
            </w:r>
            <w:r>
              <w:rPr>
                <w:rFonts w:hint="eastAsia" w:ascii="宋体" w:hAnsi="宋体" w:cs="宋体"/>
                <w:color w:val="auto"/>
                <w:kern w:val="0"/>
                <w:sz w:val="18"/>
                <w:szCs w:val="18"/>
                <w:lang w:val="en-US" w:eastAsia="zh-CN"/>
              </w:rPr>
              <w:t>2.2公顷留白增绿种植任务</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2.2公顷</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2.2公顷</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r>
        <w:tblPrEx>
          <w:tblCellMar>
            <w:top w:w="0" w:type="dxa"/>
            <w:left w:w="108" w:type="dxa"/>
            <w:bottom w:w="0" w:type="dxa"/>
            <w:right w:w="108" w:type="dxa"/>
          </w:tblCellMar>
        </w:tblPrEx>
        <w:trPr>
          <w:trHeight w:val="624"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685"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通过市级验收</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通过市级验收</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通过市级验收</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r>
        <w:tblPrEx>
          <w:tblCellMar>
            <w:top w:w="0" w:type="dxa"/>
            <w:left w:w="108" w:type="dxa"/>
            <w:bottom w:w="0" w:type="dxa"/>
            <w:right w:w="108" w:type="dxa"/>
          </w:tblCellMar>
        </w:tblPrEx>
        <w:trPr>
          <w:trHeight w:val="964"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685"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于</w:t>
            </w:r>
            <w:r>
              <w:rPr>
                <w:rFonts w:hint="eastAsia" w:ascii="宋体" w:hAnsi="宋体" w:cs="宋体"/>
                <w:color w:val="auto"/>
                <w:kern w:val="0"/>
                <w:sz w:val="18"/>
                <w:szCs w:val="18"/>
                <w:lang w:val="en-US" w:eastAsia="zh-CN"/>
              </w:rPr>
              <w:t>2023年内完成验收及资金拨付</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2023年内完成验收及资金拨付</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2023年内完成验收及资金拨付</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685"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符合项目预算及相关要求</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符合项目预算及相关要求</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符合项目预算及相关要求</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经济效益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指标</w:t>
            </w:r>
          </w:p>
        </w:tc>
        <w:tc>
          <w:tcPr>
            <w:tcW w:w="1685"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投入使用，并有农作物产出</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投入使用，并有农作物产出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投入使用，并有农作物产出</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r>
        <w:tblPrEx>
          <w:tblCellMar>
            <w:top w:w="0" w:type="dxa"/>
            <w:left w:w="108" w:type="dxa"/>
            <w:bottom w:w="0" w:type="dxa"/>
            <w:right w:w="108" w:type="dxa"/>
          </w:tblCellMar>
        </w:tblPrEx>
        <w:trPr>
          <w:trHeight w:val="624"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社会效益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指标</w:t>
            </w:r>
          </w:p>
        </w:tc>
        <w:tc>
          <w:tcPr>
            <w:tcW w:w="1685"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提高土地利用率</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提高土地利用率</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提高土地利用率</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生态效益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指标</w:t>
            </w:r>
          </w:p>
        </w:tc>
        <w:tc>
          <w:tcPr>
            <w:tcW w:w="1685"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实现生物覆盖避，免扬尘撂荒</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实现生物覆盖避，免扬尘撂荒</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实现生物覆盖避，免扬尘撂荒</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r>
        <w:tblPrEx>
          <w:tblCellMar>
            <w:top w:w="0" w:type="dxa"/>
            <w:left w:w="108" w:type="dxa"/>
            <w:bottom w:w="0" w:type="dxa"/>
            <w:right w:w="108" w:type="dxa"/>
          </w:tblCellMar>
        </w:tblPrEx>
        <w:trPr>
          <w:trHeight w:val="863" w:hRule="exact"/>
          <w:jc w:val="center"/>
        </w:trPr>
        <w:tc>
          <w:tcPr>
            <w:tcW w:w="57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685"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纳入耕地范畴，进行长期生产</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纳入耕地范畴，进行长期生产</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纳入耕地范畴，进行长期生产</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r>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满意度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685"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地块所有者满意</w:t>
            </w:r>
            <w:r>
              <w:rPr>
                <w:rFonts w:hint="eastAsia" w:ascii="宋体" w:hAnsi="宋体" w:cs="宋体"/>
                <w:color w:val="auto"/>
                <w:kern w:val="0"/>
                <w:sz w:val="18"/>
                <w:szCs w:val="18"/>
                <w:lang w:val="en-US" w:eastAsia="zh-CN"/>
              </w:rPr>
              <w:t>度</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95%</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2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总分</w:t>
            </w:r>
          </w:p>
        </w:tc>
        <w:tc>
          <w:tcPr>
            <w:tcW w:w="66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r>
              <w:rPr>
                <w:rFonts w:hint="eastAsia" w:ascii="宋体" w:hAnsi="宋体" w:cs="宋体"/>
                <w:color w:val="auto"/>
                <w:kern w:val="0"/>
                <w:sz w:val="18"/>
                <w:szCs w:val="18"/>
              </w:rPr>
              <w:t>100</w:t>
            </w:r>
          </w:p>
        </w:tc>
        <w:tc>
          <w:tcPr>
            <w:tcW w:w="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5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Layout w:type="fixed"/>
        <w:tblCellMar>
          <w:top w:w="0" w:type="dxa"/>
          <w:left w:w="108" w:type="dxa"/>
          <w:bottom w:w="0" w:type="dxa"/>
          <w:right w:w="108" w:type="dxa"/>
        </w:tblCellMar>
      </w:tblPr>
      <w:tblGrid>
        <w:gridCol w:w="578"/>
        <w:gridCol w:w="1009"/>
        <w:gridCol w:w="1046"/>
        <w:gridCol w:w="718"/>
        <w:gridCol w:w="1071"/>
        <w:gridCol w:w="43"/>
        <w:gridCol w:w="949"/>
        <w:gridCol w:w="1006"/>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kern w:val="0"/>
                <w:sz w:val="18"/>
                <w:szCs w:val="18"/>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w:t>
            </w:r>
            <w:r>
              <w:rPr>
                <w:rFonts w:ascii="宋体" w:hAnsi="宋体" w:cs="宋体"/>
                <w:kern w:val="0"/>
                <w:sz w:val="22"/>
                <w:szCs w:val="22"/>
              </w:rPr>
              <w:t>2023</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89"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4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通州区落实耕地保护空间土地复耕土壤污染状况调查</w:t>
            </w:r>
          </w:p>
        </w:tc>
      </w:tr>
      <w:tr>
        <w:tblPrEx>
          <w:tblCellMar>
            <w:top w:w="0" w:type="dxa"/>
            <w:left w:w="108" w:type="dxa"/>
            <w:bottom w:w="0" w:type="dxa"/>
            <w:right w:w="108" w:type="dxa"/>
          </w:tblCellMar>
        </w:tblPrEx>
        <w:trPr>
          <w:trHeight w:val="424"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8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auto"/>
                <w:kern w:val="0"/>
                <w:sz w:val="18"/>
                <w:szCs w:val="18"/>
                <w:lang w:eastAsia="zh-CN"/>
              </w:rPr>
              <w:t>北京市通州区农业农村局</w:t>
            </w:r>
          </w:p>
        </w:tc>
        <w:tc>
          <w:tcPr>
            <w:tcW w:w="12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8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王连春</w:t>
            </w:r>
          </w:p>
        </w:tc>
        <w:tc>
          <w:tcPr>
            <w:tcW w:w="12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81582825</w:t>
            </w:r>
          </w:p>
        </w:tc>
      </w:tr>
      <w:tr>
        <w:tblPrEx>
          <w:tblCellMar>
            <w:top w:w="0" w:type="dxa"/>
            <w:left w:w="108" w:type="dxa"/>
            <w:bottom w:w="0" w:type="dxa"/>
            <w:right w:w="108" w:type="dxa"/>
          </w:tblCellMar>
        </w:tblPrEx>
        <w:trPr>
          <w:trHeight w:val="559" w:hRule="exact"/>
          <w:jc w:val="center"/>
        </w:trPr>
        <w:tc>
          <w:tcPr>
            <w:tcW w:w="158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7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4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2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115.5</w:t>
            </w:r>
          </w:p>
        </w:tc>
        <w:tc>
          <w:tcPr>
            <w:tcW w:w="949" w:type="dxa"/>
            <w:tcBorders>
              <w:top w:val="nil"/>
              <w:left w:val="nil"/>
              <w:bottom w:val="single" w:color="auto" w:sz="4" w:space="0"/>
              <w:right w:val="single" w:color="auto" w:sz="4" w:space="0"/>
            </w:tcBorders>
          </w:tcPr>
          <w:p>
            <w:pPr>
              <w:jc w:val="center"/>
              <w:rPr>
                <w:sz w:val="18"/>
                <w:szCs w:val="18"/>
              </w:rPr>
            </w:pPr>
            <w:r>
              <w:rPr>
                <w:rFonts w:ascii="宋体" w:hAnsi="宋体" w:cs="宋体"/>
                <w:kern w:val="0"/>
                <w:sz w:val="18"/>
                <w:szCs w:val="18"/>
              </w:rPr>
              <w:t>115.5</w:t>
            </w:r>
          </w:p>
        </w:tc>
        <w:tc>
          <w:tcPr>
            <w:tcW w:w="1208" w:type="dxa"/>
            <w:gridSpan w:val="2"/>
            <w:tcBorders>
              <w:top w:val="nil"/>
              <w:left w:val="nil"/>
              <w:bottom w:val="single" w:color="auto" w:sz="4" w:space="0"/>
              <w:right w:val="single" w:color="auto" w:sz="4" w:space="0"/>
            </w:tcBorders>
          </w:tcPr>
          <w:p>
            <w:pPr>
              <w:jc w:val="center"/>
              <w:rPr>
                <w:sz w:val="18"/>
                <w:szCs w:val="18"/>
              </w:rPr>
            </w:pPr>
            <w:r>
              <w:rPr>
                <w:rFonts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0</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4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ascii="宋体" w:hAnsi="宋体" w:cs="宋体"/>
                <w:kern w:val="0"/>
                <w:sz w:val="18"/>
                <w:szCs w:val="18"/>
              </w:rPr>
              <w:t>115.5</w:t>
            </w:r>
          </w:p>
        </w:tc>
        <w:tc>
          <w:tcPr>
            <w:tcW w:w="949" w:type="dxa"/>
            <w:tcBorders>
              <w:top w:val="nil"/>
              <w:left w:val="nil"/>
              <w:bottom w:val="single" w:color="auto" w:sz="4" w:space="0"/>
              <w:right w:val="single" w:color="auto" w:sz="4" w:space="0"/>
            </w:tcBorders>
            <w:vAlign w:val="top"/>
          </w:tcPr>
          <w:p>
            <w:pPr>
              <w:jc w:val="center"/>
              <w:rPr>
                <w:rFonts w:ascii="Times New Roman" w:hAnsi="Times New Roman" w:eastAsia="宋体" w:cs="Times New Roman"/>
                <w:kern w:val="2"/>
                <w:sz w:val="18"/>
                <w:szCs w:val="18"/>
                <w:lang w:val="en-US" w:eastAsia="zh-CN" w:bidi="ar-SA"/>
              </w:rPr>
            </w:pPr>
            <w:r>
              <w:rPr>
                <w:rFonts w:ascii="宋体" w:hAnsi="宋体" w:cs="宋体"/>
                <w:kern w:val="0"/>
                <w:sz w:val="18"/>
                <w:szCs w:val="18"/>
              </w:rPr>
              <w:t>115.5</w:t>
            </w:r>
          </w:p>
        </w:tc>
        <w:tc>
          <w:tcPr>
            <w:tcW w:w="1208" w:type="dxa"/>
            <w:gridSpan w:val="2"/>
            <w:tcBorders>
              <w:top w:val="nil"/>
              <w:left w:val="nil"/>
              <w:bottom w:val="single" w:color="auto" w:sz="4" w:space="0"/>
              <w:right w:val="single" w:color="auto" w:sz="4" w:space="0"/>
            </w:tcBorders>
            <w:vAlign w:val="top"/>
          </w:tcPr>
          <w:p>
            <w:pPr>
              <w:jc w:val="center"/>
              <w:rPr>
                <w:rFonts w:ascii="Times New Roman" w:hAnsi="Times New Roman" w:eastAsia="宋体" w:cs="Times New Roman"/>
                <w:kern w:val="2"/>
                <w:sz w:val="18"/>
                <w:szCs w:val="18"/>
                <w:lang w:val="en-US" w:eastAsia="zh-CN" w:bidi="ar-SA"/>
              </w:rPr>
            </w:pPr>
            <w:r>
              <w:rPr>
                <w:rFonts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4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3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1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80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836"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通州区落实耕地保护空间土地复耕土壤污染状况调查</w:t>
            </w:r>
          </w:p>
        </w:tc>
        <w:tc>
          <w:tcPr>
            <w:tcW w:w="3514"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该笔资金为2022年项目结转资金，因全区复耕土壤污染状况调查项目2022年已结束，故2023年</w:t>
            </w:r>
            <w:r>
              <w:rPr>
                <w:rFonts w:hint="eastAsia" w:ascii="宋体" w:hAnsi="宋体" w:cs="宋体"/>
                <w:kern w:val="0"/>
                <w:sz w:val="18"/>
                <w:szCs w:val="18"/>
              </w:rPr>
              <w:t>未开展</w:t>
            </w:r>
            <w:r>
              <w:rPr>
                <w:rFonts w:hint="eastAsia" w:ascii="宋体" w:hAnsi="宋体" w:cs="宋体"/>
                <w:kern w:val="0"/>
                <w:sz w:val="18"/>
                <w:szCs w:val="18"/>
                <w:lang w:eastAsia="zh-CN"/>
              </w:rPr>
              <w:t>相关土壤检测工作。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4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调查报告</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00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15</w:t>
            </w:r>
          </w:p>
        </w:tc>
        <w:tc>
          <w:tcPr>
            <w:tcW w:w="1394" w:type="dxa"/>
            <w:gridSpan w:val="2"/>
            <w:vMerge w:val="restart"/>
            <w:tcBorders>
              <w:top w:val="single" w:color="auto" w:sz="4" w:space="0"/>
              <w:left w:val="nil"/>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lang w:val="en-US" w:eastAsia="zh-CN"/>
              </w:rPr>
              <w:t>因全区复耕土壤污染状况调查项目2022年已结束，故2023年</w:t>
            </w:r>
            <w:r>
              <w:rPr>
                <w:rFonts w:hint="eastAsia" w:ascii="宋体" w:hAnsi="宋体" w:cs="宋体"/>
                <w:kern w:val="0"/>
                <w:sz w:val="18"/>
                <w:szCs w:val="18"/>
              </w:rPr>
              <w:t>未开展</w:t>
            </w:r>
            <w:r>
              <w:rPr>
                <w:rFonts w:hint="eastAsia" w:ascii="宋体" w:hAnsi="宋体" w:cs="宋体"/>
                <w:kern w:val="0"/>
                <w:sz w:val="18"/>
                <w:szCs w:val="18"/>
                <w:lang w:eastAsia="zh-CN"/>
              </w:rPr>
              <w:t>相关土壤检测工作。</w:t>
            </w:r>
          </w:p>
        </w:tc>
      </w:tr>
      <w:tr>
        <w:tblPrEx>
          <w:tblCellMar>
            <w:top w:w="0" w:type="dxa"/>
            <w:left w:w="108" w:type="dxa"/>
            <w:bottom w:w="0" w:type="dxa"/>
            <w:right w:w="108" w:type="dxa"/>
          </w:tblCellMar>
        </w:tblPrEx>
        <w:trPr>
          <w:trHeight w:val="42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科学规范</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通过</w:t>
            </w:r>
          </w:p>
        </w:tc>
        <w:tc>
          <w:tcPr>
            <w:tcW w:w="10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通过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按时完成</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按时</w:t>
            </w:r>
          </w:p>
        </w:tc>
        <w:tc>
          <w:tcPr>
            <w:tcW w:w="10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项目成本</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合理</w:t>
            </w:r>
          </w:p>
        </w:tc>
        <w:tc>
          <w:tcPr>
            <w:tcW w:w="10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合理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8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4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掌握耕地质量和环境状况</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基本掌握</w:t>
            </w:r>
          </w:p>
        </w:tc>
        <w:tc>
          <w:tcPr>
            <w:tcW w:w="10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基本掌握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保护耕地生态功能</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有利于</w:t>
            </w:r>
          </w:p>
        </w:tc>
        <w:tc>
          <w:tcPr>
            <w:tcW w:w="10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有利于</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79"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农用地可持续利用</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w:t>
            </w:r>
          </w:p>
        </w:tc>
        <w:tc>
          <w:tcPr>
            <w:tcW w:w="10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94" w:type="dxa"/>
            <w:gridSpan w:val="2"/>
            <w:vMerge w:val="continue"/>
            <w:tcBorders>
              <w:left w:val="nil"/>
              <w:right w:val="single" w:color="auto" w:sz="4" w:space="0"/>
            </w:tcBorders>
            <w:vAlign w:val="center"/>
          </w:tcPr>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88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8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乡镇满意度</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≥90%</w:t>
            </w:r>
          </w:p>
        </w:tc>
        <w:tc>
          <w:tcPr>
            <w:tcW w:w="100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90%</w:t>
            </w:r>
          </w:p>
        </w:tc>
        <w:tc>
          <w:tcPr>
            <w:tcW w:w="55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10</w:t>
            </w:r>
          </w:p>
        </w:tc>
        <w:tc>
          <w:tcPr>
            <w:tcW w:w="1394"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8"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69"/>
        <w:gridCol w:w="1086"/>
        <w:gridCol w:w="718"/>
        <w:gridCol w:w="1016"/>
        <w:gridCol w:w="267"/>
        <w:gridCol w:w="903"/>
        <w:gridCol w:w="1020"/>
        <w:gridCol w:w="525"/>
        <w:gridCol w:w="311"/>
        <w:gridCol w:w="244"/>
        <w:gridCol w:w="59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928" w:type="dxa"/>
            <w:gridSpan w:val="13"/>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928" w:type="dxa"/>
            <w:gridSpan w:val="13"/>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通州区推进</w:t>
            </w:r>
            <w:r>
              <w:rPr>
                <w:rFonts w:hint="eastAsia" w:ascii="宋体" w:hAnsi="宋体" w:cs="宋体"/>
                <w:color w:val="auto"/>
                <w:kern w:val="0"/>
                <w:sz w:val="18"/>
                <w:szCs w:val="18"/>
                <w:lang w:val="en-US" w:eastAsia="zh-CN"/>
              </w:rPr>
              <w:t>“田长制”</w:t>
            </w:r>
            <w:r>
              <w:rPr>
                <w:rFonts w:hint="eastAsia" w:ascii="宋体" w:hAnsi="宋体" w:cs="宋体"/>
                <w:color w:val="auto"/>
                <w:kern w:val="0"/>
                <w:sz w:val="18"/>
                <w:szCs w:val="18"/>
              </w:rPr>
              <w:t>落实耕地保护利用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990" w:type="dxa"/>
            <w:gridSpan w:val="5"/>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 601001</w:t>
            </w:r>
          </w:p>
        </w:tc>
        <w:tc>
          <w:tcPr>
            <w:tcW w:w="102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71" w:type="dxa"/>
            <w:gridSpan w:val="5"/>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jc w:val="center"/>
        </w:trPr>
        <w:tc>
          <w:tcPr>
            <w:tcW w:w="154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990" w:type="dxa"/>
            <w:gridSpan w:val="5"/>
            <w:vAlign w:val="center"/>
          </w:tcPr>
          <w:p>
            <w:pPr>
              <w:widowControl/>
              <w:spacing w:line="240" w:lineRule="exact"/>
              <w:jc w:val="center"/>
              <w:rPr>
                <w:rFonts w:ascii="宋体" w:hAnsi="宋体" w:cs="宋体"/>
                <w:color w:val="auto"/>
                <w:kern w:val="0"/>
                <w:sz w:val="18"/>
                <w:szCs w:val="18"/>
              </w:rPr>
            </w:pPr>
          </w:p>
        </w:tc>
        <w:tc>
          <w:tcPr>
            <w:tcW w:w="102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71" w:type="dxa"/>
            <w:gridSpan w:val="5"/>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47" w:type="dxa"/>
            <w:gridSpan w:val="2"/>
            <w:vMerge w:val="restart"/>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vAlign w:val="center"/>
          </w:tcPr>
          <w:p>
            <w:pPr>
              <w:widowControl/>
              <w:spacing w:line="240" w:lineRule="exact"/>
              <w:jc w:val="center"/>
              <w:rPr>
                <w:rFonts w:ascii="宋体" w:hAnsi="宋体" w:cs="宋体"/>
                <w:color w:val="auto"/>
                <w:kern w:val="0"/>
                <w:sz w:val="18"/>
                <w:szCs w:val="18"/>
              </w:rPr>
            </w:pPr>
          </w:p>
        </w:tc>
        <w:tc>
          <w:tcPr>
            <w:tcW w:w="101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7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2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36"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16"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1170"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154.71</w:t>
            </w:r>
          </w:p>
        </w:tc>
        <w:tc>
          <w:tcPr>
            <w:tcW w:w="1020"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154.71</w:t>
            </w:r>
          </w:p>
        </w:tc>
        <w:tc>
          <w:tcPr>
            <w:tcW w:w="836"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16" w:type="dxa"/>
            <w:vAlign w:val="center"/>
          </w:tcPr>
          <w:p>
            <w:pPr>
              <w:widowControl/>
              <w:spacing w:line="240" w:lineRule="exact"/>
              <w:jc w:val="center"/>
              <w:rPr>
                <w:rFonts w:ascii="宋体" w:hAnsi="宋体" w:cs="宋体"/>
                <w:color w:val="auto"/>
                <w:kern w:val="0"/>
                <w:sz w:val="18"/>
                <w:szCs w:val="18"/>
              </w:rPr>
            </w:pPr>
          </w:p>
        </w:tc>
        <w:tc>
          <w:tcPr>
            <w:tcW w:w="1170" w:type="dxa"/>
            <w:gridSpan w:val="2"/>
            <w:vAlign w:val="center"/>
          </w:tcPr>
          <w:p>
            <w:pPr>
              <w:widowControl/>
              <w:spacing w:line="240" w:lineRule="exact"/>
              <w:jc w:val="center"/>
              <w:rPr>
                <w:rFonts w:ascii="宋体" w:hAnsi="宋体" w:cs="宋体"/>
                <w:color w:val="auto"/>
                <w:kern w:val="0"/>
                <w:sz w:val="18"/>
                <w:szCs w:val="18"/>
              </w:rPr>
            </w:pPr>
          </w:p>
        </w:tc>
        <w:tc>
          <w:tcPr>
            <w:tcW w:w="1020" w:type="dxa"/>
            <w:vAlign w:val="center"/>
          </w:tcPr>
          <w:p>
            <w:pPr>
              <w:widowControl/>
              <w:spacing w:line="240" w:lineRule="exact"/>
              <w:jc w:val="center"/>
              <w:rPr>
                <w:rFonts w:ascii="宋体" w:hAnsi="宋体" w:cs="宋体"/>
                <w:color w:val="auto"/>
                <w:kern w:val="0"/>
                <w:sz w:val="18"/>
                <w:szCs w:val="18"/>
              </w:rPr>
            </w:pPr>
          </w:p>
        </w:tc>
        <w:tc>
          <w:tcPr>
            <w:tcW w:w="836"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ascii="宋体" w:hAnsi="宋体" w:cs="宋体"/>
                <w:color w:val="auto"/>
                <w:kern w:val="0"/>
                <w:sz w:val="18"/>
                <w:szCs w:val="18"/>
              </w:rPr>
            </w:pP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16" w:type="dxa"/>
            <w:vAlign w:val="center"/>
          </w:tcPr>
          <w:p>
            <w:pPr>
              <w:widowControl/>
              <w:spacing w:line="240" w:lineRule="exact"/>
              <w:jc w:val="center"/>
              <w:rPr>
                <w:rFonts w:ascii="宋体" w:hAnsi="宋体" w:cs="宋体"/>
                <w:color w:val="auto"/>
                <w:kern w:val="0"/>
                <w:sz w:val="18"/>
                <w:szCs w:val="18"/>
              </w:rPr>
            </w:pPr>
          </w:p>
        </w:tc>
        <w:tc>
          <w:tcPr>
            <w:tcW w:w="1170" w:type="dxa"/>
            <w:gridSpan w:val="2"/>
            <w:vAlign w:val="center"/>
          </w:tcPr>
          <w:p>
            <w:pPr>
              <w:widowControl/>
              <w:spacing w:line="240" w:lineRule="exact"/>
              <w:jc w:val="center"/>
              <w:rPr>
                <w:rFonts w:ascii="宋体" w:hAnsi="宋体" w:cs="宋体"/>
                <w:color w:val="auto"/>
                <w:kern w:val="0"/>
                <w:sz w:val="18"/>
                <w:szCs w:val="18"/>
              </w:rPr>
            </w:pPr>
          </w:p>
        </w:tc>
        <w:tc>
          <w:tcPr>
            <w:tcW w:w="1020" w:type="dxa"/>
            <w:vAlign w:val="center"/>
          </w:tcPr>
          <w:p>
            <w:pPr>
              <w:widowControl/>
              <w:spacing w:line="240" w:lineRule="exact"/>
              <w:jc w:val="center"/>
              <w:rPr>
                <w:rFonts w:ascii="宋体" w:hAnsi="宋体" w:cs="宋体"/>
                <w:color w:val="auto"/>
                <w:kern w:val="0"/>
                <w:sz w:val="18"/>
                <w:szCs w:val="18"/>
              </w:rPr>
            </w:pPr>
          </w:p>
        </w:tc>
        <w:tc>
          <w:tcPr>
            <w:tcW w:w="836"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ascii="宋体" w:hAnsi="宋体" w:cs="宋体"/>
                <w:color w:val="auto"/>
                <w:kern w:val="0"/>
                <w:sz w:val="18"/>
                <w:szCs w:val="18"/>
              </w:rPr>
            </w:pP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16" w:type="dxa"/>
            <w:vAlign w:val="center"/>
          </w:tcPr>
          <w:p>
            <w:pPr>
              <w:widowControl/>
              <w:spacing w:line="240" w:lineRule="exact"/>
              <w:jc w:val="center"/>
              <w:rPr>
                <w:rFonts w:ascii="宋体" w:hAnsi="宋体" w:cs="宋体"/>
                <w:color w:val="auto"/>
                <w:kern w:val="0"/>
                <w:sz w:val="18"/>
                <w:szCs w:val="18"/>
              </w:rPr>
            </w:pPr>
          </w:p>
        </w:tc>
        <w:tc>
          <w:tcPr>
            <w:tcW w:w="1170" w:type="dxa"/>
            <w:gridSpan w:val="2"/>
            <w:vAlign w:val="center"/>
          </w:tcPr>
          <w:p>
            <w:pPr>
              <w:widowControl/>
              <w:spacing w:line="240" w:lineRule="exact"/>
              <w:jc w:val="center"/>
              <w:rPr>
                <w:rFonts w:ascii="宋体" w:hAnsi="宋体" w:cs="宋体"/>
                <w:color w:val="auto"/>
                <w:kern w:val="0"/>
                <w:sz w:val="18"/>
                <w:szCs w:val="18"/>
              </w:rPr>
            </w:pPr>
          </w:p>
        </w:tc>
        <w:tc>
          <w:tcPr>
            <w:tcW w:w="1020" w:type="dxa"/>
            <w:vAlign w:val="center"/>
          </w:tcPr>
          <w:p>
            <w:pPr>
              <w:widowControl/>
              <w:spacing w:line="240" w:lineRule="exact"/>
              <w:jc w:val="center"/>
              <w:rPr>
                <w:rFonts w:ascii="宋体" w:hAnsi="宋体" w:cs="宋体"/>
                <w:color w:val="auto"/>
                <w:kern w:val="0"/>
                <w:sz w:val="18"/>
                <w:szCs w:val="18"/>
              </w:rPr>
            </w:pPr>
          </w:p>
        </w:tc>
        <w:tc>
          <w:tcPr>
            <w:tcW w:w="836"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ascii="宋体" w:hAnsi="宋体" w:cs="宋体"/>
                <w:color w:val="auto"/>
                <w:kern w:val="0"/>
                <w:sz w:val="18"/>
                <w:szCs w:val="18"/>
              </w:rPr>
            </w:pP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59" w:type="dxa"/>
            <w:gridSpan w:val="6"/>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91" w:type="dxa"/>
            <w:gridSpan w:val="6"/>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4959" w:type="dxa"/>
            <w:gridSpan w:val="6"/>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帮助协作地区巩固脱贫成果、支持乡村特色产业发展壮大</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2.以奖代补项目通过专家评审。</w:t>
            </w:r>
          </w:p>
        </w:tc>
        <w:tc>
          <w:tcPr>
            <w:tcW w:w="3391" w:type="dxa"/>
            <w:gridSpan w:val="6"/>
            <w:vAlign w:val="center"/>
          </w:tcPr>
          <w:p>
            <w:pPr>
              <w:widowControl/>
              <w:spacing w:line="240" w:lineRule="exact"/>
              <w:jc w:val="both"/>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帮助</w:t>
            </w:r>
            <w:r>
              <w:rPr>
                <w:rFonts w:hint="eastAsia" w:ascii="宋体" w:hAnsi="宋体" w:cs="宋体"/>
                <w:color w:val="auto"/>
                <w:kern w:val="0"/>
                <w:sz w:val="18"/>
                <w:szCs w:val="18"/>
                <w:lang w:val="en-US" w:eastAsia="zh-CN"/>
              </w:rPr>
              <w:t>2个援蒙对接</w:t>
            </w:r>
            <w:r>
              <w:rPr>
                <w:rFonts w:hint="eastAsia" w:ascii="宋体" w:hAnsi="宋体" w:cs="宋体"/>
                <w:color w:val="auto"/>
                <w:kern w:val="0"/>
                <w:sz w:val="18"/>
                <w:szCs w:val="18"/>
              </w:rPr>
              <w:t>协作地区巩固</w:t>
            </w:r>
            <w:r>
              <w:rPr>
                <w:rFonts w:hint="eastAsia" w:ascii="宋体" w:hAnsi="宋体" w:cs="宋体"/>
                <w:color w:val="auto"/>
                <w:kern w:val="0"/>
                <w:sz w:val="18"/>
                <w:szCs w:val="18"/>
                <w:lang w:val="en-US" w:eastAsia="zh-CN"/>
              </w:rPr>
              <w:t>了</w:t>
            </w:r>
            <w:r>
              <w:rPr>
                <w:rFonts w:hint="eastAsia" w:ascii="宋体" w:hAnsi="宋体" w:cs="宋体"/>
                <w:color w:val="auto"/>
                <w:kern w:val="0"/>
                <w:sz w:val="18"/>
                <w:szCs w:val="18"/>
              </w:rPr>
              <w:t>脱贫成果、支持乡村特色产业</w:t>
            </w:r>
            <w:r>
              <w:rPr>
                <w:rFonts w:hint="eastAsia" w:ascii="宋体" w:hAnsi="宋体" w:cs="宋体"/>
                <w:color w:val="auto"/>
                <w:kern w:val="0"/>
                <w:sz w:val="18"/>
                <w:szCs w:val="18"/>
                <w:lang w:val="en-US" w:eastAsia="zh-CN"/>
              </w:rPr>
              <w:t>进一步</w:t>
            </w:r>
            <w:r>
              <w:rPr>
                <w:rFonts w:hint="eastAsia" w:ascii="宋体" w:hAnsi="宋体" w:cs="宋体"/>
                <w:color w:val="auto"/>
                <w:kern w:val="0"/>
                <w:sz w:val="18"/>
                <w:szCs w:val="18"/>
              </w:rPr>
              <w:t>发展壮大</w:t>
            </w:r>
            <w:r>
              <w:rPr>
                <w:rFonts w:hint="eastAsia" w:ascii="宋体" w:hAnsi="宋体" w:cs="宋体"/>
                <w:color w:val="auto"/>
                <w:kern w:val="0"/>
                <w:sz w:val="18"/>
                <w:szCs w:val="18"/>
                <w:lang w:eastAsia="zh-CN"/>
              </w:rPr>
              <w:t>；</w:t>
            </w:r>
          </w:p>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lang w:val="en-US" w:eastAsia="zh-CN"/>
              </w:rPr>
              <w:t>2.全部以奖代补项目通过了专家评审。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578" w:type="dxa"/>
            <w:vMerge w:val="restart"/>
            <w:tcBorders>
              <w:right w:val="single" w:color="auto" w:sz="4" w:space="0"/>
            </w:tcBorders>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绩</w:t>
            </w:r>
          </w:p>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效</w:t>
            </w:r>
          </w:p>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指</w:t>
            </w:r>
          </w:p>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标</w:t>
            </w:r>
          </w:p>
        </w:tc>
        <w:tc>
          <w:tcPr>
            <w:tcW w:w="96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03"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20"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25"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5" w:type="dxa"/>
            <w:gridSpan w:val="2"/>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91" w:type="dxa"/>
            <w:gridSpan w:val="2"/>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578" w:type="dxa"/>
            <w:vMerge w:val="continue"/>
            <w:tcBorders>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援蒙对接政府</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2个</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2个</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578" w:type="dxa"/>
            <w:vMerge w:val="continue"/>
            <w:tcBorders>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项目通过专家评审率</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578" w:type="dxa"/>
            <w:vMerge w:val="continue"/>
            <w:tcBorders>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帮扶工作完成时间</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578" w:type="dxa"/>
            <w:vMerge w:val="continue"/>
            <w:tcBorders>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完成资金拨付</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578" w:type="dxa"/>
            <w:vMerge w:val="continue"/>
            <w:tcBorders>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成本控制在总预算内</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w:t>
            </w:r>
            <w:r>
              <w:rPr>
                <w:rFonts w:hint="eastAsia" w:ascii="宋体" w:hAnsi="宋体" w:cs="宋体"/>
                <w:color w:val="auto"/>
                <w:kern w:val="0"/>
                <w:sz w:val="18"/>
                <w:szCs w:val="18"/>
                <w:lang w:val="en-US" w:eastAsia="zh-CN"/>
              </w:rPr>
              <w:t>154.71万元</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154.71万元</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jc w:val="center"/>
        </w:trPr>
        <w:tc>
          <w:tcPr>
            <w:tcW w:w="578" w:type="dxa"/>
            <w:vMerge w:val="continue"/>
            <w:tcBorders>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提供</w:t>
            </w:r>
            <w:r>
              <w:rPr>
                <w:rFonts w:hint="eastAsia" w:ascii="宋体" w:hAnsi="宋体" w:cs="宋体"/>
                <w:color w:val="auto"/>
                <w:kern w:val="0"/>
                <w:sz w:val="18"/>
                <w:szCs w:val="18"/>
              </w:rPr>
              <w:t>农业科技人才及智力支撑</w:t>
            </w:r>
            <w:r>
              <w:rPr>
                <w:rFonts w:hint="eastAsia" w:ascii="宋体" w:hAnsi="宋体" w:cs="宋体"/>
                <w:color w:val="auto"/>
                <w:kern w:val="0"/>
                <w:sz w:val="18"/>
                <w:szCs w:val="18"/>
                <w:lang w:eastAsia="zh-CN"/>
              </w:rPr>
              <w:t>，帮助协作地区巩固脱贫成果</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显著</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显著</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578" w:type="dxa"/>
            <w:vMerge w:val="continue"/>
            <w:tcBorders>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推动</w:t>
            </w:r>
            <w:r>
              <w:rPr>
                <w:rFonts w:hint="eastAsia" w:ascii="宋体" w:hAnsi="宋体" w:cs="宋体"/>
                <w:color w:val="auto"/>
                <w:kern w:val="0"/>
                <w:sz w:val="18"/>
                <w:szCs w:val="18"/>
              </w:rPr>
              <w:t>乡村特色产业发展壮大</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显著</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显著</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578" w:type="dxa"/>
            <w:vMerge w:val="continue"/>
            <w:tcBorders>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援蒙对接政府</w:t>
            </w:r>
            <w:r>
              <w:rPr>
                <w:rFonts w:hint="eastAsia" w:ascii="宋体" w:hAnsi="宋体" w:cs="宋体"/>
                <w:color w:val="auto"/>
                <w:kern w:val="0"/>
                <w:sz w:val="18"/>
                <w:szCs w:val="18"/>
                <w:lang w:eastAsia="zh-CN"/>
              </w:rPr>
              <w:t>满意度</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6557" w:type="dxa"/>
            <w:gridSpan w:val="8"/>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2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5"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91" w:type="dxa"/>
            <w:gridSpan w:val="2"/>
            <w:vAlign w:val="center"/>
          </w:tcPr>
          <w:p>
            <w:pPr>
              <w:widowControl/>
              <w:spacing w:line="240" w:lineRule="exact"/>
              <w:jc w:val="center"/>
              <w:rPr>
                <w:rFonts w:ascii="宋体" w:hAnsi="宋体" w:cs="宋体"/>
                <w:color w:val="auto"/>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009"/>
        <w:gridCol w:w="1046"/>
        <w:gridCol w:w="718"/>
        <w:gridCol w:w="1114"/>
        <w:gridCol w:w="949"/>
        <w:gridCol w:w="1006"/>
        <w:gridCol w:w="202"/>
        <w:gridCol w:w="355"/>
        <w:gridCol w:w="416"/>
        <w:gridCol w:w="289"/>
        <w:gridCol w:w="54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9667" w:type="dxa"/>
            <w:gridSpan w:val="13"/>
            <w:tcBorders>
              <w:top w:val="nil"/>
              <w:left w:val="nil"/>
              <w:bottom w:val="nil"/>
              <w:right w:val="nil"/>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667" w:type="dxa"/>
            <w:gridSpan w:val="13"/>
            <w:tcBorders>
              <w:top w:val="nil"/>
              <w:left w:val="nil"/>
              <w:bottom w:val="single" w:color="auto" w:sz="4" w:space="0"/>
              <w:right w:val="nil"/>
            </w:tcBorders>
          </w:tcPr>
          <w:p>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587" w:type="dxa"/>
            <w:gridSpan w:val="2"/>
            <w:tcBorders>
              <w:top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80" w:type="dxa"/>
            <w:gridSpan w:val="11"/>
            <w:tcBorders>
              <w:top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通州区推进田长制落实耕地保护利用（政府购买耕地质量等级监测评价与分类管理、基本农田巡查监管服务）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827"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color w:val="auto"/>
                <w:kern w:val="0"/>
                <w:sz w:val="18"/>
                <w:szCs w:val="18"/>
              </w:rPr>
              <w:t>北京市通州区农业农村局</w:t>
            </w:r>
          </w:p>
        </w:tc>
        <w:tc>
          <w:tcPr>
            <w:tcW w:w="1208"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3045" w:type="dxa"/>
            <w:gridSpan w:val="5"/>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827"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王连春、</w:t>
            </w:r>
            <w:r>
              <w:rPr>
                <w:rFonts w:hint="eastAsia" w:ascii="宋体" w:hAnsi="宋体" w:cs="宋体"/>
                <w:kern w:val="0"/>
                <w:sz w:val="18"/>
                <w:szCs w:val="18"/>
              </w:rPr>
              <w:t>马迎欢</w:t>
            </w:r>
          </w:p>
        </w:tc>
        <w:tc>
          <w:tcPr>
            <w:tcW w:w="1208"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045" w:type="dxa"/>
            <w:gridSpan w:val="5"/>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010-</w:t>
            </w:r>
            <w:r>
              <w:rPr>
                <w:rFonts w:hint="eastAsia" w:ascii="宋体" w:hAnsi="宋体" w:cs="宋体"/>
                <w:kern w:val="0"/>
                <w:sz w:val="18"/>
                <w:szCs w:val="18"/>
              </w:rPr>
              <w:t>81582825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87" w:type="dxa"/>
            <w:gridSpan w:val="2"/>
            <w:vMerge w:val="restart"/>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764" w:type="dxa"/>
            <w:gridSpan w:val="2"/>
            <w:vAlign w:val="center"/>
          </w:tcPr>
          <w:p>
            <w:pPr>
              <w:widowControl/>
              <w:spacing w:line="240" w:lineRule="exact"/>
              <w:jc w:val="center"/>
              <w:rPr>
                <w:rFonts w:ascii="宋体" w:hAnsi="宋体" w:cs="宋体"/>
                <w:kern w:val="0"/>
                <w:sz w:val="18"/>
                <w:szCs w:val="18"/>
              </w:rPr>
            </w:pPr>
          </w:p>
        </w:tc>
        <w:tc>
          <w:tcPr>
            <w:tcW w:w="1114"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208" w:type="dxa"/>
            <w:gridSpan w:val="2"/>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执行数</w:t>
            </w: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43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Merge w:val="continue"/>
            <w:vAlign w:val="center"/>
          </w:tcPr>
          <w:p>
            <w:pPr>
              <w:widowControl/>
              <w:spacing w:line="240" w:lineRule="exact"/>
              <w:jc w:val="center"/>
              <w:rPr>
                <w:rFonts w:ascii="宋体" w:hAnsi="宋体" w:cs="宋体"/>
                <w:kern w:val="0"/>
                <w:sz w:val="18"/>
                <w:szCs w:val="18"/>
              </w:rPr>
            </w:pPr>
          </w:p>
        </w:tc>
        <w:tc>
          <w:tcPr>
            <w:tcW w:w="1764" w:type="dxa"/>
            <w:gridSpan w:val="2"/>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174.2</w:t>
            </w:r>
            <w:r>
              <w:rPr>
                <w:rFonts w:hint="eastAsia" w:ascii="宋体" w:hAnsi="宋体" w:cs="宋体"/>
                <w:kern w:val="0"/>
                <w:sz w:val="18"/>
                <w:szCs w:val="18"/>
                <w:lang w:val="en-US" w:eastAsia="zh-CN"/>
              </w:rPr>
              <w:t>3</w:t>
            </w:r>
          </w:p>
        </w:tc>
        <w:tc>
          <w:tcPr>
            <w:tcW w:w="949"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174.2</w:t>
            </w:r>
            <w:r>
              <w:rPr>
                <w:rFonts w:hint="eastAsia" w:ascii="宋体" w:hAnsi="宋体" w:cs="宋体"/>
                <w:kern w:val="0"/>
                <w:sz w:val="18"/>
                <w:szCs w:val="18"/>
                <w:lang w:val="en-US" w:eastAsia="zh-CN"/>
              </w:rPr>
              <w:t>3</w:t>
            </w:r>
          </w:p>
        </w:tc>
        <w:tc>
          <w:tcPr>
            <w:tcW w:w="1208"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174.2</w:t>
            </w:r>
            <w:r>
              <w:rPr>
                <w:rFonts w:hint="eastAsia" w:ascii="宋体" w:hAnsi="宋体" w:cs="宋体"/>
                <w:kern w:val="0"/>
                <w:sz w:val="18"/>
                <w:szCs w:val="18"/>
                <w:lang w:val="en-US" w:eastAsia="zh-CN"/>
              </w:rPr>
              <w:t>3</w:t>
            </w: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1438"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Merge w:val="continue"/>
            <w:vAlign w:val="center"/>
          </w:tcPr>
          <w:p>
            <w:pPr>
              <w:widowControl/>
              <w:spacing w:line="240" w:lineRule="exact"/>
              <w:jc w:val="center"/>
              <w:rPr>
                <w:rFonts w:ascii="宋体" w:hAnsi="宋体" w:cs="宋体"/>
                <w:kern w:val="0"/>
                <w:sz w:val="18"/>
                <w:szCs w:val="18"/>
              </w:rPr>
            </w:pPr>
          </w:p>
        </w:tc>
        <w:tc>
          <w:tcPr>
            <w:tcW w:w="17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vAlign w:val="center"/>
          </w:tcPr>
          <w:p>
            <w:pPr>
              <w:widowControl/>
              <w:spacing w:line="240" w:lineRule="exact"/>
              <w:jc w:val="center"/>
              <w:rPr>
                <w:rFonts w:ascii="宋体" w:hAnsi="宋体" w:cs="宋体"/>
                <w:kern w:val="0"/>
                <w:sz w:val="18"/>
                <w:szCs w:val="18"/>
              </w:rPr>
            </w:pPr>
          </w:p>
        </w:tc>
        <w:tc>
          <w:tcPr>
            <w:tcW w:w="949" w:type="dxa"/>
            <w:vAlign w:val="center"/>
          </w:tcPr>
          <w:p>
            <w:pPr>
              <w:widowControl/>
              <w:spacing w:line="240" w:lineRule="exact"/>
              <w:jc w:val="center"/>
              <w:rPr>
                <w:rFonts w:ascii="宋体" w:hAnsi="宋体" w:cs="宋体"/>
                <w:kern w:val="0"/>
                <w:sz w:val="18"/>
                <w:szCs w:val="18"/>
              </w:rPr>
            </w:pPr>
          </w:p>
        </w:tc>
        <w:tc>
          <w:tcPr>
            <w:tcW w:w="1208" w:type="dxa"/>
            <w:gridSpan w:val="2"/>
            <w:vAlign w:val="center"/>
          </w:tcPr>
          <w:p>
            <w:pPr>
              <w:widowControl/>
              <w:spacing w:line="240" w:lineRule="exact"/>
              <w:jc w:val="center"/>
              <w:rPr>
                <w:rFonts w:ascii="宋体" w:hAnsi="宋体" w:cs="宋体"/>
                <w:kern w:val="0"/>
                <w:sz w:val="18"/>
                <w:szCs w:val="18"/>
              </w:rPr>
            </w:pP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vAlign w:val="center"/>
          </w:tcPr>
          <w:p>
            <w:pPr>
              <w:widowControl/>
              <w:spacing w:line="240" w:lineRule="exact"/>
              <w:jc w:val="center"/>
              <w:rPr>
                <w:rFonts w:ascii="宋体" w:hAnsi="宋体" w:cs="宋体"/>
                <w:kern w:val="0"/>
                <w:sz w:val="18"/>
                <w:szCs w:val="18"/>
              </w:rPr>
            </w:pPr>
          </w:p>
        </w:tc>
        <w:tc>
          <w:tcPr>
            <w:tcW w:w="143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Merge w:val="continue"/>
            <w:vAlign w:val="center"/>
          </w:tcPr>
          <w:p>
            <w:pPr>
              <w:widowControl/>
              <w:spacing w:line="240" w:lineRule="exact"/>
              <w:jc w:val="center"/>
              <w:rPr>
                <w:rFonts w:ascii="宋体" w:hAnsi="宋体" w:cs="宋体"/>
                <w:kern w:val="0"/>
                <w:sz w:val="18"/>
                <w:szCs w:val="18"/>
              </w:rPr>
            </w:pPr>
          </w:p>
        </w:tc>
        <w:tc>
          <w:tcPr>
            <w:tcW w:w="17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174.2</w:t>
            </w:r>
            <w:r>
              <w:rPr>
                <w:rFonts w:hint="eastAsia" w:ascii="宋体" w:hAnsi="宋体" w:cs="宋体"/>
                <w:kern w:val="0"/>
                <w:sz w:val="18"/>
                <w:szCs w:val="18"/>
                <w:lang w:val="en-US" w:eastAsia="zh-CN"/>
              </w:rPr>
              <w:t>3</w:t>
            </w:r>
          </w:p>
        </w:tc>
        <w:tc>
          <w:tcPr>
            <w:tcW w:w="949"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174.2</w:t>
            </w:r>
            <w:r>
              <w:rPr>
                <w:rFonts w:hint="eastAsia" w:ascii="宋体" w:hAnsi="宋体" w:cs="宋体"/>
                <w:kern w:val="0"/>
                <w:sz w:val="18"/>
                <w:szCs w:val="18"/>
                <w:lang w:val="en-US" w:eastAsia="zh-CN"/>
              </w:rPr>
              <w:t>3</w:t>
            </w:r>
          </w:p>
        </w:tc>
        <w:tc>
          <w:tcPr>
            <w:tcW w:w="1208"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174.2</w:t>
            </w:r>
            <w:r>
              <w:rPr>
                <w:rFonts w:hint="eastAsia" w:ascii="宋体" w:hAnsi="宋体" w:cs="宋体"/>
                <w:kern w:val="0"/>
                <w:sz w:val="18"/>
                <w:szCs w:val="18"/>
                <w:lang w:val="en-US" w:eastAsia="zh-CN"/>
              </w:rPr>
              <w:t>3</w:t>
            </w: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vAlign w:val="center"/>
          </w:tcPr>
          <w:p>
            <w:pPr>
              <w:widowControl/>
              <w:spacing w:line="240" w:lineRule="exact"/>
              <w:jc w:val="center"/>
              <w:rPr>
                <w:rFonts w:ascii="宋体" w:hAnsi="宋体" w:cs="宋体"/>
                <w:kern w:val="0"/>
                <w:sz w:val="18"/>
                <w:szCs w:val="18"/>
              </w:rPr>
            </w:pPr>
          </w:p>
        </w:tc>
        <w:tc>
          <w:tcPr>
            <w:tcW w:w="143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Merge w:val="continue"/>
            <w:vAlign w:val="center"/>
          </w:tcPr>
          <w:p>
            <w:pPr>
              <w:widowControl/>
              <w:spacing w:line="240" w:lineRule="exact"/>
              <w:jc w:val="center"/>
              <w:rPr>
                <w:rFonts w:ascii="宋体" w:hAnsi="宋体" w:cs="宋体"/>
                <w:kern w:val="0"/>
                <w:sz w:val="18"/>
                <w:szCs w:val="18"/>
              </w:rPr>
            </w:pPr>
          </w:p>
        </w:tc>
        <w:tc>
          <w:tcPr>
            <w:tcW w:w="17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vAlign w:val="center"/>
          </w:tcPr>
          <w:p>
            <w:pPr>
              <w:widowControl/>
              <w:spacing w:line="240" w:lineRule="exact"/>
              <w:jc w:val="center"/>
              <w:rPr>
                <w:rFonts w:ascii="宋体" w:hAnsi="宋体" w:cs="宋体"/>
                <w:kern w:val="0"/>
                <w:sz w:val="18"/>
                <w:szCs w:val="18"/>
              </w:rPr>
            </w:pPr>
          </w:p>
        </w:tc>
        <w:tc>
          <w:tcPr>
            <w:tcW w:w="949" w:type="dxa"/>
            <w:vAlign w:val="center"/>
          </w:tcPr>
          <w:p>
            <w:pPr>
              <w:widowControl/>
              <w:spacing w:line="240" w:lineRule="exact"/>
              <w:jc w:val="center"/>
              <w:rPr>
                <w:rFonts w:ascii="宋体" w:hAnsi="宋体" w:cs="宋体"/>
                <w:kern w:val="0"/>
                <w:sz w:val="18"/>
                <w:szCs w:val="18"/>
              </w:rPr>
            </w:pPr>
          </w:p>
        </w:tc>
        <w:tc>
          <w:tcPr>
            <w:tcW w:w="1208" w:type="dxa"/>
            <w:gridSpan w:val="2"/>
            <w:vAlign w:val="center"/>
          </w:tcPr>
          <w:p>
            <w:pPr>
              <w:widowControl/>
              <w:spacing w:line="240" w:lineRule="exact"/>
              <w:jc w:val="center"/>
              <w:rPr>
                <w:rFonts w:ascii="宋体" w:hAnsi="宋体" w:cs="宋体"/>
                <w:kern w:val="0"/>
                <w:sz w:val="18"/>
                <w:szCs w:val="18"/>
              </w:rPr>
            </w:pP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vAlign w:val="center"/>
          </w:tcPr>
          <w:p>
            <w:pPr>
              <w:widowControl/>
              <w:spacing w:line="240" w:lineRule="exact"/>
              <w:jc w:val="center"/>
              <w:rPr>
                <w:rFonts w:ascii="宋体" w:hAnsi="宋体" w:cs="宋体"/>
                <w:kern w:val="0"/>
                <w:sz w:val="18"/>
                <w:szCs w:val="18"/>
              </w:rPr>
            </w:pPr>
          </w:p>
        </w:tc>
        <w:tc>
          <w:tcPr>
            <w:tcW w:w="143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36" w:type="dxa"/>
            <w:gridSpan w:val="5"/>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253" w:type="dxa"/>
            <w:gridSpan w:val="7"/>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4836" w:type="dxa"/>
            <w:gridSpan w:val="5"/>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完成</w:t>
            </w:r>
            <w:r>
              <w:rPr>
                <w:rFonts w:hint="eastAsia" w:ascii="宋体" w:hAnsi="宋体" w:cs="宋体"/>
                <w:kern w:val="0"/>
                <w:sz w:val="18"/>
                <w:szCs w:val="18"/>
                <w:lang w:eastAsia="zh-CN"/>
              </w:rPr>
              <w:t>《</w:t>
            </w:r>
            <w:r>
              <w:rPr>
                <w:rFonts w:hint="eastAsia" w:ascii="宋体" w:hAnsi="宋体" w:cs="宋体"/>
                <w:kern w:val="0"/>
                <w:sz w:val="18"/>
                <w:szCs w:val="18"/>
              </w:rPr>
              <w:t>通州区高标准农田建设规划（2021-2030年）</w:t>
            </w:r>
            <w:r>
              <w:rPr>
                <w:rFonts w:hint="eastAsia" w:ascii="宋体" w:hAnsi="宋体" w:cs="宋体"/>
                <w:kern w:val="0"/>
                <w:sz w:val="18"/>
                <w:szCs w:val="18"/>
                <w:lang w:eastAsia="zh-CN"/>
              </w:rPr>
              <w:t>》</w:t>
            </w:r>
            <w:r>
              <w:rPr>
                <w:rFonts w:hint="eastAsia" w:ascii="宋体" w:hAnsi="宋体" w:cs="宋体"/>
                <w:kern w:val="0"/>
                <w:sz w:val="18"/>
                <w:szCs w:val="18"/>
              </w:rPr>
              <w:t>；</w:t>
            </w:r>
          </w:p>
          <w:p>
            <w:pPr>
              <w:widowControl/>
              <w:spacing w:line="24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2.</w:t>
            </w:r>
            <w:r>
              <w:rPr>
                <w:rFonts w:hint="eastAsia" w:ascii="宋体" w:hAnsi="宋体" w:cs="宋体"/>
                <w:kern w:val="0"/>
                <w:sz w:val="18"/>
                <w:szCs w:val="18"/>
              </w:rPr>
              <w:t>高标准农田排查整改</w:t>
            </w:r>
            <w:r>
              <w:rPr>
                <w:rFonts w:hint="eastAsia" w:ascii="宋体" w:hAnsi="宋体" w:cs="宋体"/>
                <w:kern w:val="0"/>
                <w:sz w:val="18"/>
                <w:szCs w:val="18"/>
                <w:lang w:eastAsia="zh-CN"/>
              </w:rPr>
              <w:t>；</w:t>
            </w:r>
          </w:p>
          <w:p>
            <w:pPr>
              <w:widowControl/>
              <w:spacing w:line="24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3.</w:t>
            </w:r>
            <w:r>
              <w:rPr>
                <w:rFonts w:hint="eastAsia" w:ascii="宋体" w:hAnsi="宋体" w:cs="宋体"/>
                <w:kern w:val="0"/>
                <w:sz w:val="18"/>
                <w:szCs w:val="18"/>
              </w:rPr>
              <w:t>1</w:t>
            </w:r>
            <w:r>
              <w:rPr>
                <w:rFonts w:ascii="宋体" w:hAnsi="宋体" w:cs="宋体"/>
                <w:kern w:val="0"/>
                <w:sz w:val="18"/>
                <w:szCs w:val="18"/>
              </w:rPr>
              <w:t>0.5万亩复耕地地块外业验收</w:t>
            </w:r>
            <w:r>
              <w:rPr>
                <w:rFonts w:hint="eastAsia" w:ascii="宋体" w:hAnsi="宋体" w:cs="宋体"/>
                <w:kern w:val="0"/>
                <w:sz w:val="18"/>
                <w:szCs w:val="18"/>
                <w:lang w:eastAsia="zh-CN"/>
              </w:rPr>
              <w:t>；</w:t>
            </w:r>
          </w:p>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4.</w:t>
            </w:r>
            <w:r>
              <w:rPr>
                <w:rFonts w:ascii="宋体" w:hAnsi="宋体" w:cs="宋体"/>
                <w:kern w:val="0"/>
                <w:sz w:val="18"/>
                <w:szCs w:val="18"/>
              </w:rPr>
              <w:t>漷县一期、永乐店二期农业生产符合性评价；</w:t>
            </w:r>
          </w:p>
          <w:p>
            <w:pPr>
              <w:widowControl/>
              <w:spacing w:line="240" w:lineRule="exact"/>
              <w:rPr>
                <w:rFonts w:hint="eastAsia"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拆迁腾退地块质量核查报告</w:t>
            </w:r>
          </w:p>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6.</w:t>
            </w:r>
            <w:r>
              <w:rPr>
                <w:rFonts w:hint="eastAsia" w:ascii="宋体" w:hAnsi="宋体" w:cs="宋体"/>
                <w:kern w:val="0"/>
                <w:sz w:val="18"/>
                <w:szCs w:val="18"/>
              </w:rPr>
              <w:t>耕地报告4份</w:t>
            </w:r>
          </w:p>
        </w:tc>
        <w:tc>
          <w:tcPr>
            <w:tcW w:w="4253" w:type="dxa"/>
            <w:gridSpan w:val="7"/>
            <w:vAlign w:val="center"/>
          </w:tcPr>
          <w:p>
            <w:pPr>
              <w:widowControl/>
              <w:spacing w:line="240" w:lineRule="exact"/>
              <w:jc w:val="both"/>
              <w:rPr>
                <w:rFonts w:hint="eastAsia" w:ascii="宋体" w:hAnsi="宋体" w:cs="宋体"/>
                <w:kern w:val="0"/>
                <w:sz w:val="18"/>
                <w:szCs w:val="18"/>
              </w:rPr>
            </w:pPr>
            <w:r>
              <w:rPr>
                <w:rFonts w:hint="eastAsia" w:ascii="宋体" w:hAnsi="宋体" w:cs="宋体"/>
                <w:kern w:val="0"/>
                <w:sz w:val="18"/>
                <w:szCs w:val="18"/>
                <w:lang w:val="en-US" w:eastAsia="zh-CN"/>
              </w:rPr>
              <w:t>1.出台</w:t>
            </w:r>
            <w:r>
              <w:rPr>
                <w:rFonts w:hint="eastAsia" w:ascii="宋体" w:hAnsi="宋体" w:cs="宋体"/>
                <w:kern w:val="0"/>
                <w:sz w:val="18"/>
                <w:szCs w:val="18"/>
                <w:lang w:eastAsia="zh-CN"/>
              </w:rPr>
              <w:t>《</w:t>
            </w:r>
            <w:r>
              <w:rPr>
                <w:rFonts w:hint="eastAsia" w:ascii="宋体" w:hAnsi="宋体" w:cs="宋体"/>
                <w:kern w:val="0"/>
                <w:sz w:val="18"/>
                <w:szCs w:val="18"/>
              </w:rPr>
              <w:t>通州区高标准农田建设规划（2021-2030年）</w:t>
            </w:r>
            <w:r>
              <w:rPr>
                <w:rFonts w:hint="eastAsia" w:ascii="宋体" w:hAnsi="宋体" w:cs="宋体"/>
                <w:kern w:val="0"/>
                <w:sz w:val="18"/>
                <w:szCs w:val="18"/>
                <w:lang w:eastAsia="zh-CN"/>
              </w:rPr>
              <w:t>》</w:t>
            </w:r>
            <w:r>
              <w:rPr>
                <w:rFonts w:hint="eastAsia" w:ascii="宋体" w:hAnsi="宋体" w:cs="宋体"/>
                <w:kern w:val="0"/>
                <w:sz w:val="18"/>
                <w:szCs w:val="18"/>
              </w:rPr>
              <w:t>；</w:t>
            </w:r>
          </w:p>
          <w:p>
            <w:pPr>
              <w:widowControl/>
              <w:spacing w:line="240" w:lineRule="exact"/>
              <w:jc w:val="both"/>
              <w:rPr>
                <w:rFonts w:hint="eastAsia" w:ascii="宋体" w:hAnsi="宋体" w:cs="宋体"/>
                <w:kern w:val="0"/>
                <w:sz w:val="18"/>
                <w:szCs w:val="18"/>
                <w:lang w:val="en-US" w:eastAsia="zh-CN"/>
              </w:rPr>
            </w:pPr>
            <w:r>
              <w:rPr>
                <w:rFonts w:hint="eastAsia" w:ascii="宋体" w:hAnsi="宋体" w:cs="宋体"/>
                <w:kern w:val="0"/>
                <w:sz w:val="18"/>
                <w:szCs w:val="18"/>
                <w:lang w:val="en-US" w:eastAsia="zh-CN"/>
              </w:rPr>
              <w:t>2.</w:t>
            </w:r>
            <w:r>
              <w:rPr>
                <w:rFonts w:hint="eastAsia" w:ascii="宋体" w:hAnsi="宋体" w:cs="宋体"/>
                <w:kern w:val="0"/>
                <w:sz w:val="18"/>
                <w:szCs w:val="18"/>
              </w:rPr>
              <w:t>高标准农田排查整改</w:t>
            </w:r>
            <w:r>
              <w:rPr>
                <w:rFonts w:hint="eastAsia" w:ascii="宋体" w:hAnsi="宋体" w:cs="宋体"/>
                <w:kern w:val="0"/>
                <w:sz w:val="18"/>
                <w:szCs w:val="18"/>
                <w:lang w:val="en-US" w:eastAsia="zh-CN"/>
              </w:rPr>
              <w:t>完成；</w:t>
            </w:r>
          </w:p>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val="en-US" w:eastAsia="zh-CN"/>
              </w:rPr>
              <w:t>3.完成</w:t>
            </w:r>
            <w:r>
              <w:rPr>
                <w:rFonts w:hint="eastAsia" w:ascii="宋体" w:hAnsi="宋体" w:cs="宋体"/>
                <w:kern w:val="0"/>
                <w:sz w:val="18"/>
                <w:szCs w:val="18"/>
              </w:rPr>
              <w:t>1</w:t>
            </w:r>
            <w:r>
              <w:rPr>
                <w:rFonts w:ascii="宋体" w:hAnsi="宋体" w:cs="宋体"/>
                <w:kern w:val="0"/>
                <w:sz w:val="18"/>
                <w:szCs w:val="18"/>
              </w:rPr>
              <w:t>0.5万亩复耕地地块外业验收</w:t>
            </w:r>
            <w:r>
              <w:rPr>
                <w:rFonts w:hint="eastAsia" w:ascii="宋体" w:hAnsi="宋体" w:cs="宋体"/>
                <w:kern w:val="0"/>
                <w:sz w:val="18"/>
                <w:szCs w:val="18"/>
                <w:lang w:eastAsia="zh-CN"/>
              </w:rPr>
              <w:t>；</w:t>
            </w:r>
          </w:p>
          <w:p>
            <w:pPr>
              <w:widowControl/>
              <w:spacing w:line="240" w:lineRule="exact"/>
              <w:jc w:val="both"/>
              <w:rPr>
                <w:rFonts w:ascii="宋体" w:hAnsi="宋体" w:cs="宋体"/>
                <w:kern w:val="0"/>
                <w:sz w:val="18"/>
                <w:szCs w:val="18"/>
              </w:rPr>
            </w:pPr>
            <w:r>
              <w:rPr>
                <w:rFonts w:hint="eastAsia" w:ascii="宋体" w:hAnsi="宋体" w:cs="宋体"/>
                <w:kern w:val="0"/>
                <w:sz w:val="18"/>
                <w:szCs w:val="18"/>
                <w:lang w:val="en-US" w:eastAsia="zh-CN"/>
              </w:rPr>
              <w:t>4.完成</w:t>
            </w:r>
            <w:r>
              <w:rPr>
                <w:rFonts w:ascii="宋体" w:hAnsi="宋体" w:cs="宋体"/>
                <w:kern w:val="0"/>
                <w:sz w:val="18"/>
                <w:szCs w:val="18"/>
              </w:rPr>
              <w:t>漷县一期、永乐店二期</w:t>
            </w:r>
            <w:r>
              <w:rPr>
                <w:rFonts w:hint="eastAsia" w:ascii="宋体" w:hAnsi="宋体" w:cs="宋体"/>
                <w:kern w:val="0"/>
                <w:sz w:val="18"/>
                <w:szCs w:val="18"/>
                <w:lang w:val="en-US" w:eastAsia="zh-CN"/>
              </w:rPr>
              <w:t>共2份</w:t>
            </w:r>
            <w:r>
              <w:rPr>
                <w:rFonts w:ascii="宋体" w:hAnsi="宋体" w:cs="宋体"/>
                <w:kern w:val="0"/>
                <w:sz w:val="18"/>
                <w:szCs w:val="18"/>
              </w:rPr>
              <w:t>农业生产符合性评价</w:t>
            </w:r>
            <w:r>
              <w:rPr>
                <w:rFonts w:hint="eastAsia" w:ascii="宋体" w:hAnsi="宋体" w:cs="宋体"/>
                <w:kern w:val="0"/>
                <w:sz w:val="18"/>
                <w:szCs w:val="18"/>
                <w:lang w:val="en-US" w:eastAsia="zh-CN"/>
              </w:rPr>
              <w:t>报告出具</w:t>
            </w:r>
            <w:r>
              <w:rPr>
                <w:rFonts w:ascii="宋体" w:hAnsi="宋体" w:cs="宋体"/>
                <w:kern w:val="0"/>
                <w:sz w:val="18"/>
                <w:szCs w:val="18"/>
              </w:rPr>
              <w:t>；</w:t>
            </w:r>
          </w:p>
          <w:p>
            <w:pPr>
              <w:widowControl/>
              <w:spacing w:line="240" w:lineRule="exact"/>
              <w:jc w:val="both"/>
              <w:rPr>
                <w:rFonts w:hint="eastAsia" w:ascii="宋体" w:hAnsi="宋体" w:cs="宋体"/>
                <w:kern w:val="0"/>
                <w:sz w:val="18"/>
                <w:szCs w:val="18"/>
              </w:rPr>
            </w:pPr>
            <w:r>
              <w:rPr>
                <w:rFonts w:hint="eastAsia" w:ascii="宋体" w:hAnsi="宋体" w:cs="宋体"/>
                <w:kern w:val="0"/>
                <w:sz w:val="18"/>
                <w:szCs w:val="18"/>
                <w:lang w:val="en-US" w:eastAsia="zh-CN"/>
              </w:rPr>
              <w:t>5.出具</w:t>
            </w:r>
            <w:r>
              <w:rPr>
                <w:rFonts w:hint="eastAsia" w:ascii="宋体" w:hAnsi="宋体" w:cs="宋体"/>
                <w:kern w:val="0"/>
                <w:sz w:val="18"/>
                <w:szCs w:val="18"/>
              </w:rPr>
              <w:t>拆迁腾退地块质量核查报告</w:t>
            </w:r>
            <w:r>
              <w:rPr>
                <w:rFonts w:hint="eastAsia" w:ascii="宋体" w:hAnsi="宋体" w:cs="宋体"/>
                <w:kern w:val="0"/>
                <w:sz w:val="18"/>
                <w:szCs w:val="18"/>
                <w:lang w:val="en-US" w:eastAsia="zh-CN"/>
              </w:rPr>
              <w:t>1份</w:t>
            </w:r>
            <w:r>
              <w:rPr>
                <w:rFonts w:hint="eastAsia" w:ascii="宋体" w:hAnsi="宋体" w:cs="宋体"/>
                <w:kern w:val="0"/>
                <w:sz w:val="18"/>
                <w:szCs w:val="18"/>
              </w:rPr>
              <w:t>；</w:t>
            </w:r>
          </w:p>
          <w:p>
            <w:pPr>
              <w:widowControl/>
              <w:spacing w:line="240" w:lineRule="exact"/>
              <w:jc w:val="both"/>
              <w:rPr>
                <w:rFonts w:ascii="宋体" w:hAnsi="宋体" w:cs="宋体"/>
                <w:kern w:val="0"/>
                <w:sz w:val="18"/>
                <w:szCs w:val="18"/>
              </w:rPr>
            </w:pPr>
            <w:r>
              <w:rPr>
                <w:rFonts w:hint="eastAsia" w:ascii="宋体" w:hAnsi="宋体" w:cs="宋体"/>
                <w:kern w:val="0"/>
                <w:sz w:val="18"/>
                <w:szCs w:val="18"/>
                <w:lang w:val="en-US" w:eastAsia="zh-CN"/>
              </w:rPr>
              <w:t>6.出具</w:t>
            </w:r>
            <w:r>
              <w:rPr>
                <w:rFonts w:hint="eastAsia" w:ascii="宋体" w:hAnsi="宋体" w:cs="宋体"/>
                <w:kern w:val="0"/>
                <w:sz w:val="18"/>
                <w:szCs w:val="18"/>
              </w:rPr>
              <w:t>等级调查评价</w:t>
            </w:r>
            <w:r>
              <w:rPr>
                <w:rFonts w:hint="eastAsia" w:ascii="宋体" w:hAnsi="宋体" w:cs="宋体"/>
                <w:kern w:val="0"/>
                <w:sz w:val="18"/>
                <w:szCs w:val="18"/>
                <w:lang w:eastAsia="zh-CN"/>
              </w:rPr>
              <w:t>、</w:t>
            </w:r>
            <w:r>
              <w:rPr>
                <w:rFonts w:hint="eastAsia" w:ascii="宋体" w:hAnsi="宋体" w:cs="宋体"/>
                <w:kern w:val="0"/>
                <w:sz w:val="18"/>
                <w:szCs w:val="18"/>
              </w:rPr>
              <w:t>土壤环境质量类别划分</w:t>
            </w:r>
            <w:r>
              <w:rPr>
                <w:rFonts w:hint="eastAsia" w:ascii="宋体" w:hAnsi="宋体" w:cs="宋体"/>
                <w:kern w:val="0"/>
                <w:sz w:val="18"/>
                <w:szCs w:val="18"/>
                <w:lang w:eastAsia="zh-CN"/>
              </w:rPr>
              <w:t>、</w:t>
            </w:r>
            <w:r>
              <w:rPr>
                <w:rFonts w:hint="eastAsia" w:ascii="宋体" w:hAnsi="宋体" w:cs="宋体"/>
                <w:kern w:val="0"/>
                <w:sz w:val="18"/>
                <w:szCs w:val="18"/>
              </w:rPr>
              <w:t>设施农用地调查评价</w:t>
            </w:r>
            <w:r>
              <w:rPr>
                <w:rFonts w:hint="eastAsia" w:ascii="宋体" w:hAnsi="宋体" w:cs="宋体"/>
                <w:kern w:val="0"/>
                <w:sz w:val="18"/>
                <w:szCs w:val="18"/>
                <w:lang w:eastAsia="zh-CN"/>
              </w:rPr>
              <w:t>、</w:t>
            </w:r>
            <w:r>
              <w:rPr>
                <w:rFonts w:hint="eastAsia" w:ascii="宋体" w:hAnsi="宋体" w:cs="宋体"/>
                <w:kern w:val="0"/>
                <w:sz w:val="18"/>
                <w:szCs w:val="18"/>
              </w:rPr>
              <w:t>，地块监测</w:t>
            </w:r>
            <w:r>
              <w:rPr>
                <w:rFonts w:hint="eastAsia" w:ascii="宋体" w:hAnsi="宋体" w:cs="宋体"/>
                <w:kern w:val="0"/>
                <w:sz w:val="18"/>
                <w:szCs w:val="18"/>
                <w:lang w:val="en-US" w:eastAsia="zh-CN"/>
              </w:rPr>
              <w:t>共4份耕地报告</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578"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0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83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0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98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46"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832" w:type="dxa"/>
            <w:gridSpan w:val="2"/>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高标准农田建设规划</w:t>
            </w:r>
          </w:p>
        </w:tc>
        <w:tc>
          <w:tcPr>
            <w:tcW w:w="9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1份</w:t>
            </w:r>
          </w:p>
        </w:tc>
        <w:tc>
          <w:tcPr>
            <w:tcW w:w="10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1份</w:t>
            </w:r>
          </w:p>
        </w:tc>
        <w:tc>
          <w:tcPr>
            <w:tcW w:w="557"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985"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hint="eastAsia" w:ascii="宋体" w:hAnsi="宋体" w:cs="宋体"/>
                <w:kern w:val="0"/>
                <w:sz w:val="18"/>
                <w:szCs w:val="18"/>
              </w:rPr>
            </w:pPr>
          </w:p>
        </w:tc>
        <w:tc>
          <w:tcPr>
            <w:tcW w:w="1046" w:type="dxa"/>
            <w:vMerge w:val="continue"/>
            <w:vAlign w:val="center"/>
          </w:tcPr>
          <w:p>
            <w:pPr>
              <w:widowControl/>
              <w:spacing w:line="240" w:lineRule="exact"/>
              <w:jc w:val="center"/>
              <w:rPr>
                <w:rFonts w:hint="eastAsia" w:ascii="宋体" w:hAnsi="宋体" w:cs="宋体"/>
                <w:kern w:val="0"/>
                <w:sz w:val="18"/>
                <w:szCs w:val="18"/>
              </w:rPr>
            </w:pPr>
          </w:p>
        </w:tc>
        <w:tc>
          <w:tcPr>
            <w:tcW w:w="1832" w:type="dxa"/>
            <w:gridSpan w:val="2"/>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核查36个已建成高标准农田项目</w:t>
            </w:r>
          </w:p>
        </w:tc>
        <w:tc>
          <w:tcPr>
            <w:tcW w:w="949" w:type="dxa"/>
            <w:vAlign w:val="center"/>
          </w:tcPr>
          <w:p>
            <w:pPr>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6个</w:t>
            </w:r>
          </w:p>
        </w:tc>
        <w:tc>
          <w:tcPr>
            <w:tcW w:w="1006" w:type="dxa"/>
            <w:vAlign w:val="center"/>
          </w:tcPr>
          <w:p>
            <w:pPr>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6个</w:t>
            </w:r>
          </w:p>
        </w:tc>
        <w:tc>
          <w:tcPr>
            <w:tcW w:w="557"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985"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Merge w:val="continue"/>
            <w:vAlign w:val="center"/>
          </w:tcPr>
          <w:p>
            <w:pPr>
              <w:widowControl/>
              <w:spacing w:line="240" w:lineRule="exact"/>
              <w:jc w:val="center"/>
              <w:rPr>
                <w:rFonts w:ascii="宋体" w:hAnsi="宋体" w:cs="宋体"/>
                <w:kern w:val="0"/>
                <w:sz w:val="18"/>
                <w:szCs w:val="18"/>
              </w:rPr>
            </w:pPr>
          </w:p>
        </w:tc>
        <w:tc>
          <w:tcPr>
            <w:tcW w:w="1832" w:type="dxa"/>
            <w:gridSpan w:val="2"/>
            <w:vAlign w:val="center"/>
          </w:tcPr>
          <w:p>
            <w:pPr>
              <w:widowControl/>
              <w:spacing w:line="240" w:lineRule="exact"/>
              <w:jc w:val="both"/>
              <w:rPr>
                <w:rFonts w:ascii="宋体" w:hAnsi="宋体" w:cs="宋体"/>
                <w:kern w:val="0"/>
                <w:sz w:val="18"/>
                <w:szCs w:val="18"/>
              </w:rPr>
            </w:pPr>
            <w:r>
              <w:rPr>
                <w:rFonts w:ascii="宋体" w:hAnsi="宋体" w:cs="宋体"/>
                <w:kern w:val="0"/>
                <w:sz w:val="18"/>
                <w:szCs w:val="18"/>
              </w:rPr>
              <w:t>农业生产符合性</w:t>
            </w:r>
            <w:r>
              <w:rPr>
                <w:rFonts w:hint="eastAsia" w:ascii="宋体" w:hAnsi="宋体" w:cs="宋体"/>
                <w:kern w:val="0"/>
                <w:sz w:val="18"/>
                <w:szCs w:val="18"/>
              </w:rPr>
              <w:t>报告</w:t>
            </w:r>
          </w:p>
        </w:tc>
        <w:tc>
          <w:tcPr>
            <w:tcW w:w="949"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份</w:t>
            </w:r>
          </w:p>
        </w:tc>
        <w:tc>
          <w:tcPr>
            <w:tcW w:w="1006"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份</w:t>
            </w:r>
          </w:p>
        </w:tc>
        <w:tc>
          <w:tcPr>
            <w:tcW w:w="557"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985"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Merge w:val="continue"/>
            <w:vAlign w:val="center"/>
          </w:tcPr>
          <w:p>
            <w:pPr>
              <w:widowControl/>
              <w:spacing w:line="240" w:lineRule="exact"/>
              <w:jc w:val="center"/>
              <w:rPr>
                <w:rFonts w:ascii="宋体" w:hAnsi="宋体" w:cs="宋体"/>
                <w:kern w:val="0"/>
                <w:sz w:val="18"/>
                <w:szCs w:val="18"/>
              </w:rPr>
            </w:pPr>
          </w:p>
        </w:tc>
        <w:tc>
          <w:tcPr>
            <w:tcW w:w="1832" w:type="dxa"/>
            <w:gridSpan w:val="2"/>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复耕验收面积</w:t>
            </w:r>
          </w:p>
        </w:tc>
        <w:tc>
          <w:tcPr>
            <w:tcW w:w="949" w:type="dxa"/>
            <w:vAlign w:val="center"/>
          </w:tcPr>
          <w:p>
            <w:pPr>
              <w:jc w:val="center"/>
            </w:pPr>
            <w:r>
              <w:rPr>
                <w:rFonts w:ascii="宋体" w:hAnsi="宋体" w:cs="宋体"/>
                <w:kern w:val="0"/>
                <w:sz w:val="18"/>
                <w:szCs w:val="18"/>
              </w:rPr>
              <w:t>10.5亩</w:t>
            </w:r>
          </w:p>
        </w:tc>
        <w:tc>
          <w:tcPr>
            <w:tcW w:w="1006" w:type="dxa"/>
            <w:vAlign w:val="center"/>
          </w:tcPr>
          <w:p>
            <w:pPr>
              <w:jc w:val="center"/>
            </w:pPr>
            <w:r>
              <w:rPr>
                <w:rFonts w:ascii="宋体" w:hAnsi="宋体" w:cs="宋体"/>
                <w:kern w:val="0"/>
                <w:sz w:val="18"/>
                <w:szCs w:val="18"/>
              </w:rPr>
              <w:t>10.</w:t>
            </w:r>
            <w:r>
              <w:rPr>
                <w:rFonts w:hint="eastAsia" w:ascii="宋体" w:hAnsi="宋体" w:cs="宋体"/>
                <w:kern w:val="0"/>
                <w:sz w:val="18"/>
                <w:szCs w:val="18"/>
                <w:lang w:val="en-US" w:eastAsia="zh-CN"/>
              </w:rPr>
              <w:t>5</w:t>
            </w:r>
            <w:r>
              <w:rPr>
                <w:rFonts w:ascii="宋体" w:hAnsi="宋体" w:cs="宋体"/>
                <w:kern w:val="0"/>
                <w:sz w:val="18"/>
                <w:szCs w:val="18"/>
              </w:rPr>
              <w:t>万亩</w:t>
            </w:r>
          </w:p>
        </w:tc>
        <w:tc>
          <w:tcPr>
            <w:tcW w:w="557"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985" w:type="dxa"/>
            <w:gridSpan w:val="2"/>
            <w:vAlign w:val="center"/>
          </w:tcPr>
          <w:p>
            <w:pPr>
              <w:widowControl/>
              <w:spacing w:line="240" w:lineRule="exact"/>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Merge w:val="continue"/>
            <w:vAlign w:val="center"/>
          </w:tcPr>
          <w:p>
            <w:pPr>
              <w:widowControl/>
              <w:spacing w:line="240" w:lineRule="exact"/>
              <w:jc w:val="center"/>
              <w:rPr>
                <w:rFonts w:ascii="宋体" w:hAnsi="宋体" w:cs="宋体"/>
                <w:kern w:val="0"/>
                <w:sz w:val="18"/>
                <w:szCs w:val="18"/>
              </w:rPr>
            </w:pPr>
          </w:p>
        </w:tc>
        <w:tc>
          <w:tcPr>
            <w:tcW w:w="1832" w:type="dxa"/>
            <w:gridSpan w:val="2"/>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拆迁腾退地块质量核查报告</w:t>
            </w:r>
          </w:p>
        </w:tc>
        <w:tc>
          <w:tcPr>
            <w:tcW w:w="949" w:type="dxa"/>
            <w:vAlign w:val="center"/>
          </w:tcPr>
          <w:p>
            <w:pPr>
              <w:jc w:val="center"/>
              <w:rPr>
                <w:rFonts w:ascii="宋体" w:hAnsi="宋体" w:cs="宋体"/>
                <w:kern w:val="0"/>
                <w:sz w:val="18"/>
                <w:szCs w:val="18"/>
              </w:rPr>
            </w:pPr>
            <w:r>
              <w:rPr>
                <w:rFonts w:hint="eastAsia" w:ascii="宋体" w:hAnsi="宋体" w:cs="宋体"/>
                <w:kern w:val="0"/>
                <w:sz w:val="18"/>
                <w:szCs w:val="18"/>
              </w:rPr>
              <w:t>1份</w:t>
            </w:r>
          </w:p>
        </w:tc>
        <w:tc>
          <w:tcPr>
            <w:tcW w:w="1006" w:type="dxa"/>
            <w:vAlign w:val="center"/>
          </w:tcPr>
          <w:p>
            <w:pPr>
              <w:jc w:val="center"/>
              <w:rPr>
                <w:rFonts w:ascii="宋体" w:hAnsi="宋体" w:cs="宋体"/>
                <w:kern w:val="0"/>
                <w:sz w:val="18"/>
                <w:szCs w:val="18"/>
              </w:rPr>
            </w:pPr>
            <w:r>
              <w:rPr>
                <w:rFonts w:hint="eastAsia" w:ascii="宋体" w:hAnsi="宋体" w:cs="宋体"/>
                <w:kern w:val="0"/>
                <w:sz w:val="18"/>
                <w:szCs w:val="18"/>
              </w:rPr>
              <w:t>1份</w:t>
            </w:r>
          </w:p>
        </w:tc>
        <w:tc>
          <w:tcPr>
            <w:tcW w:w="557"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985"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Merge w:val="continue"/>
            <w:vAlign w:val="center"/>
          </w:tcPr>
          <w:p>
            <w:pPr>
              <w:widowControl/>
              <w:spacing w:line="240" w:lineRule="exact"/>
              <w:jc w:val="center"/>
              <w:rPr>
                <w:rFonts w:ascii="宋体" w:hAnsi="宋体" w:cs="宋体"/>
                <w:kern w:val="0"/>
                <w:sz w:val="18"/>
                <w:szCs w:val="18"/>
              </w:rPr>
            </w:pPr>
          </w:p>
        </w:tc>
        <w:tc>
          <w:tcPr>
            <w:tcW w:w="1832" w:type="dxa"/>
            <w:gridSpan w:val="2"/>
            <w:vAlign w:val="center"/>
          </w:tcPr>
          <w:p>
            <w:pPr>
              <w:widowControl/>
              <w:spacing w:line="240" w:lineRule="exact"/>
              <w:jc w:val="both"/>
              <w:rPr>
                <w:rFonts w:hint="eastAsia" w:ascii="宋体" w:hAnsi="宋体" w:cs="宋体"/>
                <w:kern w:val="0"/>
                <w:sz w:val="18"/>
                <w:szCs w:val="18"/>
              </w:rPr>
            </w:pPr>
            <w:r>
              <w:rPr>
                <w:rFonts w:hint="eastAsia" w:ascii="宋体" w:hAnsi="宋体" w:cs="宋体"/>
                <w:kern w:val="0"/>
                <w:sz w:val="18"/>
                <w:szCs w:val="18"/>
              </w:rPr>
              <w:t>耕地报告</w:t>
            </w:r>
          </w:p>
        </w:tc>
        <w:tc>
          <w:tcPr>
            <w:tcW w:w="949" w:type="dxa"/>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rPr>
              <w:t>4</w:t>
            </w:r>
            <w:r>
              <w:rPr>
                <w:rFonts w:hint="eastAsia" w:ascii="宋体" w:hAnsi="宋体" w:cs="宋体"/>
                <w:kern w:val="0"/>
                <w:sz w:val="18"/>
                <w:szCs w:val="18"/>
                <w:lang w:val="en-US" w:eastAsia="zh-CN"/>
              </w:rPr>
              <w:t>份</w:t>
            </w:r>
          </w:p>
        </w:tc>
        <w:tc>
          <w:tcPr>
            <w:tcW w:w="1006" w:type="dxa"/>
            <w:vAlign w:val="center"/>
          </w:tcPr>
          <w:p>
            <w:pPr>
              <w:jc w:val="center"/>
              <w:rPr>
                <w:rFonts w:hint="eastAsia" w:ascii="宋体" w:hAnsi="宋体" w:cs="宋体"/>
                <w:kern w:val="0"/>
                <w:sz w:val="18"/>
                <w:szCs w:val="18"/>
              </w:rPr>
            </w:pPr>
            <w:r>
              <w:rPr>
                <w:rFonts w:hint="eastAsia" w:ascii="宋体" w:hAnsi="宋体" w:cs="宋体"/>
                <w:kern w:val="0"/>
                <w:sz w:val="18"/>
                <w:szCs w:val="18"/>
              </w:rPr>
              <w:t>4份</w:t>
            </w:r>
          </w:p>
        </w:tc>
        <w:tc>
          <w:tcPr>
            <w:tcW w:w="557" w:type="dxa"/>
            <w:gridSpan w:val="2"/>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5</w:t>
            </w:r>
          </w:p>
        </w:tc>
        <w:tc>
          <w:tcPr>
            <w:tcW w:w="705" w:type="dxa"/>
            <w:gridSpan w:val="2"/>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5</w:t>
            </w:r>
          </w:p>
        </w:tc>
        <w:tc>
          <w:tcPr>
            <w:tcW w:w="1985"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832" w:type="dxa"/>
            <w:gridSpan w:val="2"/>
            <w:vAlign w:val="center"/>
          </w:tcPr>
          <w:p>
            <w:pPr>
              <w:jc w:val="both"/>
              <w:rPr>
                <w:rFonts w:ascii="宋体" w:hAnsi="宋体" w:cs="宋体"/>
                <w:kern w:val="0"/>
                <w:sz w:val="18"/>
                <w:szCs w:val="18"/>
              </w:rPr>
            </w:pPr>
            <w:r>
              <w:rPr>
                <w:rFonts w:hint="eastAsia" w:ascii="宋体" w:hAnsi="宋体" w:cs="宋体"/>
                <w:kern w:val="0"/>
                <w:sz w:val="18"/>
                <w:szCs w:val="18"/>
              </w:rPr>
              <w:t>科学规范，全面排查</w:t>
            </w:r>
          </w:p>
        </w:tc>
        <w:tc>
          <w:tcPr>
            <w:tcW w:w="949" w:type="dxa"/>
            <w:vAlign w:val="center"/>
          </w:tcPr>
          <w:p>
            <w:pPr>
              <w:jc w:val="center"/>
              <w:rPr>
                <w:rFonts w:ascii="宋体" w:hAnsi="宋体" w:cs="宋体"/>
                <w:kern w:val="0"/>
                <w:sz w:val="18"/>
                <w:szCs w:val="18"/>
              </w:rPr>
            </w:pPr>
            <w:r>
              <w:rPr>
                <w:rFonts w:hint="eastAsia" w:ascii="宋体" w:hAnsi="宋体" w:cs="宋体"/>
                <w:kern w:val="0"/>
                <w:sz w:val="18"/>
                <w:szCs w:val="18"/>
              </w:rPr>
              <w:t>规范全面</w:t>
            </w:r>
          </w:p>
        </w:tc>
        <w:tc>
          <w:tcPr>
            <w:tcW w:w="1006" w:type="dxa"/>
            <w:vAlign w:val="center"/>
          </w:tcPr>
          <w:p>
            <w:pPr>
              <w:jc w:val="center"/>
              <w:rPr>
                <w:rFonts w:ascii="宋体" w:hAnsi="宋体" w:cs="宋体"/>
                <w:kern w:val="0"/>
                <w:sz w:val="18"/>
                <w:szCs w:val="18"/>
              </w:rPr>
            </w:pPr>
            <w:r>
              <w:rPr>
                <w:rFonts w:hint="eastAsia" w:ascii="宋体" w:hAnsi="宋体" w:cs="宋体"/>
                <w:kern w:val="0"/>
                <w:sz w:val="18"/>
                <w:szCs w:val="18"/>
              </w:rPr>
              <w:t>规范全面</w:t>
            </w:r>
          </w:p>
        </w:tc>
        <w:tc>
          <w:tcPr>
            <w:tcW w:w="557"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7</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7</w:t>
            </w:r>
          </w:p>
        </w:tc>
        <w:tc>
          <w:tcPr>
            <w:tcW w:w="1985"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832" w:type="dxa"/>
            <w:gridSpan w:val="2"/>
            <w:vAlign w:val="center"/>
          </w:tcPr>
          <w:p>
            <w:pPr>
              <w:jc w:val="both"/>
              <w:rPr>
                <w:rFonts w:ascii="宋体" w:hAnsi="宋体" w:cs="宋体"/>
                <w:kern w:val="0"/>
                <w:sz w:val="18"/>
                <w:szCs w:val="18"/>
              </w:rPr>
            </w:pPr>
            <w:r>
              <w:rPr>
                <w:rFonts w:hint="eastAsia" w:ascii="宋体" w:hAnsi="宋体" w:cs="宋体"/>
                <w:kern w:val="0"/>
                <w:sz w:val="18"/>
                <w:szCs w:val="18"/>
              </w:rPr>
              <w:t>按时完成</w:t>
            </w:r>
          </w:p>
        </w:tc>
        <w:tc>
          <w:tcPr>
            <w:tcW w:w="949" w:type="dxa"/>
            <w:vAlign w:val="center"/>
          </w:tcPr>
          <w:p>
            <w:pPr>
              <w:jc w:val="center"/>
              <w:rPr>
                <w:rFonts w:ascii="宋体" w:hAnsi="宋体" w:cs="宋体"/>
                <w:kern w:val="0"/>
                <w:sz w:val="18"/>
                <w:szCs w:val="18"/>
              </w:rPr>
            </w:pPr>
            <w:r>
              <w:rPr>
                <w:rFonts w:hint="eastAsia" w:ascii="宋体" w:hAnsi="宋体" w:cs="宋体"/>
                <w:kern w:val="0"/>
                <w:sz w:val="18"/>
                <w:szCs w:val="18"/>
              </w:rPr>
              <w:t>按时</w:t>
            </w:r>
          </w:p>
        </w:tc>
        <w:tc>
          <w:tcPr>
            <w:tcW w:w="1006" w:type="dxa"/>
            <w:vAlign w:val="center"/>
          </w:tcPr>
          <w:p>
            <w:pPr>
              <w:jc w:val="center"/>
              <w:rPr>
                <w:rFonts w:ascii="宋体" w:hAnsi="宋体" w:cs="宋体"/>
                <w:kern w:val="0"/>
                <w:sz w:val="18"/>
                <w:szCs w:val="18"/>
              </w:rPr>
            </w:pPr>
            <w:r>
              <w:rPr>
                <w:rFonts w:hint="eastAsia" w:ascii="宋体" w:hAnsi="宋体" w:cs="宋体"/>
                <w:kern w:val="0"/>
                <w:sz w:val="18"/>
                <w:szCs w:val="18"/>
              </w:rPr>
              <w:t>按时</w:t>
            </w:r>
          </w:p>
        </w:tc>
        <w:tc>
          <w:tcPr>
            <w:tcW w:w="557"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7</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7</w:t>
            </w:r>
          </w:p>
        </w:tc>
        <w:tc>
          <w:tcPr>
            <w:tcW w:w="1985"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832" w:type="dxa"/>
            <w:gridSpan w:val="2"/>
            <w:vAlign w:val="center"/>
          </w:tcPr>
          <w:p>
            <w:pPr>
              <w:jc w:val="both"/>
              <w:rPr>
                <w:rFonts w:ascii="宋体" w:hAnsi="宋体" w:cs="宋体"/>
                <w:kern w:val="0"/>
                <w:sz w:val="18"/>
                <w:szCs w:val="18"/>
              </w:rPr>
            </w:pPr>
            <w:r>
              <w:rPr>
                <w:rFonts w:hint="eastAsia" w:ascii="宋体" w:hAnsi="宋体" w:cs="宋体"/>
                <w:kern w:val="0"/>
                <w:sz w:val="18"/>
                <w:szCs w:val="18"/>
              </w:rPr>
              <w:t>资金使用</w:t>
            </w:r>
          </w:p>
        </w:tc>
        <w:tc>
          <w:tcPr>
            <w:tcW w:w="949" w:type="dxa"/>
            <w:vAlign w:val="center"/>
          </w:tcPr>
          <w:p>
            <w:pPr>
              <w:jc w:val="center"/>
              <w:rPr>
                <w:rFonts w:ascii="宋体" w:hAnsi="宋体" w:cs="宋体"/>
                <w:kern w:val="0"/>
                <w:sz w:val="18"/>
                <w:szCs w:val="18"/>
              </w:rPr>
            </w:pPr>
            <w:r>
              <w:rPr>
                <w:rFonts w:hint="eastAsia" w:ascii="宋体" w:hAnsi="宋体" w:cs="宋体"/>
                <w:kern w:val="0"/>
                <w:sz w:val="18"/>
                <w:szCs w:val="18"/>
              </w:rPr>
              <w:t>合理</w:t>
            </w:r>
          </w:p>
        </w:tc>
        <w:tc>
          <w:tcPr>
            <w:tcW w:w="1006" w:type="dxa"/>
            <w:vAlign w:val="center"/>
          </w:tcPr>
          <w:p>
            <w:pPr>
              <w:jc w:val="center"/>
              <w:rPr>
                <w:rFonts w:ascii="宋体" w:hAnsi="宋体" w:cs="宋体"/>
                <w:kern w:val="0"/>
                <w:sz w:val="18"/>
                <w:szCs w:val="18"/>
              </w:rPr>
            </w:pPr>
            <w:r>
              <w:rPr>
                <w:rFonts w:hint="eastAsia" w:ascii="宋体" w:hAnsi="宋体" w:cs="宋体"/>
                <w:kern w:val="0"/>
                <w:sz w:val="18"/>
                <w:szCs w:val="18"/>
              </w:rPr>
              <w:t>合理</w:t>
            </w:r>
          </w:p>
        </w:tc>
        <w:tc>
          <w:tcPr>
            <w:tcW w:w="557"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6</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6</w:t>
            </w:r>
          </w:p>
        </w:tc>
        <w:tc>
          <w:tcPr>
            <w:tcW w:w="1985"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46"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经济效益</w:t>
            </w:r>
          </w:p>
        </w:tc>
        <w:tc>
          <w:tcPr>
            <w:tcW w:w="1832" w:type="dxa"/>
            <w:gridSpan w:val="2"/>
            <w:vAlign w:val="center"/>
          </w:tcPr>
          <w:p>
            <w:pPr>
              <w:widowControl/>
              <w:jc w:val="both"/>
              <w:rPr>
                <w:rFonts w:ascii="宋体" w:hAnsi="宋体" w:cs="宋体"/>
                <w:kern w:val="0"/>
                <w:sz w:val="18"/>
                <w:szCs w:val="18"/>
              </w:rPr>
            </w:pPr>
            <w:r>
              <w:rPr>
                <w:rFonts w:hint="eastAsia" w:ascii="宋体" w:hAnsi="宋体" w:cs="宋体"/>
                <w:kern w:val="0"/>
                <w:sz w:val="18"/>
                <w:szCs w:val="18"/>
              </w:rPr>
              <w:t>规划建设区域的农田生产效益和效率明显提升，提高水资源利用效率</w:t>
            </w:r>
          </w:p>
        </w:tc>
        <w:tc>
          <w:tcPr>
            <w:tcW w:w="949" w:type="dxa"/>
            <w:vAlign w:val="center"/>
          </w:tcPr>
          <w:p>
            <w:pPr>
              <w:jc w:val="center"/>
              <w:rPr>
                <w:rFonts w:ascii="宋体" w:hAnsi="宋体" w:cs="宋体"/>
                <w:kern w:val="0"/>
                <w:sz w:val="18"/>
                <w:szCs w:val="18"/>
              </w:rPr>
            </w:pPr>
            <w:r>
              <w:rPr>
                <w:rFonts w:hint="eastAsia" w:ascii="宋体" w:hAnsi="宋体" w:cs="宋体"/>
                <w:kern w:val="0"/>
                <w:sz w:val="18"/>
                <w:szCs w:val="18"/>
              </w:rPr>
              <w:t>规划建设区域的农田生产效益和效率明显提升</w:t>
            </w:r>
          </w:p>
        </w:tc>
        <w:tc>
          <w:tcPr>
            <w:tcW w:w="1006" w:type="dxa"/>
            <w:vAlign w:val="center"/>
          </w:tcPr>
          <w:p>
            <w:pPr>
              <w:widowControl/>
              <w:jc w:val="center"/>
              <w:rPr>
                <w:rFonts w:ascii="宋体" w:hAnsi="宋体" w:cs="宋体"/>
                <w:kern w:val="0"/>
                <w:sz w:val="18"/>
                <w:szCs w:val="18"/>
              </w:rPr>
            </w:pPr>
            <w:r>
              <w:rPr>
                <w:rFonts w:ascii="宋体" w:hAnsi="宋体" w:cs="宋体"/>
                <w:kern w:val="0"/>
                <w:sz w:val="18"/>
                <w:szCs w:val="18"/>
              </w:rPr>
              <w:t>有效促进</w:t>
            </w:r>
          </w:p>
        </w:tc>
        <w:tc>
          <w:tcPr>
            <w:tcW w:w="557" w:type="dxa"/>
            <w:gridSpan w:val="2"/>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705"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985" w:type="dxa"/>
            <w:gridSpan w:val="2"/>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加强规划建设，进一步提高资源利用效率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restart"/>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效益指标</w:t>
            </w: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832" w:type="dxa"/>
            <w:gridSpan w:val="2"/>
            <w:vAlign w:val="center"/>
          </w:tcPr>
          <w:p>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rPr>
              <w:t>严格</w:t>
            </w:r>
            <w:r>
              <w:rPr>
                <w:rFonts w:hint="eastAsia" w:ascii="宋体" w:hAnsi="宋体" w:cs="宋体"/>
                <w:kern w:val="0"/>
                <w:sz w:val="18"/>
                <w:szCs w:val="18"/>
                <w:lang w:val="en-US" w:eastAsia="zh-CN"/>
              </w:rPr>
              <w:t>对</w:t>
            </w:r>
            <w:r>
              <w:rPr>
                <w:rFonts w:hint="eastAsia" w:ascii="宋体" w:hAnsi="宋体" w:cs="宋体"/>
                <w:kern w:val="0"/>
                <w:sz w:val="18"/>
                <w:szCs w:val="18"/>
              </w:rPr>
              <w:t>耕地保护</w:t>
            </w:r>
            <w:r>
              <w:rPr>
                <w:rFonts w:hint="eastAsia" w:ascii="宋体" w:hAnsi="宋体" w:cs="宋体"/>
                <w:kern w:val="0"/>
                <w:sz w:val="18"/>
                <w:szCs w:val="18"/>
                <w:lang w:eastAsia="zh-CN"/>
              </w:rPr>
              <w:t>、</w:t>
            </w:r>
            <w:r>
              <w:rPr>
                <w:rFonts w:hint="eastAsia" w:ascii="宋体" w:hAnsi="宋体" w:cs="宋体"/>
                <w:kern w:val="0"/>
                <w:sz w:val="18"/>
                <w:szCs w:val="18"/>
              </w:rPr>
              <w:t>分新增耕地质量</w:t>
            </w:r>
            <w:r>
              <w:rPr>
                <w:rFonts w:hint="eastAsia" w:ascii="宋体" w:hAnsi="宋体" w:cs="宋体"/>
                <w:kern w:val="0"/>
                <w:sz w:val="18"/>
                <w:szCs w:val="18"/>
                <w:lang w:val="en-US" w:eastAsia="zh-CN"/>
              </w:rPr>
              <w:t>等情况掌握程度有所提升，农业高质量发展水平提高</w:t>
            </w:r>
          </w:p>
        </w:tc>
        <w:tc>
          <w:tcPr>
            <w:tcW w:w="949"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rPr>
              <w:t>基本掌握</w:t>
            </w:r>
            <w:r>
              <w:rPr>
                <w:rFonts w:hint="eastAsia" w:ascii="宋体" w:hAnsi="宋体" w:cs="宋体"/>
                <w:kern w:val="0"/>
                <w:sz w:val="18"/>
                <w:szCs w:val="18"/>
                <w:lang w:val="en-US" w:eastAsia="zh-CN"/>
              </w:rPr>
              <w:t>耕地情况</w:t>
            </w:r>
            <w:r>
              <w:rPr>
                <w:rFonts w:hint="eastAsia" w:ascii="宋体" w:hAnsi="宋体" w:cs="宋体"/>
                <w:kern w:val="0"/>
                <w:sz w:val="18"/>
                <w:szCs w:val="18"/>
                <w:lang w:eastAsia="zh-CN"/>
              </w:rPr>
              <w:t>，</w:t>
            </w:r>
            <w:r>
              <w:rPr>
                <w:rFonts w:hint="eastAsia" w:ascii="宋体" w:hAnsi="宋体" w:cs="宋体"/>
                <w:kern w:val="0"/>
                <w:sz w:val="18"/>
                <w:szCs w:val="18"/>
                <w:lang w:val="en-US" w:eastAsia="zh-CN"/>
              </w:rPr>
              <w:t>提高农业高质量发展水平</w:t>
            </w:r>
          </w:p>
        </w:tc>
        <w:tc>
          <w:tcPr>
            <w:tcW w:w="1006" w:type="dxa"/>
            <w:vAlign w:val="center"/>
          </w:tcPr>
          <w:p>
            <w:pPr>
              <w:widowControl/>
              <w:jc w:val="center"/>
              <w:rPr>
                <w:rFonts w:ascii="宋体" w:hAnsi="宋体" w:cs="宋体"/>
                <w:kern w:val="0"/>
                <w:sz w:val="18"/>
                <w:szCs w:val="18"/>
              </w:rPr>
            </w:pPr>
            <w:r>
              <w:rPr>
                <w:rFonts w:hint="eastAsia" w:ascii="宋体" w:hAnsi="宋体" w:cs="宋体"/>
                <w:kern w:val="0"/>
                <w:sz w:val="18"/>
                <w:szCs w:val="18"/>
              </w:rPr>
              <w:t>基本掌握</w:t>
            </w:r>
          </w:p>
        </w:tc>
        <w:tc>
          <w:tcPr>
            <w:tcW w:w="557" w:type="dxa"/>
            <w:gridSpan w:val="2"/>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705" w:type="dxa"/>
            <w:gridSpan w:val="2"/>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198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加强持续定位监测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832" w:type="dxa"/>
            <w:gridSpan w:val="2"/>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保护耕地土壤环境和土壤健康，改善农业生态环境；</w:t>
            </w:r>
            <w:r>
              <w:rPr>
                <w:rFonts w:ascii="宋体" w:hAnsi="宋体" w:cs="宋体"/>
                <w:kern w:val="0"/>
                <w:sz w:val="18"/>
                <w:szCs w:val="18"/>
              </w:rPr>
              <w:t>有效防控保护</w:t>
            </w:r>
            <w:r>
              <w:rPr>
                <w:rFonts w:hint="eastAsia" w:ascii="宋体" w:hAnsi="宋体" w:cs="宋体"/>
                <w:kern w:val="0"/>
                <w:sz w:val="18"/>
                <w:szCs w:val="18"/>
              </w:rPr>
              <w:t>土地可持续利用；</w:t>
            </w:r>
            <w:r>
              <w:rPr>
                <w:rFonts w:ascii="宋体" w:hAnsi="宋体" w:cs="宋体"/>
                <w:kern w:val="0"/>
                <w:sz w:val="18"/>
                <w:szCs w:val="18"/>
              </w:rPr>
              <w:t>落实耕地保护空间，</w:t>
            </w:r>
            <w:r>
              <w:rPr>
                <w:rFonts w:hint="eastAsia" w:ascii="宋体" w:hAnsi="宋体" w:cs="宋体"/>
                <w:kern w:val="0"/>
                <w:sz w:val="18"/>
                <w:szCs w:val="18"/>
              </w:rPr>
              <w:t>农用地可持续利用</w:t>
            </w:r>
          </w:p>
        </w:tc>
        <w:tc>
          <w:tcPr>
            <w:tcW w:w="9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改善农业生态环境</w:t>
            </w:r>
          </w:p>
        </w:tc>
        <w:tc>
          <w:tcPr>
            <w:tcW w:w="1006"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改善</w:t>
            </w:r>
          </w:p>
        </w:tc>
        <w:tc>
          <w:tcPr>
            <w:tcW w:w="55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8</w:t>
            </w:r>
          </w:p>
        </w:tc>
        <w:tc>
          <w:tcPr>
            <w:tcW w:w="1985" w:type="dxa"/>
            <w:gridSpan w:val="2"/>
            <w:vAlign w:val="center"/>
          </w:tcPr>
          <w:p>
            <w:pPr>
              <w:widowControl/>
              <w:spacing w:line="240" w:lineRule="exact"/>
              <w:jc w:val="center"/>
              <w:rPr>
                <w:rFonts w:hint="eastAsia" w:ascii="宋体" w:hAnsi="宋体" w:cs="宋体"/>
                <w:kern w:val="0"/>
                <w:sz w:val="18"/>
                <w:szCs w:val="18"/>
              </w:rPr>
            </w:pPr>
            <w:r>
              <w:rPr>
                <w:rFonts w:ascii="宋体" w:hAnsi="宋体" w:cs="宋体"/>
                <w:kern w:val="0"/>
                <w:sz w:val="18"/>
                <w:szCs w:val="18"/>
              </w:rPr>
              <w:t>加强监测与农田管理衔接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832" w:type="dxa"/>
            <w:gridSpan w:val="2"/>
            <w:vAlign w:val="center"/>
          </w:tcPr>
          <w:p>
            <w:pPr>
              <w:jc w:val="both"/>
              <w:rPr>
                <w:rFonts w:ascii="宋体" w:hAnsi="宋体" w:cs="宋体"/>
                <w:kern w:val="0"/>
                <w:sz w:val="18"/>
                <w:szCs w:val="18"/>
              </w:rPr>
            </w:pPr>
            <w:r>
              <w:rPr>
                <w:rFonts w:hint="eastAsia" w:ascii="宋体" w:hAnsi="宋体" w:cs="宋体"/>
                <w:kern w:val="0"/>
                <w:sz w:val="18"/>
                <w:szCs w:val="18"/>
              </w:rPr>
              <w:t>乡镇满意度</w:t>
            </w:r>
          </w:p>
        </w:tc>
        <w:tc>
          <w:tcPr>
            <w:tcW w:w="949" w:type="dxa"/>
            <w:vAlign w:val="center"/>
          </w:tcPr>
          <w:p>
            <w:pPr>
              <w:jc w:val="center"/>
              <w:rPr>
                <w:rFonts w:ascii="宋体" w:hAnsi="宋体" w:cs="宋体"/>
                <w:kern w:val="0"/>
                <w:sz w:val="18"/>
                <w:szCs w:val="18"/>
              </w:rPr>
            </w:pPr>
            <w:r>
              <w:rPr>
                <w:rFonts w:hint="eastAsia" w:ascii="宋体" w:hAnsi="宋体" w:cs="宋体"/>
                <w:kern w:val="0"/>
                <w:sz w:val="18"/>
                <w:szCs w:val="18"/>
              </w:rPr>
              <w:t>≥90%</w:t>
            </w:r>
          </w:p>
        </w:tc>
        <w:tc>
          <w:tcPr>
            <w:tcW w:w="1006" w:type="dxa"/>
            <w:vAlign w:val="center"/>
          </w:tcPr>
          <w:p>
            <w:pPr>
              <w:jc w:val="center"/>
              <w:rPr>
                <w:rFonts w:ascii="宋体" w:hAnsi="宋体" w:cs="宋体"/>
                <w:kern w:val="0"/>
                <w:sz w:val="18"/>
                <w:szCs w:val="18"/>
              </w:rPr>
            </w:pPr>
            <w:r>
              <w:rPr>
                <w:rFonts w:hint="eastAsia" w:ascii="宋体" w:hAnsi="宋体" w:cs="宋体"/>
                <w:kern w:val="0"/>
                <w:sz w:val="18"/>
                <w:szCs w:val="18"/>
              </w:rPr>
              <w:t>≥85%</w:t>
            </w:r>
          </w:p>
        </w:tc>
        <w:tc>
          <w:tcPr>
            <w:tcW w:w="557" w:type="dxa"/>
            <w:gridSpan w:val="2"/>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705" w:type="dxa"/>
            <w:gridSpan w:val="2"/>
            <w:vAlign w:val="center"/>
          </w:tcPr>
          <w:p>
            <w:pPr>
              <w:jc w:val="center"/>
              <w:rPr>
                <w:rFonts w:ascii="宋体" w:hAnsi="宋体" w:cs="宋体"/>
                <w:kern w:val="0"/>
                <w:sz w:val="18"/>
                <w:szCs w:val="18"/>
              </w:rPr>
            </w:pPr>
            <w:r>
              <w:rPr>
                <w:rFonts w:ascii="宋体" w:hAnsi="宋体" w:cs="宋体"/>
                <w:kern w:val="0"/>
                <w:sz w:val="18"/>
                <w:szCs w:val="18"/>
              </w:rPr>
              <w:t>8</w:t>
            </w:r>
          </w:p>
        </w:tc>
        <w:tc>
          <w:tcPr>
            <w:tcW w:w="198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需提升耕地保护意识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420" w:type="dxa"/>
            <w:gridSpan w:val="7"/>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5"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=SUM(ABOVE) </w:instrText>
            </w:r>
            <w:r>
              <w:rPr>
                <w:rFonts w:ascii="宋体" w:hAnsi="宋体" w:cs="宋体"/>
                <w:kern w:val="0"/>
                <w:sz w:val="18"/>
                <w:szCs w:val="18"/>
              </w:rPr>
              <w:fldChar w:fldCharType="separate"/>
            </w:r>
            <w:r>
              <w:rPr>
                <w:rFonts w:ascii="宋体" w:hAnsi="宋体" w:cs="宋体"/>
                <w:kern w:val="0"/>
                <w:sz w:val="18"/>
                <w:szCs w:val="18"/>
              </w:rPr>
              <w:t>92</w:t>
            </w:r>
            <w:r>
              <w:rPr>
                <w:rFonts w:ascii="宋体" w:hAnsi="宋体" w:cs="宋体"/>
                <w:kern w:val="0"/>
                <w:sz w:val="18"/>
                <w:szCs w:val="18"/>
              </w:rPr>
              <w:fldChar w:fldCharType="end"/>
            </w:r>
          </w:p>
        </w:tc>
        <w:tc>
          <w:tcPr>
            <w:tcW w:w="1985" w:type="dxa"/>
            <w:gridSpan w:val="2"/>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968"/>
        <w:gridCol w:w="940"/>
        <w:gridCol w:w="862"/>
        <w:gridCol w:w="1113"/>
        <w:gridCol w:w="143"/>
        <w:gridCol w:w="1019"/>
        <w:gridCol w:w="853"/>
        <w:gridCol w:w="141"/>
        <w:gridCol w:w="354"/>
        <w:gridCol w:w="556"/>
        <w:gridCol w:w="90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9600" w:type="dxa"/>
            <w:gridSpan w:val="13"/>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00" w:type="dxa"/>
            <w:gridSpan w:val="13"/>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545"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8055" w:type="dxa"/>
            <w:gridSpan w:val="11"/>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通州区永久基本农田质量调查评估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exact"/>
          <w:jc w:val="center"/>
        </w:trPr>
        <w:tc>
          <w:tcPr>
            <w:tcW w:w="1545"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77" w:type="dxa"/>
            <w:gridSpan w:val="5"/>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highlight w:val="none"/>
                <w:lang w:val="en-US" w:eastAsia="zh-CN"/>
              </w:rPr>
              <w:t>北京市通州区农业农村局</w:t>
            </w:r>
          </w:p>
        </w:tc>
        <w:tc>
          <w:tcPr>
            <w:tcW w:w="99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984" w:type="dxa"/>
            <w:gridSpan w:val="4"/>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highlight w:val="none"/>
                <w:lang w:val="en-US" w:eastAsia="zh-CN"/>
              </w:rPr>
              <w:t>北京市通州区农业农村局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545"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77" w:type="dxa"/>
            <w:gridSpan w:val="5"/>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王连春、王忠钰</w:t>
            </w:r>
          </w:p>
        </w:tc>
        <w:tc>
          <w:tcPr>
            <w:tcW w:w="994" w:type="dxa"/>
            <w:gridSpan w:val="2"/>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984" w:type="dxa"/>
            <w:gridSpan w:val="4"/>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1545" w:type="dxa"/>
            <w:gridSpan w:val="2"/>
            <w:vMerge w:val="restart"/>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2" w:type="dxa"/>
            <w:gridSpan w:val="2"/>
            <w:vAlign w:val="center"/>
          </w:tcPr>
          <w:p>
            <w:pPr>
              <w:widowControl/>
              <w:spacing w:line="240" w:lineRule="exact"/>
              <w:jc w:val="center"/>
              <w:rPr>
                <w:rFonts w:ascii="宋体" w:hAnsi="宋体" w:cs="宋体"/>
                <w:color w:val="auto"/>
                <w:kern w:val="0"/>
                <w:sz w:val="18"/>
                <w:szCs w:val="18"/>
              </w:rPr>
            </w:pPr>
          </w:p>
        </w:tc>
        <w:tc>
          <w:tcPr>
            <w:tcW w:w="111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62"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9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91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904"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117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5"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2" w:type="dxa"/>
            <w:gridSpan w:val="2"/>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3"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124.47</w:t>
            </w:r>
          </w:p>
        </w:tc>
        <w:tc>
          <w:tcPr>
            <w:tcW w:w="1162"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124.47</w:t>
            </w:r>
          </w:p>
        </w:tc>
        <w:tc>
          <w:tcPr>
            <w:tcW w:w="994"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124.47</w:t>
            </w:r>
          </w:p>
        </w:tc>
        <w:tc>
          <w:tcPr>
            <w:tcW w:w="91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904"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99.57%</w:t>
            </w:r>
          </w:p>
        </w:tc>
        <w:tc>
          <w:tcPr>
            <w:tcW w:w="1170"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545"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2"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3" w:type="dxa"/>
            <w:vAlign w:val="center"/>
          </w:tcPr>
          <w:p>
            <w:pPr>
              <w:widowControl/>
              <w:spacing w:line="240" w:lineRule="exact"/>
              <w:jc w:val="center"/>
              <w:rPr>
                <w:rFonts w:ascii="宋体" w:hAnsi="宋体" w:cs="宋体"/>
                <w:color w:val="auto"/>
                <w:kern w:val="0"/>
                <w:sz w:val="18"/>
                <w:szCs w:val="18"/>
              </w:rPr>
            </w:pPr>
          </w:p>
        </w:tc>
        <w:tc>
          <w:tcPr>
            <w:tcW w:w="1162" w:type="dxa"/>
            <w:gridSpan w:val="2"/>
            <w:vAlign w:val="center"/>
          </w:tcPr>
          <w:p>
            <w:pPr>
              <w:widowControl/>
              <w:spacing w:line="240" w:lineRule="exact"/>
              <w:jc w:val="center"/>
              <w:rPr>
                <w:rFonts w:ascii="宋体" w:hAnsi="宋体" w:cs="宋体"/>
                <w:color w:val="auto"/>
                <w:kern w:val="0"/>
                <w:sz w:val="18"/>
                <w:szCs w:val="18"/>
              </w:rPr>
            </w:pPr>
          </w:p>
        </w:tc>
        <w:tc>
          <w:tcPr>
            <w:tcW w:w="994" w:type="dxa"/>
            <w:gridSpan w:val="2"/>
            <w:vAlign w:val="center"/>
          </w:tcPr>
          <w:p>
            <w:pPr>
              <w:widowControl/>
              <w:spacing w:line="240" w:lineRule="exact"/>
              <w:jc w:val="center"/>
              <w:rPr>
                <w:rFonts w:ascii="宋体" w:hAnsi="宋体" w:cs="宋体"/>
                <w:color w:val="auto"/>
                <w:kern w:val="0"/>
                <w:sz w:val="18"/>
                <w:szCs w:val="18"/>
              </w:rPr>
            </w:pPr>
          </w:p>
        </w:tc>
        <w:tc>
          <w:tcPr>
            <w:tcW w:w="91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04" w:type="dxa"/>
            <w:vAlign w:val="center"/>
          </w:tcPr>
          <w:p>
            <w:pPr>
              <w:widowControl/>
              <w:spacing w:line="240" w:lineRule="exact"/>
              <w:jc w:val="center"/>
              <w:rPr>
                <w:rFonts w:ascii="宋体" w:hAnsi="宋体" w:cs="宋体"/>
                <w:color w:val="auto"/>
                <w:kern w:val="0"/>
                <w:sz w:val="18"/>
                <w:szCs w:val="18"/>
              </w:rPr>
            </w:pPr>
          </w:p>
        </w:tc>
        <w:tc>
          <w:tcPr>
            <w:tcW w:w="117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545"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2"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124.47</w:t>
            </w:r>
          </w:p>
        </w:tc>
        <w:tc>
          <w:tcPr>
            <w:tcW w:w="1162"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124.47</w:t>
            </w:r>
          </w:p>
        </w:tc>
        <w:tc>
          <w:tcPr>
            <w:tcW w:w="99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124.47</w:t>
            </w:r>
          </w:p>
        </w:tc>
        <w:tc>
          <w:tcPr>
            <w:tcW w:w="91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04" w:type="dxa"/>
            <w:vAlign w:val="center"/>
          </w:tcPr>
          <w:p>
            <w:pPr>
              <w:widowControl/>
              <w:spacing w:line="240" w:lineRule="exact"/>
              <w:jc w:val="center"/>
              <w:rPr>
                <w:rFonts w:ascii="宋体" w:hAnsi="宋体" w:cs="宋体"/>
                <w:color w:val="auto"/>
                <w:kern w:val="0"/>
                <w:sz w:val="18"/>
                <w:szCs w:val="18"/>
              </w:rPr>
            </w:pPr>
          </w:p>
        </w:tc>
        <w:tc>
          <w:tcPr>
            <w:tcW w:w="117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545"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2"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3" w:type="dxa"/>
            <w:vAlign w:val="center"/>
          </w:tcPr>
          <w:p>
            <w:pPr>
              <w:widowControl/>
              <w:spacing w:line="240" w:lineRule="exact"/>
              <w:jc w:val="center"/>
              <w:rPr>
                <w:rFonts w:ascii="宋体" w:hAnsi="宋体" w:cs="宋体"/>
                <w:color w:val="auto"/>
                <w:kern w:val="0"/>
                <w:sz w:val="18"/>
                <w:szCs w:val="18"/>
              </w:rPr>
            </w:pPr>
          </w:p>
        </w:tc>
        <w:tc>
          <w:tcPr>
            <w:tcW w:w="1162" w:type="dxa"/>
            <w:gridSpan w:val="2"/>
            <w:vAlign w:val="center"/>
          </w:tcPr>
          <w:p>
            <w:pPr>
              <w:widowControl/>
              <w:spacing w:line="240" w:lineRule="exact"/>
              <w:jc w:val="center"/>
              <w:rPr>
                <w:rFonts w:ascii="宋体" w:hAnsi="宋体" w:cs="宋体"/>
                <w:color w:val="auto"/>
                <w:kern w:val="0"/>
                <w:sz w:val="18"/>
                <w:szCs w:val="18"/>
              </w:rPr>
            </w:pPr>
          </w:p>
        </w:tc>
        <w:tc>
          <w:tcPr>
            <w:tcW w:w="994" w:type="dxa"/>
            <w:gridSpan w:val="2"/>
            <w:vAlign w:val="center"/>
          </w:tcPr>
          <w:p>
            <w:pPr>
              <w:widowControl/>
              <w:spacing w:line="240" w:lineRule="exact"/>
              <w:jc w:val="center"/>
              <w:rPr>
                <w:rFonts w:ascii="宋体" w:hAnsi="宋体" w:cs="宋体"/>
                <w:color w:val="auto"/>
                <w:kern w:val="0"/>
                <w:sz w:val="18"/>
                <w:szCs w:val="18"/>
              </w:rPr>
            </w:pPr>
          </w:p>
        </w:tc>
        <w:tc>
          <w:tcPr>
            <w:tcW w:w="91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04" w:type="dxa"/>
            <w:vAlign w:val="center"/>
          </w:tcPr>
          <w:p>
            <w:pPr>
              <w:widowControl/>
              <w:spacing w:line="240" w:lineRule="exact"/>
              <w:jc w:val="center"/>
              <w:rPr>
                <w:rFonts w:ascii="宋体" w:hAnsi="宋体" w:cs="宋体"/>
                <w:color w:val="auto"/>
                <w:kern w:val="0"/>
                <w:sz w:val="18"/>
                <w:szCs w:val="18"/>
              </w:rPr>
            </w:pPr>
          </w:p>
        </w:tc>
        <w:tc>
          <w:tcPr>
            <w:tcW w:w="117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577"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45" w:type="dxa"/>
            <w:gridSpan w:val="6"/>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978" w:type="dxa"/>
            <w:gridSpan w:val="6"/>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5045" w:type="dxa"/>
            <w:gridSpan w:val="6"/>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基本农田巡查监管平台上线运行，通过验收；</w:t>
            </w:r>
            <w:r>
              <w:rPr>
                <w:rFonts w:hint="eastAsia" w:ascii="宋体" w:hAnsi="宋体" w:cs="宋体"/>
                <w:kern w:val="0"/>
                <w:sz w:val="18"/>
                <w:szCs w:val="18"/>
              </w:rPr>
              <w:t>采样检测评价538个，土壤检测报告1份、地力评价报告1份。</w:t>
            </w:r>
          </w:p>
        </w:tc>
        <w:tc>
          <w:tcPr>
            <w:tcW w:w="3978" w:type="dxa"/>
            <w:gridSpan w:val="6"/>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2023年1月1日，基本农田巡查系统正式上线试运行，6月20日通过专家验收。</w:t>
            </w:r>
            <w:r>
              <w:rPr>
                <w:rFonts w:hint="eastAsia" w:ascii="宋体" w:hAnsi="宋体" w:cs="宋体"/>
                <w:kern w:val="0"/>
                <w:sz w:val="18"/>
                <w:szCs w:val="18"/>
              </w:rPr>
              <w:t>调</w:t>
            </w:r>
            <w:r>
              <w:rPr>
                <w:rFonts w:hint="eastAsia" w:ascii="宋体" w:hAnsi="宋体" w:cs="宋体"/>
                <w:kern w:val="0"/>
                <w:sz w:val="18"/>
                <w:szCs w:val="18"/>
                <w:lang w:val="en-US" w:eastAsia="zh-CN"/>
              </w:rPr>
              <w:t>查</w:t>
            </w:r>
            <w:r>
              <w:rPr>
                <w:rFonts w:hint="eastAsia" w:ascii="宋体" w:hAnsi="宋体" w:cs="宋体"/>
                <w:kern w:val="0"/>
                <w:sz w:val="18"/>
                <w:szCs w:val="18"/>
              </w:rPr>
              <w:t>采样检测评价538个，</w:t>
            </w:r>
            <w:r>
              <w:rPr>
                <w:rFonts w:hint="eastAsia" w:ascii="宋体" w:hAnsi="宋体" w:cs="宋体"/>
                <w:kern w:val="0"/>
                <w:sz w:val="18"/>
                <w:szCs w:val="18"/>
                <w:lang w:val="en-US" w:eastAsia="zh-CN"/>
              </w:rPr>
              <w:t>出具</w:t>
            </w:r>
            <w:r>
              <w:rPr>
                <w:rFonts w:hint="eastAsia" w:ascii="宋体" w:hAnsi="宋体" w:cs="宋体"/>
                <w:kern w:val="0"/>
                <w:sz w:val="18"/>
                <w:szCs w:val="18"/>
              </w:rPr>
              <w:t>土壤检测报告1份</w:t>
            </w:r>
            <w:r>
              <w:rPr>
                <w:rFonts w:hint="eastAsia" w:ascii="宋体" w:hAnsi="宋体" w:cs="宋体"/>
                <w:kern w:val="0"/>
                <w:sz w:val="18"/>
                <w:szCs w:val="18"/>
                <w:lang w:val="en-US" w:eastAsia="zh-CN"/>
              </w:rPr>
              <w:t>和</w:t>
            </w:r>
            <w:r>
              <w:rPr>
                <w:rFonts w:hint="eastAsia" w:ascii="宋体" w:hAnsi="宋体" w:cs="宋体"/>
                <w:kern w:val="0"/>
                <w:sz w:val="18"/>
                <w:szCs w:val="18"/>
              </w:rPr>
              <w:t>地力评价报告1份。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77"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4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118" w:type="dxa"/>
            <w:gridSpan w:val="3"/>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1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5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495"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207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40"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平台系统一套</w:t>
            </w:r>
          </w:p>
        </w:tc>
        <w:tc>
          <w:tcPr>
            <w:tcW w:w="101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1套</w:t>
            </w:r>
          </w:p>
        </w:tc>
        <w:tc>
          <w:tcPr>
            <w:tcW w:w="853"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1套</w:t>
            </w:r>
          </w:p>
        </w:tc>
        <w:tc>
          <w:tcPr>
            <w:tcW w:w="495"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6" w:type="dxa"/>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hint="eastAsia" w:ascii="宋体" w:hAnsi="宋体" w:cs="宋体"/>
                <w:color w:val="auto"/>
                <w:kern w:val="0"/>
                <w:sz w:val="18"/>
                <w:szCs w:val="18"/>
              </w:rPr>
            </w:pPr>
          </w:p>
        </w:tc>
        <w:tc>
          <w:tcPr>
            <w:tcW w:w="940" w:type="dxa"/>
            <w:vMerge w:val="continue"/>
            <w:vAlign w:val="center"/>
          </w:tcPr>
          <w:p>
            <w:pPr>
              <w:widowControl/>
              <w:spacing w:line="240" w:lineRule="exact"/>
              <w:jc w:val="center"/>
              <w:rPr>
                <w:rFonts w:hint="eastAsia" w:ascii="宋体" w:hAnsi="宋体" w:cs="宋体"/>
                <w:color w:val="auto"/>
                <w:kern w:val="0"/>
                <w:sz w:val="18"/>
                <w:szCs w:val="18"/>
              </w:rPr>
            </w:pPr>
          </w:p>
        </w:tc>
        <w:tc>
          <w:tcPr>
            <w:tcW w:w="2118" w:type="dxa"/>
            <w:gridSpan w:val="3"/>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kern w:val="0"/>
                <w:sz w:val="18"/>
                <w:szCs w:val="18"/>
              </w:rPr>
              <w:t>检测报告</w:t>
            </w:r>
          </w:p>
        </w:tc>
        <w:tc>
          <w:tcPr>
            <w:tcW w:w="1019"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1份</w:t>
            </w:r>
          </w:p>
        </w:tc>
        <w:tc>
          <w:tcPr>
            <w:tcW w:w="853"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1份</w:t>
            </w:r>
          </w:p>
        </w:tc>
        <w:tc>
          <w:tcPr>
            <w:tcW w:w="495" w:type="dxa"/>
            <w:gridSpan w:val="2"/>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56" w:type="dxa"/>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hint="eastAsia" w:ascii="宋体" w:hAnsi="宋体" w:cs="宋体"/>
                <w:color w:val="auto"/>
                <w:kern w:val="0"/>
                <w:sz w:val="18"/>
                <w:szCs w:val="18"/>
              </w:rPr>
            </w:pPr>
          </w:p>
        </w:tc>
        <w:tc>
          <w:tcPr>
            <w:tcW w:w="940" w:type="dxa"/>
            <w:vMerge w:val="continue"/>
            <w:vAlign w:val="center"/>
          </w:tcPr>
          <w:p>
            <w:pPr>
              <w:widowControl/>
              <w:spacing w:line="240" w:lineRule="exact"/>
              <w:jc w:val="center"/>
              <w:rPr>
                <w:rFonts w:hint="eastAsia" w:ascii="宋体" w:hAnsi="宋体" w:cs="宋体"/>
                <w:color w:val="auto"/>
                <w:kern w:val="0"/>
                <w:sz w:val="18"/>
                <w:szCs w:val="18"/>
              </w:rPr>
            </w:pPr>
          </w:p>
        </w:tc>
        <w:tc>
          <w:tcPr>
            <w:tcW w:w="2118" w:type="dxa"/>
            <w:gridSpan w:val="3"/>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kern w:val="0"/>
                <w:sz w:val="18"/>
                <w:szCs w:val="18"/>
              </w:rPr>
              <w:t>地力评价报告</w:t>
            </w:r>
          </w:p>
        </w:tc>
        <w:tc>
          <w:tcPr>
            <w:tcW w:w="1019"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1份</w:t>
            </w:r>
          </w:p>
        </w:tc>
        <w:tc>
          <w:tcPr>
            <w:tcW w:w="853"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1份</w:t>
            </w:r>
          </w:p>
        </w:tc>
        <w:tc>
          <w:tcPr>
            <w:tcW w:w="495" w:type="dxa"/>
            <w:gridSpan w:val="2"/>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56" w:type="dxa"/>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满足巡田工作需求</w:t>
            </w:r>
          </w:p>
        </w:tc>
        <w:tc>
          <w:tcPr>
            <w:tcW w:w="1019"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满足</w:t>
            </w:r>
          </w:p>
        </w:tc>
        <w:tc>
          <w:tcPr>
            <w:tcW w:w="85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满足</w:t>
            </w:r>
          </w:p>
        </w:tc>
        <w:tc>
          <w:tcPr>
            <w:tcW w:w="495"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continue"/>
            <w:vAlign w:val="center"/>
          </w:tcPr>
          <w:p>
            <w:pPr>
              <w:widowControl/>
              <w:spacing w:line="240" w:lineRule="exact"/>
              <w:jc w:val="center"/>
              <w:rPr>
                <w:rFonts w:ascii="宋体" w:hAnsi="宋体" w:cs="宋体"/>
                <w:color w:val="auto"/>
                <w:kern w:val="0"/>
                <w:sz w:val="18"/>
                <w:szCs w:val="18"/>
              </w:rPr>
            </w:pP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通过登保备案</w:t>
            </w:r>
          </w:p>
        </w:tc>
        <w:tc>
          <w:tcPr>
            <w:tcW w:w="1019"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通过</w:t>
            </w:r>
          </w:p>
        </w:tc>
        <w:tc>
          <w:tcPr>
            <w:tcW w:w="85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通过</w:t>
            </w:r>
          </w:p>
        </w:tc>
        <w:tc>
          <w:tcPr>
            <w:tcW w:w="495"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6"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continue"/>
            <w:vAlign w:val="center"/>
          </w:tcPr>
          <w:p>
            <w:pPr>
              <w:widowControl/>
              <w:spacing w:line="240" w:lineRule="exact"/>
              <w:jc w:val="center"/>
              <w:rPr>
                <w:rFonts w:ascii="宋体" w:hAnsi="宋体" w:cs="宋体"/>
                <w:color w:val="auto"/>
                <w:kern w:val="0"/>
                <w:sz w:val="18"/>
                <w:szCs w:val="18"/>
              </w:rPr>
            </w:pP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系统平台专家验收</w:t>
            </w:r>
          </w:p>
        </w:tc>
        <w:tc>
          <w:tcPr>
            <w:tcW w:w="1019"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通过</w:t>
            </w:r>
          </w:p>
        </w:tc>
        <w:tc>
          <w:tcPr>
            <w:tcW w:w="85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通过</w:t>
            </w:r>
          </w:p>
        </w:tc>
        <w:tc>
          <w:tcPr>
            <w:tcW w:w="495"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continue"/>
            <w:vAlign w:val="center"/>
          </w:tcPr>
          <w:p>
            <w:pPr>
              <w:widowControl/>
              <w:spacing w:line="240" w:lineRule="exact"/>
              <w:jc w:val="center"/>
              <w:rPr>
                <w:rFonts w:ascii="宋体" w:hAnsi="宋体" w:cs="宋体"/>
                <w:color w:val="auto"/>
                <w:kern w:val="0"/>
                <w:sz w:val="18"/>
                <w:szCs w:val="18"/>
              </w:rPr>
            </w:pPr>
          </w:p>
        </w:tc>
        <w:tc>
          <w:tcPr>
            <w:tcW w:w="2118" w:type="dxa"/>
            <w:gridSpan w:val="3"/>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报告</w:t>
            </w:r>
            <w:r>
              <w:rPr>
                <w:rFonts w:hint="eastAsia" w:ascii="宋体" w:hAnsi="宋体" w:cs="宋体"/>
                <w:kern w:val="0"/>
                <w:sz w:val="18"/>
                <w:szCs w:val="18"/>
              </w:rPr>
              <w:t>科学规范</w:t>
            </w:r>
          </w:p>
        </w:tc>
        <w:tc>
          <w:tcPr>
            <w:tcW w:w="1019"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规范</w:t>
            </w:r>
          </w:p>
        </w:tc>
        <w:tc>
          <w:tcPr>
            <w:tcW w:w="853"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规范</w:t>
            </w:r>
          </w:p>
        </w:tc>
        <w:tc>
          <w:tcPr>
            <w:tcW w:w="495" w:type="dxa"/>
            <w:gridSpan w:val="2"/>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6" w:type="dxa"/>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1月上线运行</w:t>
            </w:r>
          </w:p>
        </w:tc>
        <w:tc>
          <w:tcPr>
            <w:tcW w:w="101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按时</w:t>
            </w:r>
          </w:p>
        </w:tc>
        <w:tc>
          <w:tcPr>
            <w:tcW w:w="853"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按时</w:t>
            </w:r>
          </w:p>
        </w:tc>
        <w:tc>
          <w:tcPr>
            <w:tcW w:w="495"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continue"/>
            <w:vAlign w:val="center"/>
          </w:tcPr>
          <w:p>
            <w:pPr>
              <w:widowControl/>
              <w:spacing w:line="240" w:lineRule="exact"/>
              <w:jc w:val="center"/>
              <w:rPr>
                <w:rFonts w:ascii="宋体" w:hAnsi="宋体" w:cs="宋体"/>
                <w:color w:val="auto"/>
                <w:kern w:val="0"/>
                <w:sz w:val="18"/>
                <w:szCs w:val="18"/>
              </w:rPr>
            </w:pP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6月完成专家验收</w:t>
            </w:r>
          </w:p>
        </w:tc>
        <w:tc>
          <w:tcPr>
            <w:tcW w:w="1019"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按时</w:t>
            </w:r>
          </w:p>
        </w:tc>
        <w:tc>
          <w:tcPr>
            <w:tcW w:w="85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按时</w:t>
            </w:r>
          </w:p>
        </w:tc>
        <w:tc>
          <w:tcPr>
            <w:tcW w:w="495"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continue"/>
            <w:vAlign w:val="center"/>
          </w:tcPr>
          <w:p>
            <w:pPr>
              <w:widowControl/>
              <w:spacing w:line="240" w:lineRule="exact"/>
              <w:jc w:val="center"/>
              <w:rPr>
                <w:rFonts w:ascii="宋体" w:hAnsi="宋体" w:cs="宋体"/>
                <w:color w:val="auto"/>
                <w:kern w:val="0"/>
                <w:sz w:val="18"/>
                <w:szCs w:val="18"/>
              </w:rPr>
            </w:pPr>
          </w:p>
        </w:tc>
        <w:tc>
          <w:tcPr>
            <w:tcW w:w="2118" w:type="dxa"/>
            <w:gridSpan w:val="3"/>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kern w:val="0"/>
                <w:sz w:val="18"/>
                <w:szCs w:val="18"/>
              </w:rPr>
              <w:t>土壤检测</w:t>
            </w:r>
            <w:r>
              <w:rPr>
                <w:rFonts w:hint="eastAsia" w:ascii="宋体" w:hAnsi="宋体" w:cs="宋体"/>
                <w:kern w:val="0"/>
                <w:sz w:val="18"/>
                <w:szCs w:val="18"/>
                <w:lang w:eastAsia="zh-CN"/>
              </w:rPr>
              <w:t>、</w:t>
            </w:r>
            <w:r>
              <w:rPr>
                <w:rFonts w:hint="eastAsia" w:ascii="宋体" w:hAnsi="宋体" w:cs="宋体"/>
                <w:kern w:val="0"/>
                <w:sz w:val="18"/>
                <w:szCs w:val="18"/>
              </w:rPr>
              <w:t>地力评价按时完成</w:t>
            </w:r>
          </w:p>
        </w:tc>
        <w:tc>
          <w:tcPr>
            <w:tcW w:w="1019"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按时</w:t>
            </w:r>
          </w:p>
        </w:tc>
        <w:tc>
          <w:tcPr>
            <w:tcW w:w="853"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按时</w:t>
            </w:r>
          </w:p>
        </w:tc>
        <w:tc>
          <w:tcPr>
            <w:tcW w:w="495" w:type="dxa"/>
            <w:gridSpan w:val="2"/>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6" w:type="dxa"/>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项目成本</w:t>
            </w:r>
          </w:p>
        </w:tc>
        <w:tc>
          <w:tcPr>
            <w:tcW w:w="101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合理</w:t>
            </w:r>
          </w:p>
        </w:tc>
        <w:tc>
          <w:tcPr>
            <w:tcW w:w="85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合理</w:t>
            </w:r>
          </w:p>
        </w:tc>
        <w:tc>
          <w:tcPr>
            <w:tcW w:w="495"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94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提高耕地利用</w:t>
            </w:r>
          </w:p>
        </w:tc>
        <w:tc>
          <w:tcPr>
            <w:tcW w:w="101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提高利用</w:t>
            </w:r>
          </w:p>
        </w:tc>
        <w:tc>
          <w:tcPr>
            <w:tcW w:w="853"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明显提升</w:t>
            </w:r>
          </w:p>
        </w:tc>
        <w:tc>
          <w:tcPr>
            <w:tcW w:w="495"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落实耕地保护空间，提高耕地保护意识</w:t>
            </w:r>
          </w:p>
        </w:tc>
        <w:tc>
          <w:tcPr>
            <w:tcW w:w="101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认清保护空间</w:t>
            </w:r>
          </w:p>
        </w:tc>
        <w:tc>
          <w:tcPr>
            <w:tcW w:w="853" w:type="dxa"/>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基本完成</w:t>
            </w:r>
          </w:p>
        </w:tc>
        <w:tc>
          <w:tcPr>
            <w:tcW w:w="495"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074"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耕地实际经营者对政策理解不透彻，后续将加强政策宣贯，提高社会耕地保护意识，进一步浓厚耕地保护氛围。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continue"/>
            <w:vAlign w:val="center"/>
          </w:tcPr>
          <w:p>
            <w:pPr>
              <w:widowControl/>
              <w:spacing w:line="240" w:lineRule="exact"/>
              <w:jc w:val="center"/>
              <w:rPr>
                <w:rFonts w:hint="eastAsia" w:ascii="宋体" w:hAnsi="宋体" w:cs="宋体"/>
                <w:color w:val="auto"/>
                <w:kern w:val="0"/>
                <w:sz w:val="18"/>
                <w:szCs w:val="18"/>
              </w:rPr>
            </w:pPr>
          </w:p>
        </w:tc>
        <w:tc>
          <w:tcPr>
            <w:tcW w:w="2118" w:type="dxa"/>
            <w:gridSpan w:val="3"/>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kern w:val="0"/>
                <w:sz w:val="18"/>
                <w:szCs w:val="18"/>
              </w:rPr>
              <w:t>掌握永久基本农田状况</w:t>
            </w:r>
          </w:p>
        </w:tc>
        <w:tc>
          <w:tcPr>
            <w:tcW w:w="1019"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基本完善</w:t>
            </w:r>
          </w:p>
        </w:tc>
        <w:tc>
          <w:tcPr>
            <w:tcW w:w="853"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基本完善</w:t>
            </w:r>
          </w:p>
        </w:tc>
        <w:tc>
          <w:tcPr>
            <w:tcW w:w="495" w:type="dxa"/>
            <w:gridSpan w:val="2"/>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6" w:type="dxa"/>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074" w:type="dxa"/>
            <w:gridSpan w:val="2"/>
            <w:vAlign w:val="center"/>
          </w:tcPr>
          <w:p>
            <w:pPr>
              <w:widowControl/>
              <w:spacing w:line="240" w:lineRule="exact"/>
              <w:jc w:val="center"/>
              <w:rPr>
                <w:rFonts w:hint="eastAsia" w:ascii="宋体" w:hAnsi="宋体" w:cs="宋体"/>
                <w:color w:val="auto"/>
                <w:kern w:val="0"/>
                <w:sz w:val="18"/>
                <w:szCs w:val="18"/>
                <w:lang w:val="en-US" w:eastAsia="zh-CN"/>
              </w:rPr>
            </w:pPr>
            <w:r>
              <w:rPr>
                <w:rFonts w:ascii="宋体" w:hAnsi="宋体" w:cs="宋体"/>
                <w:kern w:val="0"/>
                <w:sz w:val="18"/>
                <w:szCs w:val="18"/>
              </w:rPr>
              <w:t>加强基本农田保护监督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遏制耕地违法</w:t>
            </w:r>
          </w:p>
        </w:tc>
        <w:tc>
          <w:tcPr>
            <w:tcW w:w="101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耕地问题整改</w:t>
            </w:r>
          </w:p>
        </w:tc>
        <w:tc>
          <w:tcPr>
            <w:tcW w:w="853"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基本完成</w:t>
            </w:r>
          </w:p>
        </w:tc>
        <w:tc>
          <w:tcPr>
            <w:tcW w:w="495"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074"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耕地问题历史原因，问题情况反复，后续将进一步加强对耕地违法情况的巡查监督、批评教育、处罚整改力度。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continue"/>
            <w:vAlign w:val="center"/>
          </w:tcPr>
          <w:p>
            <w:pPr>
              <w:widowControl/>
              <w:spacing w:line="240" w:lineRule="exact"/>
              <w:jc w:val="center"/>
              <w:rPr>
                <w:rFonts w:hint="eastAsia" w:ascii="宋体" w:hAnsi="宋体" w:cs="宋体"/>
                <w:color w:val="auto"/>
                <w:kern w:val="0"/>
                <w:sz w:val="18"/>
                <w:szCs w:val="18"/>
              </w:rPr>
            </w:pPr>
          </w:p>
        </w:tc>
        <w:tc>
          <w:tcPr>
            <w:tcW w:w="2118" w:type="dxa"/>
            <w:gridSpan w:val="3"/>
            <w:vAlign w:val="center"/>
          </w:tcPr>
          <w:p>
            <w:pPr>
              <w:widowControl/>
              <w:spacing w:line="240" w:lineRule="exact"/>
              <w:jc w:val="both"/>
              <w:rPr>
                <w:rFonts w:hint="eastAsia" w:ascii="宋体" w:hAnsi="宋体" w:cs="宋体"/>
                <w:color w:val="auto"/>
                <w:kern w:val="0"/>
                <w:sz w:val="18"/>
                <w:szCs w:val="18"/>
              </w:rPr>
            </w:pPr>
            <w:r>
              <w:rPr>
                <w:rFonts w:ascii="宋体" w:hAnsi="宋体" w:cs="宋体"/>
                <w:kern w:val="0"/>
                <w:sz w:val="18"/>
                <w:szCs w:val="18"/>
              </w:rPr>
              <w:t>保护永久基本农田生态功能</w:t>
            </w:r>
          </w:p>
        </w:tc>
        <w:tc>
          <w:tcPr>
            <w:tcW w:w="1019"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ascii="宋体" w:hAnsi="宋体" w:cs="宋体"/>
                <w:kern w:val="0"/>
                <w:sz w:val="18"/>
                <w:szCs w:val="18"/>
              </w:rPr>
              <w:t>较好保护</w:t>
            </w:r>
          </w:p>
        </w:tc>
        <w:tc>
          <w:tcPr>
            <w:tcW w:w="853"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ascii="宋体" w:hAnsi="宋体" w:cs="宋体"/>
                <w:kern w:val="0"/>
                <w:sz w:val="18"/>
                <w:szCs w:val="18"/>
              </w:rPr>
              <w:t>较好保护</w:t>
            </w:r>
          </w:p>
        </w:tc>
        <w:tc>
          <w:tcPr>
            <w:tcW w:w="495" w:type="dxa"/>
            <w:gridSpan w:val="2"/>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6" w:type="dxa"/>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074" w:type="dxa"/>
            <w:gridSpan w:val="2"/>
            <w:vAlign w:val="center"/>
          </w:tcPr>
          <w:p>
            <w:pPr>
              <w:widowControl/>
              <w:spacing w:line="240" w:lineRule="exact"/>
              <w:jc w:val="center"/>
              <w:rPr>
                <w:rFonts w:hint="eastAsia" w:ascii="宋体" w:hAnsi="宋体" w:cs="宋体"/>
                <w:color w:val="auto"/>
                <w:kern w:val="0"/>
                <w:sz w:val="18"/>
                <w:szCs w:val="18"/>
                <w:lang w:val="en-US" w:eastAsia="zh-CN"/>
              </w:rPr>
            </w:pPr>
            <w:r>
              <w:rPr>
                <w:rFonts w:ascii="宋体" w:hAnsi="宋体" w:cs="宋体"/>
                <w:kern w:val="0"/>
                <w:sz w:val="18"/>
                <w:szCs w:val="18"/>
              </w:rPr>
              <w:t>科学利用生态种植永久基本农田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田长制工作落实</w:t>
            </w:r>
          </w:p>
        </w:tc>
        <w:tc>
          <w:tcPr>
            <w:tcW w:w="101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持续进行</w:t>
            </w:r>
          </w:p>
        </w:tc>
        <w:tc>
          <w:tcPr>
            <w:tcW w:w="853"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基本完成</w:t>
            </w:r>
          </w:p>
        </w:tc>
        <w:tc>
          <w:tcPr>
            <w:tcW w:w="495"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continue"/>
            <w:vAlign w:val="center"/>
          </w:tcPr>
          <w:p>
            <w:pPr>
              <w:widowControl/>
              <w:spacing w:line="240" w:lineRule="exact"/>
              <w:jc w:val="center"/>
              <w:rPr>
                <w:rFonts w:hint="eastAsia" w:ascii="宋体" w:hAnsi="宋体" w:cs="宋体"/>
                <w:color w:val="auto"/>
                <w:kern w:val="0"/>
                <w:sz w:val="18"/>
                <w:szCs w:val="18"/>
              </w:rPr>
            </w:pPr>
          </w:p>
        </w:tc>
        <w:tc>
          <w:tcPr>
            <w:tcW w:w="2118" w:type="dxa"/>
            <w:gridSpan w:val="3"/>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kern w:val="0"/>
                <w:sz w:val="18"/>
                <w:szCs w:val="18"/>
              </w:rPr>
              <w:t>永久基本农田可持续利用</w:t>
            </w:r>
          </w:p>
        </w:tc>
        <w:tc>
          <w:tcPr>
            <w:tcW w:w="1019"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w:t>
            </w:r>
          </w:p>
        </w:tc>
        <w:tc>
          <w:tcPr>
            <w:tcW w:w="853"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ascii="宋体" w:hAnsi="宋体" w:cs="宋体"/>
                <w:kern w:val="0"/>
                <w:sz w:val="18"/>
                <w:szCs w:val="18"/>
              </w:rPr>
              <w:t>可持续</w:t>
            </w:r>
          </w:p>
        </w:tc>
        <w:tc>
          <w:tcPr>
            <w:tcW w:w="495" w:type="dxa"/>
            <w:gridSpan w:val="2"/>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6" w:type="dxa"/>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40"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镇、村级巡查员满意度</w:t>
            </w:r>
          </w:p>
        </w:tc>
        <w:tc>
          <w:tcPr>
            <w:tcW w:w="101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85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w:t>
            </w:r>
          </w:p>
        </w:tc>
        <w:tc>
          <w:tcPr>
            <w:tcW w:w="495"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vAlign w:val="center"/>
          </w:tcPr>
          <w:p>
            <w:pPr>
              <w:widowControl/>
              <w:spacing w:line="240" w:lineRule="exact"/>
              <w:jc w:val="center"/>
              <w:rPr>
                <w:rFonts w:ascii="宋体" w:hAnsi="宋体" w:cs="宋体"/>
                <w:color w:val="auto"/>
                <w:kern w:val="0"/>
                <w:sz w:val="18"/>
                <w:szCs w:val="18"/>
              </w:rPr>
            </w:pPr>
          </w:p>
        </w:tc>
        <w:tc>
          <w:tcPr>
            <w:tcW w:w="968" w:type="dxa"/>
            <w:vMerge w:val="continue"/>
            <w:vAlign w:val="center"/>
          </w:tcPr>
          <w:p>
            <w:pPr>
              <w:widowControl/>
              <w:spacing w:line="240" w:lineRule="exact"/>
              <w:jc w:val="center"/>
              <w:rPr>
                <w:rFonts w:ascii="宋体" w:hAnsi="宋体" w:cs="宋体"/>
                <w:color w:val="auto"/>
                <w:kern w:val="0"/>
                <w:sz w:val="18"/>
                <w:szCs w:val="18"/>
              </w:rPr>
            </w:pPr>
          </w:p>
        </w:tc>
        <w:tc>
          <w:tcPr>
            <w:tcW w:w="940" w:type="dxa"/>
            <w:vMerge w:val="continue"/>
            <w:vAlign w:val="center"/>
          </w:tcPr>
          <w:p>
            <w:pPr>
              <w:widowControl/>
              <w:spacing w:line="240" w:lineRule="exact"/>
              <w:jc w:val="center"/>
              <w:rPr>
                <w:rFonts w:ascii="宋体" w:hAnsi="宋体" w:cs="宋体"/>
                <w:color w:val="auto"/>
                <w:kern w:val="0"/>
                <w:sz w:val="18"/>
                <w:szCs w:val="18"/>
              </w:rPr>
            </w:pPr>
          </w:p>
        </w:tc>
        <w:tc>
          <w:tcPr>
            <w:tcW w:w="2118"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kern w:val="0"/>
                <w:sz w:val="18"/>
                <w:szCs w:val="18"/>
              </w:rPr>
              <w:t>乡镇满意度</w:t>
            </w:r>
          </w:p>
        </w:tc>
        <w:tc>
          <w:tcPr>
            <w:tcW w:w="101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w:t>
            </w:r>
          </w:p>
        </w:tc>
        <w:tc>
          <w:tcPr>
            <w:tcW w:w="85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w:t>
            </w:r>
          </w:p>
        </w:tc>
        <w:tc>
          <w:tcPr>
            <w:tcW w:w="495"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6"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207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6475" w:type="dxa"/>
            <w:gridSpan w:val="8"/>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95"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6"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2074" w:type="dxa"/>
            <w:gridSpan w:val="2"/>
            <w:vAlign w:val="center"/>
          </w:tcPr>
          <w:p>
            <w:pPr>
              <w:widowControl/>
              <w:spacing w:line="240" w:lineRule="exact"/>
              <w:jc w:val="center"/>
              <w:rPr>
                <w:rFonts w:ascii="宋体" w:hAnsi="宋体" w:cs="宋体"/>
                <w:color w:val="auto"/>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928" w:type="dxa"/>
            <w:gridSpan w:val="14"/>
            <w:tcBorders>
              <w:top w:val="nil"/>
              <w:left w:val="nil"/>
              <w:bottom w:val="single" w:color="auto" w:sz="4" w:space="0"/>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农业、农村发展规划编制及涉农政策、项目规范化管理工作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 601001</w:t>
            </w:r>
          </w:p>
        </w:tc>
        <w:tc>
          <w:tcPr>
            <w:tcW w:w="105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47" w:type="dxa"/>
            <w:gridSpan w:val="2"/>
            <w:vMerge w:val="restart"/>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vAlign w:val="center"/>
          </w:tcPr>
          <w:p>
            <w:pPr>
              <w:widowControl/>
              <w:spacing w:line="240" w:lineRule="exact"/>
              <w:jc w:val="center"/>
              <w:rPr>
                <w:rFonts w:ascii="宋体" w:hAnsi="宋体" w:cs="宋体"/>
                <w:color w:val="auto"/>
                <w:kern w:val="0"/>
                <w:sz w:val="18"/>
                <w:szCs w:val="18"/>
              </w:rPr>
            </w:pPr>
          </w:p>
        </w:tc>
        <w:tc>
          <w:tcPr>
            <w:tcW w:w="1114"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77.2</w:t>
            </w:r>
          </w:p>
        </w:tc>
        <w:tc>
          <w:tcPr>
            <w:tcW w:w="110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77.2</w:t>
            </w:r>
          </w:p>
        </w:tc>
        <w:tc>
          <w:tcPr>
            <w:tcW w:w="1050"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77.2</w:t>
            </w: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vAlign w:val="center"/>
          </w:tcPr>
          <w:p>
            <w:pPr>
              <w:widowControl/>
              <w:spacing w:line="240" w:lineRule="exact"/>
              <w:jc w:val="center"/>
              <w:rPr>
                <w:rFonts w:ascii="宋体" w:hAnsi="宋体" w:cs="宋体"/>
                <w:color w:val="auto"/>
                <w:kern w:val="0"/>
                <w:sz w:val="18"/>
                <w:szCs w:val="18"/>
              </w:rPr>
            </w:pPr>
          </w:p>
        </w:tc>
        <w:tc>
          <w:tcPr>
            <w:tcW w:w="1107" w:type="dxa"/>
            <w:gridSpan w:val="2"/>
            <w:vAlign w:val="center"/>
          </w:tcPr>
          <w:p>
            <w:pPr>
              <w:widowControl/>
              <w:spacing w:line="240" w:lineRule="exact"/>
              <w:jc w:val="center"/>
              <w:rPr>
                <w:rFonts w:hint="default" w:ascii="宋体" w:hAnsi="宋体" w:cs="宋体"/>
                <w:color w:val="auto"/>
                <w:kern w:val="0"/>
                <w:sz w:val="18"/>
                <w:szCs w:val="18"/>
                <w:lang w:val="en-US" w:eastAsia="zh-CN"/>
              </w:rPr>
            </w:pPr>
          </w:p>
        </w:tc>
        <w:tc>
          <w:tcPr>
            <w:tcW w:w="1050" w:type="dxa"/>
            <w:gridSpan w:val="2"/>
            <w:vAlign w:val="center"/>
          </w:tcPr>
          <w:p>
            <w:pPr>
              <w:widowControl/>
              <w:spacing w:line="240" w:lineRule="exact"/>
              <w:jc w:val="center"/>
              <w:rPr>
                <w:rFonts w:ascii="宋体" w:hAnsi="宋体" w:cs="宋体"/>
                <w:color w:val="auto"/>
                <w:kern w:val="0"/>
                <w:sz w:val="18"/>
                <w:szCs w:val="18"/>
              </w:rPr>
            </w:pP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ascii="宋体" w:hAnsi="宋体" w:cs="宋体"/>
                <w:color w:val="auto"/>
                <w:kern w:val="0"/>
                <w:sz w:val="18"/>
                <w:szCs w:val="18"/>
              </w:rPr>
            </w:pP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77.2</w:t>
            </w:r>
          </w:p>
        </w:tc>
        <w:tc>
          <w:tcPr>
            <w:tcW w:w="110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77.2</w:t>
            </w:r>
          </w:p>
        </w:tc>
        <w:tc>
          <w:tcPr>
            <w:tcW w:w="1050"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77.2</w:t>
            </w: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ascii="宋体" w:hAnsi="宋体" w:cs="宋体"/>
                <w:color w:val="auto"/>
                <w:kern w:val="0"/>
                <w:sz w:val="18"/>
                <w:szCs w:val="18"/>
              </w:rPr>
            </w:pP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vAlign w:val="center"/>
          </w:tcPr>
          <w:p>
            <w:pPr>
              <w:widowControl/>
              <w:spacing w:line="240" w:lineRule="exact"/>
              <w:jc w:val="center"/>
              <w:rPr>
                <w:rFonts w:ascii="宋体" w:hAnsi="宋体" w:cs="宋体"/>
                <w:color w:val="auto"/>
                <w:kern w:val="0"/>
                <w:sz w:val="18"/>
                <w:szCs w:val="18"/>
              </w:rPr>
            </w:pPr>
          </w:p>
        </w:tc>
        <w:tc>
          <w:tcPr>
            <w:tcW w:w="1107" w:type="dxa"/>
            <w:gridSpan w:val="2"/>
            <w:vAlign w:val="center"/>
          </w:tcPr>
          <w:p>
            <w:pPr>
              <w:widowControl/>
              <w:spacing w:line="240" w:lineRule="exact"/>
              <w:jc w:val="center"/>
              <w:rPr>
                <w:rFonts w:ascii="宋体" w:hAnsi="宋体" w:cs="宋体"/>
                <w:color w:val="auto"/>
                <w:kern w:val="0"/>
                <w:sz w:val="18"/>
                <w:szCs w:val="18"/>
              </w:rPr>
            </w:pPr>
          </w:p>
        </w:tc>
        <w:tc>
          <w:tcPr>
            <w:tcW w:w="1050" w:type="dxa"/>
            <w:gridSpan w:val="2"/>
            <w:vAlign w:val="center"/>
          </w:tcPr>
          <w:p>
            <w:pPr>
              <w:widowControl/>
              <w:spacing w:line="240" w:lineRule="exact"/>
              <w:jc w:val="center"/>
              <w:rPr>
                <w:rFonts w:ascii="宋体" w:hAnsi="宋体" w:cs="宋体"/>
                <w:color w:val="auto"/>
                <w:kern w:val="0"/>
                <w:sz w:val="18"/>
                <w:szCs w:val="18"/>
              </w:rPr>
            </w:pP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ascii="宋体" w:hAnsi="宋体" w:cs="宋体"/>
                <w:color w:val="auto"/>
                <w:kern w:val="0"/>
                <w:sz w:val="18"/>
                <w:szCs w:val="18"/>
              </w:rPr>
            </w:pP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4994" w:type="dxa"/>
            <w:gridSpan w:val="6"/>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提升农业规划水平，提升政策制定与项目管理的科学合理性。</w:t>
            </w:r>
          </w:p>
        </w:tc>
        <w:tc>
          <w:tcPr>
            <w:tcW w:w="3356" w:type="dxa"/>
            <w:gridSpan w:val="7"/>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提升农业规划水平，提升政策制定与项目管理的科学合理性。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57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评审涉农项目覆盖率</w:t>
            </w:r>
          </w:p>
        </w:tc>
        <w:tc>
          <w:tcPr>
            <w:tcW w:w="938" w:type="dxa"/>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农业农村发展规划、政策、调研课题数量</w:t>
            </w:r>
          </w:p>
        </w:tc>
        <w:tc>
          <w:tcPr>
            <w:tcW w:w="938" w:type="dxa"/>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5个</w:t>
            </w:r>
          </w:p>
        </w:tc>
        <w:tc>
          <w:tcPr>
            <w:tcW w:w="848"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5个</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重要工程监理覆盖率</w:t>
            </w:r>
          </w:p>
        </w:tc>
        <w:tc>
          <w:tcPr>
            <w:tcW w:w="938" w:type="dxa"/>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咨询、论证、修改和宣传涉农政策覆盖率</w:t>
            </w:r>
          </w:p>
        </w:tc>
        <w:tc>
          <w:tcPr>
            <w:tcW w:w="938" w:type="dxa"/>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涉农项目通过专家评审率</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涉农政策经过咨询、论证、修改通过率</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涉农项目评审完成时间</w:t>
            </w:r>
          </w:p>
        </w:tc>
        <w:tc>
          <w:tcPr>
            <w:tcW w:w="938"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Merge w:val="continue"/>
            <w:vAlign w:val="center"/>
          </w:tcPr>
          <w:p>
            <w:pPr>
              <w:widowControl/>
              <w:spacing w:line="240" w:lineRule="exact"/>
              <w:jc w:val="center"/>
              <w:rPr>
                <w:rFonts w:ascii="宋体" w:hAnsi="宋体" w:cs="宋体"/>
                <w:color w:val="auto"/>
                <w:kern w:val="0"/>
                <w:sz w:val="18"/>
                <w:szCs w:val="18"/>
              </w:rPr>
            </w:pPr>
          </w:p>
        </w:tc>
        <w:tc>
          <w:tcPr>
            <w:tcW w:w="2001" w:type="dxa"/>
            <w:gridSpan w:val="3"/>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涉农政策咨询、论证、修改和宣传完成时间</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8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12月底前</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ascii="宋体" w:hAnsi="宋体" w:cs="宋体"/>
                <w:color w:val="auto"/>
                <w:kern w:val="0"/>
                <w:sz w:val="18"/>
                <w:szCs w:val="18"/>
              </w:rPr>
            </w:pPr>
          </w:p>
        </w:tc>
        <w:tc>
          <w:tcPr>
            <w:tcW w:w="108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成本控制在总预算内</w:t>
            </w:r>
          </w:p>
        </w:tc>
        <w:tc>
          <w:tcPr>
            <w:tcW w:w="938"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w:t>
            </w:r>
            <w:r>
              <w:rPr>
                <w:rFonts w:hint="eastAsia" w:ascii="宋体" w:hAnsi="宋体" w:cs="宋体"/>
                <w:color w:val="auto"/>
                <w:kern w:val="0"/>
                <w:sz w:val="18"/>
                <w:szCs w:val="18"/>
                <w:lang w:val="en-US" w:eastAsia="zh-CN"/>
              </w:rPr>
              <w:t>77.2</w:t>
            </w:r>
            <w:r>
              <w:rPr>
                <w:rFonts w:hint="eastAsia" w:ascii="宋体" w:hAnsi="宋体" w:eastAsia="宋体" w:cs="宋体"/>
                <w:color w:val="auto"/>
                <w:kern w:val="0"/>
                <w:sz w:val="18"/>
                <w:szCs w:val="18"/>
                <w:lang w:eastAsia="zh-CN"/>
              </w:rPr>
              <w:t>万</w:t>
            </w:r>
            <w:r>
              <w:rPr>
                <w:rFonts w:hint="eastAsia" w:ascii="宋体" w:hAnsi="宋体" w:cs="宋体"/>
                <w:color w:val="auto"/>
                <w:kern w:val="0"/>
                <w:sz w:val="18"/>
                <w:szCs w:val="18"/>
                <w:lang w:val="en-US" w:eastAsia="zh-CN"/>
              </w:rPr>
              <w:t>元</w:t>
            </w:r>
          </w:p>
        </w:tc>
        <w:tc>
          <w:tcPr>
            <w:tcW w:w="848"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77.2万元</w:t>
            </w:r>
          </w:p>
        </w:tc>
        <w:tc>
          <w:tcPr>
            <w:tcW w:w="55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提升农业规划水平，进一步提升政策制定与项目管理的科学合理性</w:t>
            </w:r>
          </w:p>
        </w:tc>
        <w:tc>
          <w:tcPr>
            <w:tcW w:w="938" w:type="dxa"/>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有效提高</w:t>
            </w:r>
          </w:p>
        </w:tc>
        <w:tc>
          <w:tcPr>
            <w:tcW w:w="8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有效提高</w:t>
            </w:r>
          </w:p>
        </w:tc>
        <w:tc>
          <w:tcPr>
            <w:tcW w:w="55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局领导对涉农政策、项目管理等工作的满意度</w:t>
            </w:r>
          </w:p>
        </w:tc>
        <w:tc>
          <w:tcPr>
            <w:tcW w:w="93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≥80%</w:t>
            </w:r>
          </w:p>
        </w:tc>
        <w:tc>
          <w:tcPr>
            <w:tcW w:w="848"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55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6420" w:type="dxa"/>
            <w:gridSpan w:val="8"/>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vAlign w:val="center"/>
          </w:tcPr>
          <w:p>
            <w:pPr>
              <w:widowControl/>
              <w:spacing w:line="240" w:lineRule="exact"/>
              <w:jc w:val="center"/>
              <w:rPr>
                <w:rFonts w:ascii="宋体" w:hAnsi="宋体" w:cs="宋体"/>
                <w:color w:val="auto"/>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009"/>
        <w:gridCol w:w="1046"/>
        <w:gridCol w:w="718"/>
        <w:gridCol w:w="1071"/>
        <w:gridCol w:w="43"/>
        <w:gridCol w:w="949"/>
        <w:gridCol w:w="1006"/>
        <w:gridCol w:w="202"/>
        <w:gridCol w:w="292"/>
        <w:gridCol w:w="479"/>
        <w:gridCol w:w="141"/>
        <w:gridCol w:w="69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928" w:type="dxa"/>
            <w:gridSpan w:val="14"/>
            <w:tcBorders>
              <w:top w:val="nil"/>
              <w:left w:val="nil"/>
              <w:bottom w:val="single" w:color="auto" w:sz="4" w:space="0"/>
              <w:right w:val="nil"/>
            </w:tcBorders>
          </w:tcPr>
          <w:p>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tcBorders>
              <w:top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41" w:type="dxa"/>
            <w:gridSpan w:val="12"/>
            <w:tcBorders>
              <w:top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北京市通州区第三次全国土壤普查试点工作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exact"/>
          <w:jc w:val="center"/>
        </w:trPr>
        <w:tc>
          <w:tcPr>
            <w:tcW w:w="158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827" w:type="dxa"/>
            <w:gridSpan w:val="5"/>
            <w:vAlign w:val="center"/>
          </w:tcPr>
          <w:p>
            <w:pPr>
              <w:widowControl/>
              <w:spacing w:line="240" w:lineRule="exact"/>
              <w:jc w:val="center"/>
              <w:rPr>
                <w:rFonts w:ascii="宋体" w:hAnsi="宋体" w:cs="宋体"/>
                <w:kern w:val="0"/>
                <w:sz w:val="18"/>
                <w:szCs w:val="18"/>
              </w:rPr>
            </w:pPr>
            <w:r>
              <w:rPr>
                <w:rFonts w:hint="eastAsia" w:ascii="宋体" w:hAnsi="宋体" w:cs="宋体"/>
                <w:color w:val="auto"/>
                <w:kern w:val="0"/>
                <w:sz w:val="18"/>
                <w:szCs w:val="18"/>
              </w:rPr>
              <w:t>北京市通州区农业农村局</w:t>
            </w:r>
          </w:p>
        </w:tc>
        <w:tc>
          <w:tcPr>
            <w:tcW w:w="1208"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827" w:type="dxa"/>
            <w:gridSpan w:val="5"/>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王连春、王忠钰</w:t>
            </w:r>
          </w:p>
        </w:tc>
        <w:tc>
          <w:tcPr>
            <w:tcW w:w="1208"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81582825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87" w:type="dxa"/>
            <w:gridSpan w:val="2"/>
            <w:vMerge w:val="restart"/>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764" w:type="dxa"/>
            <w:gridSpan w:val="2"/>
            <w:vAlign w:val="center"/>
          </w:tcPr>
          <w:p>
            <w:pPr>
              <w:widowControl/>
              <w:spacing w:line="240" w:lineRule="exact"/>
              <w:jc w:val="center"/>
              <w:rPr>
                <w:rFonts w:ascii="宋体" w:hAnsi="宋体" w:cs="宋体"/>
                <w:kern w:val="0"/>
                <w:sz w:val="18"/>
                <w:szCs w:val="18"/>
              </w:rPr>
            </w:pPr>
          </w:p>
        </w:tc>
        <w:tc>
          <w:tcPr>
            <w:tcW w:w="111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9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08"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Merge w:val="continue"/>
            <w:vAlign w:val="center"/>
          </w:tcPr>
          <w:p>
            <w:pPr>
              <w:widowControl/>
              <w:spacing w:line="240" w:lineRule="exact"/>
              <w:jc w:val="center"/>
              <w:rPr>
                <w:rFonts w:ascii="宋体" w:hAnsi="宋体" w:cs="宋体"/>
                <w:kern w:val="0"/>
                <w:sz w:val="18"/>
                <w:szCs w:val="18"/>
              </w:rPr>
            </w:pPr>
          </w:p>
        </w:tc>
        <w:tc>
          <w:tcPr>
            <w:tcW w:w="1764" w:type="dxa"/>
            <w:gridSpan w:val="2"/>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86.05</w:t>
            </w:r>
          </w:p>
        </w:tc>
        <w:tc>
          <w:tcPr>
            <w:tcW w:w="949" w:type="dxa"/>
          </w:tcPr>
          <w:p>
            <w:pPr>
              <w:jc w:val="center"/>
            </w:pPr>
            <w:r>
              <w:rPr>
                <w:rFonts w:ascii="宋体" w:hAnsi="宋体" w:cs="宋体"/>
                <w:kern w:val="0"/>
                <w:sz w:val="18"/>
                <w:szCs w:val="18"/>
              </w:rPr>
              <w:t>86.05</w:t>
            </w:r>
          </w:p>
        </w:tc>
        <w:tc>
          <w:tcPr>
            <w:tcW w:w="1208" w:type="dxa"/>
            <w:gridSpan w:val="2"/>
          </w:tcPr>
          <w:p>
            <w:pPr>
              <w:jc w:val="center"/>
            </w:pPr>
            <w:r>
              <w:rPr>
                <w:rFonts w:ascii="宋体" w:hAnsi="宋体" w:cs="宋体"/>
                <w:kern w:val="0"/>
                <w:sz w:val="18"/>
                <w:szCs w:val="18"/>
              </w:rPr>
              <w:t>85.03</w:t>
            </w: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98.81%</w:t>
            </w:r>
          </w:p>
        </w:tc>
        <w:tc>
          <w:tcPr>
            <w:tcW w:w="699"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Merge w:val="continue"/>
            <w:vAlign w:val="center"/>
          </w:tcPr>
          <w:p>
            <w:pPr>
              <w:widowControl/>
              <w:spacing w:line="240" w:lineRule="exact"/>
              <w:jc w:val="center"/>
              <w:rPr>
                <w:rFonts w:ascii="宋体" w:hAnsi="宋体" w:cs="宋体"/>
                <w:kern w:val="0"/>
                <w:sz w:val="18"/>
                <w:szCs w:val="18"/>
              </w:rPr>
            </w:pPr>
          </w:p>
        </w:tc>
        <w:tc>
          <w:tcPr>
            <w:tcW w:w="17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vAlign w:val="center"/>
          </w:tcPr>
          <w:p>
            <w:pPr>
              <w:widowControl/>
              <w:spacing w:line="240" w:lineRule="exact"/>
              <w:jc w:val="center"/>
              <w:rPr>
                <w:rFonts w:ascii="宋体" w:hAnsi="宋体" w:cs="宋体"/>
                <w:kern w:val="0"/>
                <w:sz w:val="18"/>
                <w:szCs w:val="18"/>
              </w:rPr>
            </w:pPr>
          </w:p>
        </w:tc>
        <w:tc>
          <w:tcPr>
            <w:tcW w:w="949" w:type="dxa"/>
            <w:vAlign w:val="center"/>
          </w:tcPr>
          <w:p>
            <w:pPr>
              <w:widowControl/>
              <w:spacing w:line="240" w:lineRule="exact"/>
              <w:jc w:val="center"/>
              <w:rPr>
                <w:rFonts w:ascii="宋体" w:hAnsi="宋体" w:cs="宋体"/>
                <w:kern w:val="0"/>
                <w:sz w:val="18"/>
                <w:szCs w:val="18"/>
              </w:rPr>
            </w:pPr>
          </w:p>
        </w:tc>
        <w:tc>
          <w:tcPr>
            <w:tcW w:w="1208" w:type="dxa"/>
            <w:gridSpan w:val="2"/>
            <w:vAlign w:val="center"/>
          </w:tcPr>
          <w:p>
            <w:pPr>
              <w:widowControl/>
              <w:spacing w:line="240" w:lineRule="exact"/>
              <w:jc w:val="center"/>
              <w:rPr>
                <w:rFonts w:ascii="宋体" w:hAnsi="宋体" w:cs="宋体"/>
                <w:kern w:val="0"/>
                <w:sz w:val="18"/>
                <w:szCs w:val="18"/>
              </w:rPr>
            </w:pP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vAlign w:val="center"/>
          </w:tcPr>
          <w:p>
            <w:pPr>
              <w:widowControl/>
              <w:spacing w:line="240" w:lineRule="exact"/>
              <w:jc w:val="center"/>
              <w:rPr>
                <w:rFonts w:ascii="宋体" w:hAnsi="宋体" w:cs="宋体"/>
                <w:kern w:val="0"/>
                <w:sz w:val="18"/>
                <w:szCs w:val="18"/>
              </w:rPr>
            </w:pPr>
          </w:p>
        </w:tc>
        <w:tc>
          <w:tcPr>
            <w:tcW w:w="6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Merge w:val="continue"/>
            <w:vAlign w:val="center"/>
          </w:tcPr>
          <w:p>
            <w:pPr>
              <w:widowControl/>
              <w:spacing w:line="240" w:lineRule="exact"/>
              <w:jc w:val="center"/>
              <w:rPr>
                <w:rFonts w:ascii="宋体" w:hAnsi="宋体" w:cs="宋体"/>
                <w:kern w:val="0"/>
                <w:sz w:val="18"/>
                <w:szCs w:val="18"/>
              </w:rPr>
            </w:pPr>
          </w:p>
        </w:tc>
        <w:tc>
          <w:tcPr>
            <w:tcW w:w="17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86.05</w:t>
            </w:r>
          </w:p>
        </w:tc>
        <w:tc>
          <w:tcPr>
            <w:tcW w:w="949" w:type="dxa"/>
            <w:vAlign w:val="top"/>
          </w:tcPr>
          <w:p>
            <w:pPr>
              <w:jc w:val="center"/>
              <w:rPr>
                <w:rFonts w:ascii="宋体" w:hAnsi="宋体" w:cs="宋体"/>
                <w:kern w:val="0"/>
                <w:sz w:val="18"/>
                <w:szCs w:val="18"/>
              </w:rPr>
            </w:pPr>
            <w:r>
              <w:rPr>
                <w:rFonts w:ascii="宋体" w:hAnsi="宋体" w:cs="宋体"/>
                <w:kern w:val="0"/>
                <w:sz w:val="18"/>
                <w:szCs w:val="18"/>
              </w:rPr>
              <w:t>86.05</w:t>
            </w:r>
          </w:p>
        </w:tc>
        <w:tc>
          <w:tcPr>
            <w:tcW w:w="1208" w:type="dxa"/>
            <w:gridSpan w:val="2"/>
            <w:vAlign w:val="top"/>
          </w:tcPr>
          <w:p>
            <w:pPr>
              <w:jc w:val="center"/>
              <w:rPr>
                <w:rFonts w:ascii="宋体" w:hAnsi="宋体" w:cs="宋体"/>
                <w:kern w:val="0"/>
                <w:sz w:val="18"/>
                <w:szCs w:val="18"/>
              </w:rPr>
            </w:pPr>
            <w:r>
              <w:rPr>
                <w:rFonts w:ascii="宋体" w:hAnsi="宋体" w:cs="宋体"/>
                <w:kern w:val="0"/>
                <w:sz w:val="18"/>
                <w:szCs w:val="18"/>
              </w:rPr>
              <w:t>85.03</w:t>
            </w: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vAlign w:val="center"/>
          </w:tcPr>
          <w:p>
            <w:pPr>
              <w:widowControl/>
              <w:spacing w:line="240" w:lineRule="exact"/>
              <w:jc w:val="center"/>
              <w:rPr>
                <w:rFonts w:ascii="宋体" w:hAnsi="宋体" w:cs="宋体"/>
                <w:kern w:val="0"/>
                <w:sz w:val="18"/>
                <w:szCs w:val="18"/>
              </w:rPr>
            </w:pPr>
          </w:p>
        </w:tc>
        <w:tc>
          <w:tcPr>
            <w:tcW w:w="6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87" w:type="dxa"/>
            <w:gridSpan w:val="2"/>
            <w:vMerge w:val="continue"/>
            <w:vAlign w:val="center"/>
          </w:tcPr>
          <w:p>
            <w:pPr>
              <w:widowControl/>
              <w:spacing w:line="240" w:lineRule="exact"/>
              <w:jc w:val="center"/>
              <w:rPr>
                <w:rFonts w:ascii="宋体" w:hAnsi="宋体" w:cs="宋体"/>
                <w:kern w:val="0"/>
                <w:sz w:val="18"/>
                <w:szCs w:val="18"/>
              </w:rPr>
            </w:pPr>
          </w:p>
        </w:tc>
        <w:tc>
          <w:tcPr>
            <w:tcW w:w="17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vAlign w:val="center"/>
          </w:tcPr>
          <w:p>
            <w:pPr>
              <w:widowControl/>
              <w:spacing w:line="240" w:lineRule="exact"/>
              <w:jc w:val="center"/>
              <w:rPr>
                <w:rFonts w:ascii="宋体" w:hAnsi="宋体" w:cs="宋体"/>
                <w:kern w:val="0"/>
                <w:sz w:val="18"/>
                <w:szCs w:val="18"/>
              </w:rPr>
            </w:pPr>
          </w:p>
        </w:tc>
        <w:tc>
          <w:tcPr>
            <w:tcW w:w="949" w:type="dxa"/>
            <w:vAlign w:val="center"/>
          </w:tcPr>
          <w:p>
            <w:pPr>
              <w:widowControl/>
              <w:spacing w:line="240" w:lineRule="exact"/>
              <w:jc w:val="center"/>
              <w:rPr>
                <w:rFonts w:ascii="宋体" w:hAnsi="宋体" w:cs="宋体"/>
                <w:kern w:val="0"/>
                <w:sz w:val="18"/>
                <w:szCs w:val="18"/>
              </w:rPr>
            </w:pPr>
          </w:p>
        </w:tc>
        <w:tc>
          <w:tcPr>
            <w:tcW w:w="1208" w:type="dxa"/>
            <w:gridSpan w:val="2"/>
            <w:vAlign w:val="center"/>
          </w:tcPr>
          <w:p>
            <w:pPr>
              <w:widowControl/>
              <w:spacing w:line="240" w:lineRule="exact"/>
              <w:jc w:val="center"/>
              <w:rPr>
                <w:rFonts w:ascii="宋体" w:hAnsi="宋体" w:cs="宋体"/>
                <w:kern w:val="0"/>
                <w:sz w:val="18"/>
                <w:szCs w:val="18"/>
              </w:rPr>
            </w:pPr>
          </w:p>
        </w:tc>
        <w:tc>
          <w:tcPr>
            <w:tcW w:w="77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vAlign w:val="center"/>
          </w:tcPr>
          <w:p>
            <w:pPr>
              <w:widowControl/>
              <w:spacing w:line="240" w:lineRule="exact"/>
              <w:jc w:val="center"/>
              <w:rPr>
                <w:rFonts w:ascii="宋体" w:hAnsi="宋体" w:cs="宋体"/>
                <w:kern w:val="0"/>
                <w:sz w:val="18"/>
                <w:szCs w:val="18"/>
              </w:rPr>
            </w:pPr>
          </w:p>
        </w:tc>
        <w:tc>
          <w:tcPr>
            <w:tcW w:w="6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36" w:type="dxa"/>
            <w:gridSpan w:val="6"/>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14" w:type="dxa"/>
            <w:gridSpan w:val="7"/>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4836" w:type="dxa"/>
            <w:gridSpan w:val="6"/>
            <w:vAlign w:val="center"/>
          </w:tcPr>
          <w:p>
            <w:pPr>
              <w:widowControl/>
              <w:spacing w:line="240" w:lineRule="exact"/>
              <w:jc w:val="both"/>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完成202</w:t>
            </w:r>
            <w:r>
              <w:rPr>
                <w:rFonts w:hint="eastAsia" w:ascii="宋体" w:hAnsi="宋体" w:cs="宋体"/>
                <w:kern w:val="0"/>
                <w:sz w:val="18"/>
                <w:szCs w:val="18"/>
                <w:lang w:val="en-US" w:eastAsia="zh-CN"/>
              </w:rPr>
              <w:t>3</w:t>
            </w:r>
            <w:r>
              <w:rPr>
                <w:rFonts w:hint="eastAsia" w:ascii="宋体" w:hAnsi="宋体" w:cs="宋体"/>
                <w:kern w:val="0"/>
                <w:sz w:val="18"/>
                <w:szCs w:val="18"/>
              </w:rPr>
              <w:t>年通州区国家点位土壤普查外业调查采样工作</w:t>
            </w:r>
            <w:r>
              <w:rPr>
                <w:rFonts w:hint="eastAsia" w:ascii="宋体" w:hAnsi="宋体" w:cs="宋体"/>
                <w:kern w:val="0"/>
                <w:sz w:val="18"/>
                <w:szCs w:val="18"/>
                <w:lang w:eastAsia="zh-CN"/>
              </w:rPr>
              <w:t>；</w:t>
            </w:r>
          </w:p>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val="en-US" w:eastAsia="zh-CN"/>
              </w:rPr>
              <w:t>2.</w:t>
            </w:r>
            <w:r>
              <w:rPr>
                <w:rFonts w:hint="eastAsia" w:ascii="宋体" w:hAnsi="宋体" w:cs="宋体"/>
                <w:kern w:val="0"/>
                <w:sz w:val="18"/>
                <w:szCs w:val="18"/>
              </w:rPr>
              <w:t>完成文字成果：《通州区第三次全国土壤普查试点工作报告》《通州区第三次全国土壤普试点技术报告》《通州区第三次全国土壤普试点专题研究报告》《通州区2023 年第三次全国土壤普查全面实施方案》</w:t>
            </w:r>
            <w:r>
              <w:rPr>
                <w:rFonts w:hint="eastAsia" w:ascii="宋体" w:hAnsi="宋体" w:cs="宋体"/>
                <w:kern w:val="0"/>
                <w:sz w:val="18"/>
                <w:szCs w:val="18"/>
                <w:lang w:eastAsia="zh-CN"/>
              </w:rPr>
              <w:t>；</w:t>
            </w:r>
          </w:p>
          <w:p>
            <w:pPr>
              <w:widowControl/>
              <w:spacing w:line="240" w:lineRule="exact"/>
              <w:jc w:val="both"/>
              <w:rPr>
                <w:rFonts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完成图件成果：土壤类型图、土壤养分图、土壤质量分布图、专题图等。</w:t>
            </w:r>
          </w:p>
        </w:tc>
        <w:tc>
          <w:tcPr>
            <w:tcW w:w="3514" w:type="dxa"/>
            <w:gridSpan w:val="7"/>
            <w:vAlign w:val="center"/>
          </w:tcPr>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val="en-US" w:eastAsia="zh-CN"/>
              </w:rPr>
              <w:t>1.</w:t>
            </w:r>
            <w:r>
              <w:rPr>
                <w:rFonts w:hint="eastAsia" w:ascii="宋体" w:hAnsi="宋体" w:cs="宋体"/>
                <w:kern w:val="0"/>
                <w:sz w:val="18"/>
                <w:szCs w:val="18"/>
              </w:rPr>
              <w:t>完成</w:t>
            </w:r>
            <w:r>
              <w:rPr>
                <w:rFonts w:hint="eastAsia" w:ascii="宋体" w:hAnsi="宋体" w:cs="宋体"/>
                <w:kern w:val="0"/>
                <w:sz w:val="18"/>
                <w:szCs w:val="18"/>
                <w:lang w:val="en-US" w:eastAsia="zh-CN"/>
              </w:rPr>
              <w:t>了</w:t>
            </w:r>
            <w:r>
              <w:rPr>
                <w:rFonts w:hint="eastAsia" w:ascii="宋体" w:hAnsi="宋体" w:cs="宋体"/>
                <w:kern w:val="0"/>
                <w:sz w:val="18"/>
                <w:szCs w:val="18"/>
              </w:rPr>
              <w:t>202</w:t>
            </w:r>
            <w:r>
              <w:rPr>
                <w:rFonts w:hint="eastAsia" w:ascii="宋体" w:hAnsi="宋体" w:cs="宋体"/>
                <w:kern w:val="0"/>
                <w:sz w:val="18"/>
                <w:szCs w:val="18"/>
                <w:lang w:val="en-US" w:eastAsia="zh-CN"/>
              </w:rPr>
              <w:t>3</w:t>
            </w:r>
            <w:r>
              <w:rPr>
                <w:rFonts w:hint="eastAsia" w:ascii="宋体" w:hAnsi="宋体" w:cs="宋体"/>
                <w:kern w:val="0"/>
                <w:sz w:val="18"/>
                <w:szCs w:val="18"/>
              </w:rPr>
              <w:t>年通州区国家点位土壤普查外业调查采样工作，共涉及表层样点235个，剖面样点2个</w:t>
            </w:r>
            <w:r>
              <w:rPr>
                <w:rFonts w:hint="eastAsia" w:ascii="宋体" w:hAnsi="宋体" w:cs="宋体"/>
                <w:kern w:val="0"/>
                <w:sz w:val="18"/>
                <w:szCs w:val="18"/>
                <w:lang w:eastAsia="zh-CN"/>
              </w:rPr>
              <w:t>；</w:t>
            </w:r>
          </w:p>
          <w:p>
            <w:pPr>
              <w:widowControl/>
              <w:spacing w:line="240" w:lineRule="exact"/>
              <w:jc w:val="both"/>
              <w:rPr>
                <w:rFonts w:hint="eastAsia" w:ascii="宋体" w:hAnsi="宋体" w:cs="宋体"/>
                <w:kern w:val="0"/>
                <w:sz w:val="18"/>
                <w:szCs w:val="18"/>
                <w:lang w:val="en-US" w:eastAsia="zh-CN"/>
              </w:rPr>
            </w:pPr>
            <w:r>
              <w:rPr>
                <w:rFonts w:hint="eastAsia" w:ascii="宋体" w:hAnsi="宋体" w:cs="宋体"/>
                <w:kern w:val="0"/>
                <w:sz w:val="18"/>
                <w:szCs w:val="18"/>
                <w:lang w:val="en-US" w:eastAsia="zh-CN"/>
              </w:rPr>
              <w:t>2.超额完成了</w:t>
            </w:r>
            <w:r>
              <w:rPr>
                <w:rFonts w:hint="eastAsia" w:ascii="宋体" w:hAnsi="宋体" w:cs="宋体"/>
                <w:kern w:val="0"/>
                <w:sz w:val="18"/>
                <w:szCs w:val="18"/>
              </w:rPr>
              <w:t>《北京市通州区第三次全国土壤普查土特农产品适宜性评价专题报告》</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其他预期文字报告如期完成；</w:t>
            </w:r>
          </w:p>
          <w:p>
            <w:pPr>
              <w:widowControl/>
              <w:spacing w:line="240" w:lineRule="exact"/>
              <w:jc w:val="both"/>
              <w:rPr>
                <w:rFonts w:ascii="宋体" w:hAnsi="宋体" w:cs="宋体"/>
                <w:kern w:val="0"/>
                <w:sz w:val="18"/>
                <w:szCs w:val="18"/>
              </w:rPr>
            </w:pPr>
            <w:r>
              <w:rPr>
                <w:rFonts w:hint="eastAsia" w:ascii="宋体" w:hAnsi="宋体" w:cs="宋体"/>
                <w:kern w:val="0"/>
                <w:sz w:val="18"/>
                <w:szCs w:val="18"/>
                <w:lang w:val="en-US" w:eastAsia="zh-CN"/>
              </w:rPr>
              <w:t>3.完成了</w:t>
            </w:r>
            <w:r>
              <w:rPr>
                <w:rFonts w:hint="eastAsia" w:ascii="宋体" w:hAnsi="宋体" w:cs="宋体"/>
                <w:kern w:val="0"/>
                <w:sz w:val="18"/>
                <w:szCs w:val="18"/>
              </w:rPr>
              <w:t>土壤类型图、土壤养分图、土壤质量分布图、专题图等</w:t>
            </w:r>
            <w:r>
              <w:rPr>
                <w:rFonts w:hint="eastAsia" w:ascii="宋体" w:hAnsi="宋体" w:cs="宋体"/>
                <w:kern w:val="0"/>
                <w:sz w:val="18"/>
                <w:szCs w:val="18"/>
                <w:lang w:val="en-US" w:eastAsia="zh-CN"/>
              </w:rPr>
              <w:t>图件成果制定</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578"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0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89"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9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49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20"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46"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89" w:type="dxa"/>
            <w:gridSpan w:val="2"/>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表层样点</w:t>
            </w:r>
          </w:p>
        </w:tc>
        <w:tc>
          <w:tcPr>
            <w:tcW w:w="992"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235个</w:t>
            </w:r>
          </w:p>
        </w:tc>
        <w:tc>
          <w:tcPr>
            <w:tcW w:w="1006"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235个</w:t>
            </w:r>
          </w:p>
        </w:tc>
        <w:tc>
          <w:tcPr>
            <w:tcW w:w="494"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620"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hint="eastAsia" w:ascii="宋体" w:hAnsi="宋体" w:cs="宋体"/>
                <w:kern w:val="0"/>
                <w:sz w:val="18"/>
                <w:szCs w:val="18"/>
              </w:rPr>
            </w:pPr>
          </w:p>
        </w:tc>
        <w:tc>
          <w:tcPr>
            <w:tcW w:w="1046" w:type="dxa"/>
            <w:vMerge w:val="continue"/>
            <w:vAlign w:val="center"/>
          </w:tcPr>
          <w:p>
            <w:pPr>
              <w:widowControl/>
              <w:spacing w:line="240" w:lineRule="exact"/>
              <w:jc w:val="center"/>
              <w:rPr>
                <w:rFonts w:hint="eastAsia" w:ascii="宋体" w:hAnsi="宋体" w:cs="宋体"/>
                <w:kern w:val="0"/>
                <w:sz w:val="18"/>
                <w:szCs w:val="18"/>
              </w:rPr>
            </w:pPr>
          </w:p>
        </w:tc>
        <w:tc>
          <w:tcPr>
            <w:tcW w:w="1789" w:type="dxa"/>
            <w:gridSpan w:val="2"/>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文字成果数量</w:t>
            </w:r>
          </w:p>
        </w:tc>
        <w:tc>
          <w:tcPr>
            <w:tcW w:w="992"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4</w:t>
            </w:r>
            <w:r>
              <w:rPr>
                <w:rFonts w:hint="eastAsia" w:ascii="宋体" w:hAnsi="宋体" w:cs="宋体"/>
                <w:kern w:val="0"/>
                <w:sz w:val="18"/>
                <w:szCs w:val="18"/>
                <w:lang w:val="en-US" w:eastAsia="zh-CN"/>
              </w:rPr>
              <w:t>个</w:t>
            </w:r>
          </w:p>
        </w:tc>
        <w:tc>
          <w:tcPr>
            <w:tcW w:w="1006" w:type="dxa"/>
            <w:vAlign w:val="center"/>
          </w:tcPr>
          <w:p>
            <w:pPr>
              <w:spacing w:line="240" w:lineRule="exact"/>
              <w:jc w:val="center"/>
              <w:rPr>
                <w:rFonts w:hint="eastAsia" w:ascii="宋体" w:hAnsi="宋体" w:eastAsia="宋体" w:cs="宋体"/>
                <w:kern w:val="0"/>
                <w:sz w:val="18"/>
                <w:szCs w:val="18"/>
                <w:lang w:val="en-US" w:eastAsia="zh-CN"/>
              </w:rPr>
            </w:pPr>
            <w:r>
              <w:rPr>
                <w:rFonts w:ascii="宋体" w:hAnsi="宋体" w:cs="宋体"/>
                <w:kern w:val="0"/>
                <w:sz w:val="18"/>
                <w:szCs w:val="18"/>
              </w:rPr>
              <w:t>4</w:t>
            </w:r>
            <w:r>
              <w:rPr>
                <w:rFonts w:hint="eastAsia" w:ascii="宋体" w:hAnsi="宋体" w:cs="宋体"/>
                <w:kern w:val="0"/>
                <w:sz w:val="18"/>
                <w:szCs w:val="18"/>
                <w:lang w:val="en-US" w:eastAsia="zh-CN"/>
              </w:rPr>
              <w:t>个</w:t>
            </w:r>
          </w:p>
        </w:tc>
        <w:tc>
          <w:tcPr>
            <w:tcW w:w="494" w:type="dxa"/>
            <w:gridSpan w:val="2"/>
            <w:vAlign w:val="center"/>
          </w:tcPr>
          <w:p>
            <w:pPr>
              <w:spacing w:line="240" w:lineRule="exact"/>
              <w:jc w:val="center"/>
              <w:rPr>
                <w:rFonts w:ascii="宋体" w:hAnsi="宋体" w:cs="宋体"/>
                <w:kern w:val="0"/>
                <w:sz w:val="18"/>
                <w:szCs w:val="18"/>
              </w:rPr>
            </w:pPr>
            <w:r>
              <w:rPr>
                <w:rFonts w:ascii="宋体" w:hAnsi="宋体" w:cs="宋体"/>
                <w:kern w:val="0"/>
                <w:sz w:val="18"/>
                <w:szCs w:val="18"/>
              </w:rPr>
              <w:t>5</w:t>
            </w:r>
          </w:p>
        </w:tc>
        <w:tc>
          <w:tcPr>
            <w:tcW w:w="620" w:type="dxa"/>
            <w:gridSpan w:val="2"/>
            <w:vAlign w:val="center"/>
          </w:tcPr>
          <w:p>
            <w:pPr>
              <w:spacing w:line="240" w:lineRule="exact"/>
              <w:jc w:val="center"/>
              <w:rPr>
                <w:rFonts w:ascii="宋体" w:hAnsi="宋体" w:cs="宋体"/>
                <w:kern w:val="0"/>
                <w:sz w:val="18"/>
                <w:szCs w:val="18"/>
              </w:rPr>
            </w:pPr>
            <w:r>
              <w:rPr>
                <w:rFonts w:ascii="宋体" w:hAnsi="宋体" w:cs="宋体"/>
                <w:kern w:val="0"/>
                <w:sz w:val="18"/>
                <w:szCs w:val="18"/>
              </w:rPr>
              <w:t>5</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hint="eastAsia" w:ascii="宋体" w:hAnsi="宋体" w:cs="宋体"/>
                <w:kern w:val="0"/>
                <w:sz w:val="18"/>
                <w:szCs w:val="18"/>
              </w:rPr>
            </w:pPr>
          </w:p>
        </w:tc>
        <w:tc>
          <w:tcPr>
            <w:tcW w:w="1046" w:type="dxa"/>
            <w:vMerge w:val="continue"/>
            <w:vAlign w:val="center"/>
          </w:tcPr>
          <w:p>
            <w:pPr>
              <w:widowControl/>
              <w:spacing w:line="240" w:lineRule="exact"/>
              <w:jc w:val="center"/>
              <w:rPr>
                <w:rFonts w:hint="eastAsia" w:ascii="宋体" w:hAnsi="宋体" w:cs="宋体"/>
                <w:kern w:val="0"/>
                <w:sz w:val="18"/>
                <w:szCs w:val="18"/>
              </w:rPr>
            </w:pPr>
          </w:p>
        </w:tc>
        <w:tc>
          <w:tcPr>
            <w:tcW w:w="1789" w:type="dxa"/>
            <w:gridSpan w:val="2"/>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图件成果数量</w:t>
            </w:r>
          </w:p>
        </w:tc>
        <w:tc>
          <w:tcPr>
            <w:tcW w:w="992" w:type="dxa"/>
            <w:gridSpan w:val="2"/>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个</w:t>
            </w:r>
          </w:p>
        </w:tc>
        <w:tc>
          <w:tcPr>
            <w:tcW w:w="1006" w:type="dxa"/>
            <w:vAlign w:val="center"/>
          </w:tcPr>
          <w:p>
            <w:pPr>
              <w:spacing w:line="240" w:lineRule="exact"/>
              <w:jc w:val="center"/>
              <w:rPr>
                <w:rFonts w:hint="eastAsia" w:ascii="宋体" w:hAnsi="宋体" w:eastAsia="宋体" w:cs="宋体"/>
                <w:kern w:val="0"/>
                <w:sz w:val="18"/>
                <w:szCs w:val="18"/>
                <w:lang w:val="en-US" w:eastAsia="zh-CN"/>
              </w:rPr>
            </w:pPr>
            <w:r>
              <w:rPr>
                <w:rFonts w:ascii="宋体" w:hAnsi="宋体" w:cs="宋体"/>
                <w:kern w:val="0"/>
                <w:sz w:val="18"/>
                <w:szCs w:val="18"/>
              </w:rPr>
              <w:t>20</w:t>
            </w:r>
            <w:r>
              <w:rPr>
                <w:rFonts w:hint="eastAsia" w:ascii="宋体" w:hAnsi="宋体" w:cs="宋体"/>
                <w:kern w:val="0"/>
                <w:sz w:val="18"/>
                <w:szCs w:val="18"/>
                <w:lang w:val="en-US" w:eastAsia="zh-CN"/>
              </w:rPr>
              <w:t>个</w:t>
            </w:r>
          </w:p>
        </w:tc>
        <w:tc>
          <w:tcPr>
            <w:tcW w:w="494" w:type="dxa"/>
            <w:gridSpan w:val="2"/>
            <w:vAlign w:val="center"/>
          </w:tcPr>
          <w:p>
            <w:pPr>
              <w:spacing w:line="240" w:lineRule="exact"/>
              <w:jc w:val="center"/>
              <w:rPr>
                <w:rFonts w:ascii="宋体" w:hAnsi="宋体" w:cs="宋体"/>
                <w:kern w:val="0"/>
                <w:sz w:val="18"/>
                <w:szCs w:val="18"/>
              </w:rPr>
            </w:pPr>
            <w:r>
              <w:rPr>
                <w:rFonts w:ascii="宋体" w:hAnsi="宋体" w:cs="宋体"/>
                <w:kern w:val="0"/>
                <w:sz w:val="18"/>
                <w:szCs w:val="18"/>
              </w:rPr>
              <w:t>5</w:t>
            </w:r>
          </w:p>
        </w:tc>
        <w:tc>
          <w:tcPr>
            <w:tcW w:w="620" w:type="dxa"/>
            <w:gridSpan w:val="2"/>
            <w:vAlign w:val="center"/>
          </w:tcPr>
          <w:p>
            <w:pPr>
              <w:spacing w:line="240" w:lineRule="exact"/>
              <w:jc w:val="center"/>
              <w:rPr>
                <w:rFonts w:ascii="宋体" w:hAnsi="宋体" w:cs="宋体"/>
                <w:kern w:val="0"/>
                <w:sz w:val="18"/>
                <w:szCs w:val="18"/>
              </w:rPr>
            </w:pPr>
            <w:r>
              <w:rPr>
                <w:rFonts w:ascii="宋体" w:hAnsi="宋体" w:cs="宋体"/>
                <w:kern w:val="0"/>
                <w:sz w:val="18"/>
                <w:szCs w:val="18"/>
              </w:rPr>
              <w:t>5</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Merge w:val="continue"/>
            <w:vAlign w:val="center"/>
          </w:tcPr>
          <w:p>
            <w:pPr>
              <w:widowControl/>
              <w:spacing w:line="240" w:lineRule="exact"/>
              <w:jc w:val="center"/>
              <w:rPr>
                <w:rFonts w:ascii="宋体" w:hAnsi="宋体" w:cs="宋体"/>
                <w:kern w:val="0"/>
                <w:sz w:val="18"/>
                <w:szCs w:val="18"/>
              </w:rPr>
            </w:pPr>
          </w:p>
        </w:tc>
        <w:tc>
          <w:tcPr>
            <w:tcW w:w="1789" w:type="dxa"/>
            <w:gridSpan w:val="2"/>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剖面点</w:t>
            </w:r>
          </w:p>
        </w:tc>
        <w:tc>
          <w:tcPr>
            <w:tcW w:w="992" w:type="dxa"/>
            <w:gridSpan w:val="2"/>
            <w:vAlign w:val="center"/>
          </w:tcPr>
          <w:p>
            <w:pPr>
              <w:jc w:val="center"/>
            </w:pPr>
            <w:r>
              <w:rPr>
                <w:rFonts w:ascii="宋体" w:hAnsi="宋体" w:cs="宋体"/>
                <w:kern w:val="0"/>
                <w:sz w:val="18"/>
                <w:szCs w:val="18"/>
              </w:rPr>
              <w:t>2个</w:t>
            </w:r>
          </w:p>
        </w:tc>
        <w:tc>
          <w:tcPr>
            <w:tcW w:w="1006" w:type="dxa"/>
            <w:vAlign w:val="center"/>
          </w:tcPr>
          <w:p>
            <w:pPr>
              <w:jc w:val="center"/>
            </w:pPr>
            <w:r>
              <w:rPr>
                <w:rFonts w:ascii="宋体" w:hAnsi="宋体" w:cs="宋体"/>
                <w:kern w:val="0"/>
                <w:sz w:val="18"/>
                <w:szCs w:val="18"/>
              </w:rPr>
              <w:t>2个</w:t>
            </w:r>
          </w:p>
        </w:tc>
        <w:tc>
          <w:tcPr>
            <w:tcW w:w="494"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620" w:type="dxa"/>
            <w:gridSpan w:val="2"/>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89" w:type="dxa"/>
            <w:gridSpan w:val="2"/>
            <w:vAlign w:val="center"/>
          </w:tcPr>
          <w:p>
            <w:pPr>
              <w:jc w:val="both"/>
              <w:rPr>
                <w:rFonts w:ascii="宋体" w:hAnsi="宋体" w:cs="宋体"/>
                <w:kern w:val="0"/>
                <w:sz w:val="18"/>
                <w:szCs w:val="18"/>
              </w:rPr>
            </w:pPr>
            <w:r>
              <w:rPr>
                <w:rFonts w:hint="eastAsia" w:ascii="宋体" w:hAnsi="宋体" w:cs="宋体"/>
                <w:kern w:val="0"/>
                <w:sz w:val="18"/>
                <w:szCs w:val="18"/>
              </w:rPr>
              <w:t>科学规范，通过验收</w:t>
            </w:r>
          </w:p>
        </w:tc>
        <w:tc>
          <w:tcPr>
            <w:tcW w:w="992" w:type="dxa"/>
            <w:gridSpan w:val="2"/>
            <w:vAlign w:val="center"/>
          </w:tcPr>
          <w:p>
            <w:pPr>
              <w:jc w:val="center"/>
              <w:rPr>
                <w:rFonts w:ascii="宋体" w:hAnsi="宋体" w:cs="宋体"/>
                <w:kern w:val="0"/>
                <w:sz w:val="18"/>
                <w:szCs w:val="18"/>
              </w:rPr>
            </w:pPr>
            <w:r>
              <w:rPr>
                <w:rFonts w:hint="eastAsia" w:ascii="宋体" w:hAnsi="宋体" w:cs="宋体"/>
                <w:kern w:val="0"/>
                <w:sz w:val="18"/>
                <w:szCs w:val="18"/>
              </w:rPr>
              <w:t>通过</w:t>
            </w:r>
          </w:p>
        </w:tc>
        <w:tc>
          <w:tcPr>
            <w:tcW w:w="1006" w:type="dxa"/>
            <w:vAlign w:val="center"/>
          </w:tcPr>
          <w:p>
            <w:pPr>
              <w:jc w:val="center"/>
              <w:rPr>
                <w:rFonts w:ascii="宋体" w:hAnsi="宋体" w:cs="宋体"/>
                <w:kern w:val="0"/>
                <w:sz w:val="18"/>
                <w:szCs w:val="18"/>
              </w:rPr>
            </w:pPr>
            <w:r>
              <w:rPr>
                <w:rFonts w:hint="eastAsia" w:ascii="宋体" w:hAnsi="宋体" w:cs="宋体"/>
                <w:kern w:val="0"/>
                <w:sz w:val="18"/>
                <w:szCs w:val="18"/>
              </w:rPr>
              <w:t>通过</w:t>
            </w:r>
          </w:p>
        </w:tc>
        <w:tc>
          <w:tcPr>
            <w:tcW w:w="49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620"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89" w:type="dxa"/>
            <w:gridSpan w:val="2"/>
            <w:vAlign w:val="center"/>
          </w:tcPr>
          <w:p>
            <w:pPr>
              <w:jc w:val="both"/>
              <w:rPr>
                <w:rFonts w:ascii="宋体" w:hAnsi="宋体" w:cs="宋体"/>
                <w:kern w:val="0"/>
                <w:sz w:val="18"/>
                <w:szCs w:val="18"/>
              </w:rPr>
            </w:pPr>
            <w:r>
              <w:rPr>
                <w:rFonts w:hint="eastAsia" w:ascii="宋体" w:hAnsi="宋体" w:cs="宋体"/>
                <w:kern w:val="0"/>
                <w:sz w:val="18"/>
                <w:szCs w:val="18"/>
              </w:rPr>
              <w:t>按时完成</w:t>
            </w:r>
          </w:p>
        </w:tc>
        <w:tc>
          <w:tcPr>
            <w:tcW w:w="992" w:type="dxa"/>
            <w:gridSpan w:val="2"/>
            <w:vAlign w:val="center"/>
          </w:tcPr>
          <w:p>
            <w:pPr>
              <w:jc w:val="center"/>
              <w:rPr>
                <w:rFonts w:ascii="宋体" w:hAnsi="宋体" w:cs="宋体"/>
                <w:kern w:val="0"/>
                <w:sz w:val="18"/>
                <w:szCs w:val="18"/>
              </w:rPr>
            </w:pPr>
            <w:r>
              <w:rPr>
                <w:rFonts w:hint="eastAsia" w:ascii="宋体" w:hAnsi="宋体" w:cs="宋体"/>
                <w:kern w:val="0"/>
                <w:sz w:val="18"/>
                <w:szCs w:val="18"/>
              </w:rPr>
              <w:t>按时</w:t>
            </w:r>
          </w:p>
        </w:tc>
        <w:tc>
          <w:tcPr>
            <w:tcW w:w="1006" w:type="dxa"/>
            <w:vAlign w:val="center"/>
          </w:tcPr>
          <w:p>
            <w:pPr>
              <w:jc w:val="center"/>
              <w:rPr>
                <w:rFonts w:ascii="宋体" w:hAnsi="宋体" w:cs="宋体"/>
                <w:kern w:val="0"/>
                <w:sz w:val="18"/>
                <w:szCs w:val="18"/>
              </w:rPr>
            </w:pPr>
            <w:r>
              <w:rPr>
                <w:rFonts w:hint="eastAsia" w:ascii="宋体" w:hAnsi="宋体" w:cs="宋体"/>
                <w:kern w:val="0"/>
                <w:sz w:val="18"/>
                <w:szCs w:val="18"/>
              </w:rPr>
              <w:t>按时</w:t>
            </w:r>
          </w:p>
        </w:tc>
        <w:tc>
          <w:tcPr>
            <w:tcW w:w="49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620"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89" w:type="dxa"/>
            <w:gridSpan w:val="2"/>
            <w:vAlign w:val="center"/>
          </w:tcPr>
          <w:p>
            <w:pPr>
              <w:jc w:val="both"/>
              <w:rPr>
                <w:rFonts w:ascii="宋体" w:hAnsi="宋体" w:cs="宋体"/>
                <w:kern w:val="0"/>
                <w:sz w:val="18"/>
                <w:szCs w:val="18"/>
              </w:rPr>
            </w:pPr>
            <w:r>
              <w:rPr>
                <w:rFonts w:hint="eastAsia" w:ascii="宋体" w:hAnsi="宋体" w:cs="宋体"/>
                <w:kern w:val="0"/>
                <w:sz w:val="18"/>
                <w:szCs w:val="18"/>
              </w:rPr>
              <w:t>项目成本</w:t>
            </w:r>
          </w:p>
        </w:tc>
        <w:tc>
          <w:tcPr>
            <w:tcW w:w="992" w:type="dxa"/>
            <w:gridSpan w:val="2"/>
            <w:vAlign w:val="center"/>
          </w:tcPr>
          <w:p>
            <w:pPr>
              <w:jc w:val="center"/>
            </w:pPr>
            <w:r>
              <w:rPr>
                <w:rFonts w:hint="eastAsia" w:ascii="宋体" w:hAnsi="宋体" w:cs="宋体"/>
                <w:kern w:val="0"/>
                <w:sz w:val="18"/>
                <w:szCs w:val="18"/>
                <w:lang w:val="en-US" w:eastAsia="zh-CN"/>
              </w:rPr>
              <w:t>86.05</w:t>
            </w:r>
            <w:r>
              <w:rPr>
                <w:rFonts w:ascii="宋体" w:hAnsi="宋体" w:cs="宋体"/>
                <w:kern w:val="0"/>
                <w:sz w:val="18"/>
                <w:szCs w:val="18"/>
              </w:rPr>
              <w:t>万元</w:t>
            </w:r>
          </w:p>
        </w:tc>
        <w:tc>
          <w:tcPr>
            <w:tcW w:w="1006" w:type="dxa"/>
            <w:vAlign w:val="center"/>
          </w:tcPr>
          <w:p>
            <w:pPr>
              <w:jc w:val="center"/>
            </w:pPr>
            <w:r>
              <w:rPr>
                <w:rFonts w:ascii="宋体" w:hAnsi="宋体" w:cs="宋体"/>
                <w:kern w:val="0"/>
                <w:sz w:val="18"/>
                <w:szCs w:val="18"/>
              </w:rPr>
              <w:t>85.03万元</w:t>
            </w:r>
          </w:p>
        </w:tc>
        <w:tc>
          <w:tcPr>
            <w:tcW w:w="49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620"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89" w:type="dxa"/>
            <w:gridSpan w:val="2"/>
            <w:vAlign w:val="center"/>
          </w:tcPr>
          <w:p>
            <w:pPr>
              <w:jc w:val="both"/>
              <w:rPr>
                <w:rFonts w:ascii="宋体" w:hAnsi="宋体" w:cs="宋体"/>
                <w:kern w:val="0"/>
                <w:sz w:val="18"/>
                <w:szCs w:val="18"/>
              </w:rPr>
            </w:pPr>
            <w:r>
              <w:rPr>
                <w:rFonts w:hint="eastAsia" w:ascii="宋体" w:hAnsi="宋体" w:cs="宋体"/>
                <w:kern w:val="0"/>
                <w:sz w:val="18"/>
                <w:szCs w:val="18"/>
              </w:rPr>
              <w:t>掌握农用地土壤状况</w:t>
            </w:r>
          </w:p>
        </w:tc>
        <w:tc>
          <w:tcPr>
            <w:tcW w:w="992" w:type="dxa"/>
            <w:gridSpan w:val="2"/>
            <w:vAlign w:val="center"/>
          </w:tcPr>
          <w:p>
            <w:pPr>
              <w:jc w:val="center"/>
              <w:rPr>
                <w:rFonts w:ascii="宋体" w:hAnsi="宋体" w:cs="宋体"/>
                <w:kern w:val="0"/>
                <w:sz w:val="18"/>
                <w:szCs w:val="18"/>
              </w:rPr>
            </w:pPr>
            <w:r>
              <w:rPr>
                <w:rFonts w:hint="eastAsia" w:ascii="宋体" w:hAnsi="宋体" w:cs="宋体"/>
                <w:kern w:val="0"/>
                <w:sz w:val="18"/>
                <w:szCs w:val="18"/>
              </w:rPr>
              <w:t>基本掌握</w:t>
            </w:r>
          </w:p>
        </w:tc>
        <w:tc>
          <w:tcPr>
            <w:tcW w:w="1006" w:type="dxa"/>
            <w:vAlign w:val="center"/>
          </w:tcPr>
          <w:p>
            <w:pPr>
              <w:jc w:val="center"/>
              <w:rPr>
                <w:rFonts w:ascii="宋体" w:hAnsi="宋体" w:cs="宋体"/>
                <w:kern w:val="0"/>
                <w:sz w:val="18"/>
                <w:szCs w:val="18"/>
              </w:rPr>
            </w:pPr>
            <w:r>
              <w:rPr>
                <w:rFonts w:hint="eastAsia" w:ascii="宋体" w:hAnsi="宋体" w:cs="宋体"/>
                <w:kern w:val="0"/>
                <w:sz w:val="18"/>
                <w:szCs w:val="18"/>
              </w:rPr>
              <w:t>基本掌握</w:t>
            </w:r>
          </w:p>
        </w:tc>
        <w:tc>
          <w:tcPr>
            <w:tcW w:w="494" w:type="dxa"/>
            <w:gridSpan w:val="2"/>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620" w:type="dxa"/>
            <w:gridSpan w:val="2"/>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89" w:type="dxa"/>
            <w:gridSpan w:val="2"/>
            <w:vAlign w:val="center"/>
          </w:tcPr>
          <w:p>
            <w:pPr>
              <w:widowControl/>
              <w:spacing w:line="240" w:lineRule="exact"/>
              <w:jc w:val="both"/>
              <w:rPr>
                <w:rFonts w:ascii="宋体" w:hAnsi="宋体" w:cs="宋体"/>
                <w:kern w:val="0"/>
                <w:sz w:val="18"/>
                <w:szCs w:val="18"/>
              </w:rPr>
            </w:pPr>
            <w:r>
              <w:rPr>
                <w:rFonts w:ascii="宋体" w:hAnsi="宋体" w:cs="宋体"/>
                <w:kern w:val="0"/>
                <w:sz w:val="18"/>
                <w:szCs w:val="18"/>
              </w:rPr>
              <w:t>保护农用地生态功能</w:t>
            </w:r>
          </w:p>
        </w:tc>
        <w:tc>
          <w:tcPr>
            <w:tcW w:w="99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有效保护</w:t>
            </w:r>
          </w:p>
        </w:tc>
        <w:tc>
          <w:tcPr>
            <w:tcW w:w="10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有效保护</w:t>
            </w:r>
          </w:p>
        </w:tc>
        <w:tc>
          <w:tcPr>
            <w:tcW w:w="49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620" w:type="dxa"/>
            <w:gridSpan w:val="2"/>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Merge w:val="continue"/>
            <w:vAlign w:val="center"/>
          </w:tcPr>
          <w:p>
            <w:pPr>
              <w:widowControl/>
              <w:spacing w:line="240" w:lineRule="exact"/>
              <w:jc w:val="center"/>
              <w:rPr>
                <w:rFonts w:ascii="宋体" w:hAnsi="宋体" w:cs="宋体"/>
                <w:kern w:val="0"/>
                <w:sz w:val="18"/>
                <w:szCs w:val="18"/>
              </w:rPr>
            </w:pP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89" w:type="dxa"/>
            <w:gridSpan w:val="2"/>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农用地可持续利用</w:t>
            </w:r>
          </w:p>
        </w:tc>
        <w:tc>
          <w:tcPr>
            <w:tcW w:w="99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w:t>
            </w:r>
          </w:p>
        </w:tc>
        <w:tc>
          <w:tcPr>
            <w:tcW w:w="1006" w:type="dxa"/>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可持续</w:t>
            </w:r>
          </w:p>
        </w:tc>
        <w:tc>
          <w:tcPr>
            <w:tcW w:w="49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20" w:type="dxa"/>
            <w:gridSpan w:val="2"/>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578" w:type="dxa"/>
            <w:vMerge w:val="continue"/>
            <w:vAlign w:val="center"/>
          </w:tcPr>
          <w:p>
            <w:pPr>
              <w:widowControl/>
              <w:spacing w:line="240" w:lineRule="exact"/>
              <w:jc w:val="center"/>
              <w:rPr>
                <w:rFonts w:ascii="宋体" w:hAnsi="宋体" w:cs="宋体"/>
                <w:kern w:val="0"/>
                <w:sz w:val="18"/>
                <w:szCs w:val="18"/>
              </w:rPr>
            </w:pPr>
          </w:p>
        </w:tc>
        <w:tc>
          <w:tcPr>
            <w:tcW w:w="100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4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89" w:type="dxa"/>
            <w:gridSpan w:val="2"/>
            <w:vAlign w:val="center"/>
          </w:tcPr>
          <w:p>
            <w:pPr>
              <w:jc w:val="both"/>
              <w:rPr>
                <w:rFonts w:ascii="宋体" w:hAnsi="宋体" w:cs="宋体"/>
                <w:kern w:val="0"/>
                <w:sz w:val="18"/>
                <w:szCs w:val="18"/>
              </w:rPr>
            </w:pPr>
            <w:r>
              <w:rPr>
                <w:rFonts w:hint="eastAsia" w:ascii="宋体" w:hAnsi="宋体" w:cs="宋体"/>
                <w:kern w:val="0"/>
                <w:sz w:val="18"/>
                <w:szCs w:val="18"/>
              </w:rPr>
              <w:t>乡镇满意度</w:t>
            </w:r>
          </w:p>
        </w:tc>
        <w:tc>
          <w:tcPr>
            <w:tcW w:w="992" w:type="dxa"/>
            <w:gridSpan w:val="2"/>
            <w:vAlign w:val="center"/>
          </w:tcPr>
          <w:p>
            <w:pPr>
              <w:jc w:val="center"/>
              <w:rPr>
                <w:rFonts w:ascii="宋体" w:hAnsi="宋体" w:cs="宋体"/>
                <w:kern w:val="0"/>
                <w:sz w:val="18"/>
                <w:szCs w:val="18"/>
              </w:rPr>
            </w:pPr>
            <w:r>
              <w:rPr>
                <w:rFonts w:hint="eastAsia" w:ascii="宋体" w:hAnsi="宋体" w:cs="宋体"/>
                <w:kern w:val="0"/>
                <w:sz w:val="18"/>
                <w:szCs w:val="18"/>
              </w:rPr>
              <w:t>≥90%</w:t>
            </w:r>
          </w:p>
        </w:tc>
        <w:tc>
          <w:tcPr>
            <w:tcW w:w="1006"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494" w:type="dxa"/>
            <w:gridSpan w:val="2"/>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620" w:type="dxa"/>
            <w:gridSpan w:val="2"/>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420" w:type="dxa"/>
            <w:gridSpan w:val="8"/>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49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20" w:type="dxa"/>
            <w:gridSpan w:val="2"/>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2"/>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55"/>
        <w:gridCol w:w="589"/>
        <w:gridCol w:w="589"/>
        <w:gridCol w:w="600"/>
        <w:gridCol w:w="912"/>
        <w:gridCol w:w="285"/>
        <w:gridCol w:w="1116"/>
        <w:gridCol w:w="856"/>
        <w:gridCol w:w="336"/>
        <w:gridCol w:w="808"/>
        <w:gridCol w:w="55"/>
        <w:gridCol w:w="591"/>
        <w:gridCol w:w="2"/>
        <w:gridCol w:w="597"/>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5000"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000" w:type="pct"/>
            <w:gridSpan w:val="1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pct"/>
            <w:gridSpan w:val="2"/>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27" w:type="pct"/>
            <w:gridSpan w:val="13"/>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2023年耕地建设与利用资金-高标准农田建设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055"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北京市通州区农业农村局</w:t>
            </w:r>
          </w:p>
        </w:tc>
        <w:tc>
          <w:tcPr>
            <w:tcW w:w="5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70" w:type="pct"/>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张家湾、漷县、西集、马驹桥、永乐店镇政府、于家务乡政府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055"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王连春</w:t>
            </w:r>
          </w:p>
        </w:tc>
        <w:tc>
          <w:tcPr>
            <w:tcW w:w="5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1770" w:type="pct"/>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13671367693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2" w:type="pct"/>
            <w:gridSpan w:val="2"/>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698" w:type="pct"/>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53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21"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02"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98"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36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2" w:type="pct"/>
            <w:gridSpan w:val="2"/>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698" w:type="pct"/>
            <w:gridSpan w:val="2"/>
            <w:vMerge w:val="restart"/>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35" w:type="pct"/>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2476</w:t>
            </w:r>
          </w:p>
        </w:tc>
        <w:tc>
          <w:tcPr>
            <w:tcW w:w="821" w:type="pct"/>
            <w:gridSpan w:val="2"/>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2476</w:t>
            </w:r>
          </w:p>
        </w:tc>
        <w:tc>
          <w:tcPr>
            <w:tcW w:w="502" w:type="pct"/>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2476</w:t>
            </w:r>
          </w:p>
        </w:tc>
        <w:tc>
          <w:tcPr>
            <w:tcW w:w="702" w:type="pct"/>
            <w:gridSpan w:val="3"/>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8" w:type="pct"/>
            <w:gridSpan w:val="3"/>
            <w:vMerge w:val="restart"/>
            <w:shd w:val="clear" w:color="auto" w:fill="auto"/>
            <w:vAlign w:val="center"/>
          </w:tcPr>
          <w:p>
            <w:pPr>
              <w:keepNext w:val="0"/>
              <w:keepLines w:val="0"/>
              <w:widowControl/>
              <w:suppressLineNumbers w:val="0"/>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369" w:type="pct"/>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pct"/>
            <w:gridSpan w:val="2"/>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698" w:type="pct"/>
            <w:gridSpan w:val="2"/>
            <w:vMerge w:val="continue"/>
            <w:shd w:val="clear" w:color="auto" w:fill="auto"/>
            <w:vAlign w:val="center"/>
          </w:tcPr>
          <w:p>
            <w:pPr>
              <w:spacing w:line="240" w:lineRule="exact"/>
              <w:jc w:val="both"/>
              <w:rPr>
                <w:rFonts w:hint="eastAsia" w:ascii="宋体" w:hAnsi="宋体" w:eastAsia="宋体" w:cs="宋体"/>
                <w:i w:val="0"/>
                <w:iCs w:val="0"/>
                <w:color w:val="000000"/>
                <w:sz w:val="18"/>
                <w:szCs w:val="18"/>
                <w:u w:val="none"/>
              </w:rPr>
            </w:pPr>
          </w:p>
        </w:tc>
        <w:tc>
          <w:tcPr>
            <w:tcW w:w="535" w:type="pct"/>
            <w:vMerge w:val="continue"/>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821" w:type="pct"/>
            <w:gridSpan w:val="2"/>
            <w:vMerge w:val="continue"/>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502" w:type="pct"/>
            <w:vMerge w:val="continue"/>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702" w:type="pct"/>
            <w:gridSpan w:val="3"/>
            <w:vMerge w:val="continue"/>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698" w:type="pct"/>
            <w:gridSpan w:val="3"/>
            <w:vMerge w:val="continue"/>
            <w:shd w:val="clear" w:color="auto" w:fill="auto"/>
            <w:vAlign w:val="center"/>
          </w:tcPr>
          <w:p>
            <w:pPr>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69" w:type="pct"/>
            <w:vMerge w:val="continue"/>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pct"/>
            <w:gridSpan w:val="2"/>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535"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2476</w:t>
            </w:r>
          </w:p>
        </w:tc>
        <w:tc>
          <w:tcPr>
            <w:tcW w:w="821"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2476</w:t>
            </w:r>
          </w:p>
        </w:tc>
        <w:tc>
          <w:tcPr>
            <w:tcW w:w="502"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2476</w:t>
            </w:r>
          </w:p>
        </w:tc>
        <w:tc>
          <w:tcPr>
            <w:tcW w:w="702"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8"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369"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pct"/>
            <w:gridSpan w:val="2"/>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535" w:type="pct"/>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821" w:type="pct"/>
            <w:gridSpan w:val="2"/>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502" w:type="pct"/>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702"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8" w:type="pct"/>
            <w:gridSpan w:val="3"/>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369"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pct"/>
            <w:gridSpan w:val="2"/>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35" w:type="pct"/>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821" w:type="pct"/>
            <w:gridSpan w:val="2"/>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502" w:type="pct"/>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702"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8" w:type="pct"/>
            <w:gridSpan w:val="3"/>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369"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401" w:type="pct"/>
            <w:gridSpan w:val="6"/>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272" w:type="pct"/>
            <w:gridSpan w:val="8"/>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2401" w:type="pct"/>
            <w:gridSpan w:val="6"/>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1.下达通州区2023年一期高标准农田建设项目批复；</w:t>
            </w:r>
          </w:p>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2.完成通州区2022年二期高标标农田建设项目。</w:t>
            </w:r>
          </w:p>
        </w:tc>
        <w:tc>
          <w:tcPr>
            <w:tcW w:w="2272" w:type="pct"/>
            <w:gridSpan w:val="8"/>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1.年度内完成通州区2023年一期高标准农田建设项目批复下达工作；</w:t>
            </w:r>
          </w:p>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2.完成通州区2022年二期高标标农田建设10000亩。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6"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346"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46" w:type="pct"/>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54"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w:t>
            </w:r>
          </w:p>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w:t>
            </w:r>
          </w:p>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79"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21"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26" w:type="pct"/>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6"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46" w:type="pct"/>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启动建设2023年一期高标准农田16474亩</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16474亩</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16474亩</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79"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721" w:type="pct"/>
            <w:gridSpan w:val="3"/>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26" w:type="pct"/>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vMerge w:val="continue"/>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完成2022年二期高标准农田建设10000亩</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10000亩</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10000亩</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79"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721" w:type="pct"/>
            <w:gridSpan w:val="3"/>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高标准农田建设验收合格率</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9"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1" w:type="pct"/>
            <w:gridSpan w:val="3"/>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2023年年底下发2023年高标准农田建设项目立项批复</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12月31日前</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已下发</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9"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pct"/>
            <w:gridSpan w:val="3"/>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vMerge w:val="continue"/>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2023年年底完成10000亩高标建设区级验收</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12月31日前</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完成验收</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9"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pct"/>
            <w:gridSpan w:val="3"/>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项目资金支持标准</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符合市级规定标准</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9"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1" w:type="pct"/>
            <w:gridSpan w:val="3"/>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326" w:type="pct"/>
            <w:vMerge w:val="continue"/>
            <w:shd w:val="clear" w:color="auto" w:fill="auto"/>
            <w:vAlign w:val="center"/>
          </w:tcPr>
          <w:p>
            <w:pPr>
              <w:widowControl/>
              <w:jc w:val="center"/>
              <w:textAlignment w:val="center"/>
              <w:rPr>
                <w:rFonts w:hint="eastAsia" w:ascii="宋体" w:hAnsi="宋体" w:eastAsia="宋体" w:cs="宋体"/>
                <w:i w:val="0"/>
                <w:iCs w:val="0"/>
                <w:color w:val="000000"/>
                <w:kern w:val="0"/>
                <w:sz w:val="18"/>
                <w:szCs w:val="18"/>
                <w:u w:val="none"/>
                <w:lang w:bidi="ar"/>
              </w:rPr>
            </w:pPr>
          </w:p>
        </w:tc>
        <w:tc>
          <w:tcPr>
            <w:tcW w:w="346"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效益指标</w:t>
            </w:r>
          </w:p>
        </w:tc>
        <w:tc>
          <w:tcPr>
            <w:tcW w:w="346"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经济效益</w:t>
            </w: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提高粮食产量</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农田基础设施建设及农田地力提升工程得到改善</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改善</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0"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9" w:type="pct"/>
            <w:gridSpan w:val="2"/>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田间道路通达率</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0"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9" w:type="pct"/>
            <w:gridSpan w:val="2"/>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vMerge w:val="restart"/>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效益指标</w:t>
            </w:r>
          </w:p>
        </w:tc>
        <w:tc>
          <w:tcPr>
            <w:tcW w:w="346" w:type="pct"/>
            <w:vMerge w:val="continue"/>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建设农田综合生产能力</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明显提升</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明显提升</w:t>
            </w:r>
          </w:p>
        </w:tc>
        <w:tc>
          <w:tcPr>
            <w:tcW w:w="474" w:type="pct"/>
            <w:shd w:val="clear" w:color="auto" w:fill="auto"/>
            <w:vAlign w:val="center"/>
          </w:tcPr>
          <w:p>
            <w:pPr>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380" w:type="pct"/>
            <w:gridSpan w:val="3"/>
            <w:shd w:val="clear" w:color="auto" w:fill="auto"/>
            <w:vAlign w:val="center"/>
          </w:tcPr>
          <w:p>
            <w:pPr>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719" w:type="pct"/>
            <w:gridSpan w:val="2"/>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vMerge w:val="restar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w:t>
            </w:r>
          </w:p>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耕地质量逐步提升</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农田地力提升明显</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提升明显</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0"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9" w:type="pct"/>
            <w:gridSpan w:val="2"/>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vMerge w:val="continue"/>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高标准农田平均节水率</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0"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9" w:type="pct"/>
            <w:gridSpan w:val="2"/>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水资源利用率逐步提升</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高效节水工程得以改善</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0"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9" w:type="pct"/>
            <w:gridSpan w:val="2"/>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 w:type="pct"/>
            <w:vMerge w:val="continue"/>
            <w:shd w:val="clear" w:color="auto" w:fill="auto"/>
            <w:vAlign w:val="center"/>
          </w:tcPr>
          <w:p>
            <w:pPr>
              <w:jc w:val="center"/>
              <w:rPr>
                <w:rFonts w:hint="eastAsia" w:ascii="等线" w:hAnsi="等线" w:eastAsia="等线" w:cs="等线"/>
                <w:i w:val="0"/>
                <w:iCs w:val="0"/>
                <w:color w:val="000000"/>
                <w:sz w:val="22"/>
                <w:szCs w:val="22"/>
                <w:u w:val="none"/>
              </w:rPr>
            </w:pPr>
          </w:p>
        </w:tc>
        <w:tc>
          <w:tcPr>
            <w:tcW w:w="3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346"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54" w:type="pct"/>
            <w:gridSpan w:val="3"/>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受益群众满意率≥90%</w:t>
            </w:r>
          </w:p>
        </w:tc>
        <w:tc>
          <w:tcPr>
            <w:tcW w:w="65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98" w:type="pct"/>
            <w:gridSpan w:val="2"/>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4" w:type="pct"/>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0" w:type="pct"/>
            <w:gridSpan w:val="3"/>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9" w:type="pct"/>
            <w:gridSpan w:val="2"/>
            <w:shd w:val="clear" w:color="auto" w:fill="auto"/>
            <w:vAlign w:val="center"/>
          </w:tcPr>
          <w:p>
            <w:pPr>
              <w:spacing w:line="240" w:lineRule="exact"/>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425" w:type="pct"/>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80"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719" w:type="pct"/>
            <w:gridSpan w:val="2"/>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928" w:type="dxa"/>
            <w:gridSpan w:val="14"/>
            <w:tcBorders>
              <w:top w:val="nil"/>
              <w:left w:val="nil"/>
              <w:bottom w:val="single" w:color="auto" w:sz="4" w:space="0"/>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tcBorders>
              <w:top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2020年农业农村改革发展资金（设施农业）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vAlign w:val="center"/>
          </w:tcPr>
          <w:p>
            <w:pPr>
              <w:widowControl/>
              <w:spacing w:line="240" w:lineRule="exact"/>
              <w:jc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北京市通州区农业农村局</w:t>
            </w:r>
          </w:p>
        </w:tc>
        <w:tc>
          <w:tcPr>
            <w:tcW w:w="1050"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北京市</w:t>
            </w:r>
            <w:r>
              <w:rPr>
                <w:rFonts w:hint="eastAsia" w:ascii="宋体" w:hAnsi="宋体" w:cs="宋体"/>
                <w:color w:val="auto"/>
                <w:kern w:val="0"/>
                <w:sz w:val="18"/>
                <w:szCs w:val="18"/>
              </w:rPr>
              <w:t>通州区农业农村局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项目负责人</w:t>
            </w:r>
          </w:p>
        </w:tc>
        <w:tc>
          <w:tcPr>
            <w:tcW w:w="4025" w:type="dxa"/>
            <w:gridSpan w:val="5"/>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杨跃方</w:t>
            </w:r>
          </w:p>
        </w:tc>
        <w:tc>
          <w:tcPr>
            <w:tcW w:w="1050"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联系电话</w:t>
            </w:r>
          </w:p>
        </w:tc>
        <w:tc>
          <w:tcPr>
            <w:tcW w:w="2306" w:type="dxa"/>
            <w:gridSpan w:val="5"/>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81582565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47" w:type="dxa"/>
            <w:gridSpan w:val="2"/>
            <w:vMerge w:val="restart"/>
            <w:vAlign w:val="center"/>
          </w:tcPr>
          <w:p>
            <w:pPr>
              <w:widowControl/>
              <w:spacing w:line="56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vAlign w:val="center"/>
          </w:tcPr>
          <w:p>
            <w:pPr>
              <w:widowControl/>
              <w:spacing w:line="240" w:lineRule="exact"/>
              <w:jc w:val="center"/>
              <w:rPr>
                <w:rFonts w:hint="eastAsia" w:ascii="宋体" w:hAnsi="宋体" w:cs="宋体"/>
                <w:color w:val="auto"/>
                <w:kern w:val="0"/>
                <w:sz w:val="18"/>
                <w:szCs w:val="18"/>
              </w:rPr>
            </w:pPr>
          </w:p>
        </w:tc>
        <w:tc>
          <w:tcPr>
            <w:tcW w:w="1114"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执行率</w:t>
            </w:r>
          </w:p>
        </w:tc>
        <w:tc>
          <w:tcPr>
            <w:tcW w:w="699"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hint="eastAsia" w:ascii="宋体" w:hAnsi="宋体" w:cs="宋体"/>
                <w:color w:val="auto"/>
                <w:kern w:val="0"/>
                <w:sz w:val="18"/>
                <w:szCs w:val="18"/>
              </w:rPr>
            </w:pPr>
          </w:p>
        </w:tc>
        <w:tc>
          <w:tcPr>
            <w:tcW w:w="1804" w:type="dxa"/>
            <w:gridSpan w:val="2"/>
            <w:vAlign w:val="center"/>
          </w:tcPr>
          <w:p>
            <w:pPr>
              <w:widowControl/>
              <w:spacing w:line="240" w:lineRule="exact"/>
              <w:rPr>
                <w:rFonts w:hint="eastAsia"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2398.98</w:t>
            </w:r>
          </w:p>
        </w:tc>
        <w:tc>
          <w:tcPr>
            <w:tcW w:w="110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2398.98</w:t>
            </w:r>
          </w:p>
        </w:tc>
        <w:tc>
          <w:tcPr>
            <w:tcW w:w="1050"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2398.98</w:t>
            </w:r>
          </w:p>
        </w:tc>
        <w:tc>
          <w:tcPr>
            <w:tcW w:w="771"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hint="eastAsia" w:ascii="宋体" w:hAnsi="宋体" w:cs="宋体"/>
                <w:color w:val="auto"/>
                <w:kern w:val="0"/>
                <w:sz w:val="18"/>
                <w:szCs w:val="18"/>
              </w:rPr>
            </w:pPr>
          </w:p>
        </w:tc>
        <w:tc>
          <w:tcPr>
            <w:tcW w:w="1804"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vAlign w:val="center"/>
          </w:tcPr>
          <w:p>
            <w:pPr>
              <w:widowControl/>
              <w:spacing w:line="240" w:lineRule="exact"/>
              <w:jc w:val="center"/>
              <w:rPr>
                <w:rFonts w:hint="eastAsia" w:ascii="宋体" w:hAnsi="宋体" w:cs="宋体"/>
                <w:color w:val="auto"/>
                <w:kern w:val="0"/>
                <w:sz w:val="18"/>
                <w:szCs w:val="18"/>
              </w:rPr>
            </w:pPr>
          </w:p>
        </w:tc>
        <w:tc>
          <w:tcPr>
            <w:tcW w:w="1107" w:type="dxa"/>
            <w:gridSpan w:val="2"/>
            <w:vAlign w:val="center"/>
          </w:tcPr>
          <w:p>
            <w:pPr>
              <w:widowControl/>
              <w:spacing w:line="240" w:lineRule="exact"/>
              <w:jc w:val="center"/>
              <w:rPr>
                <w:rFonts w:hint="eastAsia" w:ascii="宋体" w:hAnsi="宋体" w:cs="宋体"/>
                <w:color w:val="auto"/>
                <w:kern w:val="0"/>
                <w:sz w:val="18"/>
                <w:szCs w:val="18"/>
              </w:rPr>
            </w:pPr>
          </w:p>
        </w:tc>
        <w:tc>
          <w:tcPr>
            <w:tcW w:w="1050" w:type="dxa"/>
            <w:gridSpan w:val="2"/>
            <w:vAlign w:val="center"/>
          </w:tcPr>
          <w:p>
            <w:pPr>
              <w:widowControl/>
              <w:spacing w:line="240" w:lineRule="exact"/>
              <w:jc w:val="center"/>
              <w:rPr>
                <w:rFonts w:hint="eastAsia" w:ascii="宋体" w:hAnsi="宋体" w:cs="宋体"/>
                <w:color w:val="auto"/>
                <w:kern w:val="0"/>
                <w:sz w:val="18"/>
                <w:szCs w:val="18"/>
              </w:rPr>
            </w:pPr>
          </w:p>
        </w:tc>
        <w:tc>
          <w:tcPr>
            <w:tcW w:w="771"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hint="eastAsia" w:ascii="宋体" w:hAnsi="宋体" w:cs="宋体"/>
                <w:color w:val="auto"/>
                <w:kern w:val="0"/>
                <w:sz w:val="18"/>
                <w:szCs w:val="18"/>
              </w:rPr>
            </w:pPr>
          </w:p>
        </w:tc>
        <w:tc>
          <w:tcPr>
            <w:tcW w:w="699"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hint="eastAsia" w:ascii="宋体" w:hAnsi="宋体" w:cs="宋体"/>
                <w:color w:val="auto"/>
                <w:kern w:val="0"/>
                <w:sz w:val="18"/>
                <w:szCs w:val="18"/>
              </w:rPr>
            </w:pPr>
          </w:p>
        </w:tc>
        <w:tc>
          <w:tcPr>
            <w:tcW w:w="1804"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2398.98</w:t>
            </w:r>
          </w:p>
        </w:tc>
        <w:tc>
          <w:tcPr>
            <w:tcW w:w="1107"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2398.98</w:t>
            </w:r>
          </w:p>
        </w:tc>
        <w:tc>
          <w:tcPr>
            <w:tcW w:w="1050"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2398.98</w:t>
            </w:r>
          </w:p>
        </w:tc>
        <w:tc>
          <w:tcPr>
            <w:tcW w:w="771"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hint="eastAsia" w:ascii="宋体" w:hAnsi="宋体" w:cs="宋体"/>
                <w:color w:val="auto"/>
                <w:kern w:val="0"/>
                <w:sz w:val="18"/>
                <w:szCs w:val="18"/>
              </w:rPr>
            </w:pPr>
          </w:p>
        </w:tc>
        <w:tc>
          <w:tcPr>
            <w:tcW w:w="699"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hint="eastAsia" w:ascii="宋体" w:hAnsi="宋体" w:cs="宋体"/>
                <w:color w:val="auto"/>
                <w:kern w:val="0"/>
                <w:sz w:val="18"/>
                <w:szCs w:val="18"/>
              </w:rPr>
            </w:pPr>
          </w:p>
        </w:tc>
        <w:tc>
          <w:tcPr>
            <w:tcW w:w="1804"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vAlign w:val="center"/>
          </w:tcPr>
          <w:p>
            <w:pPr>
              <w:widowControl/>
              <w:spacing w:line="240" w:lineRule="exact"/>
              <w:jc w:val="center"/>
              <w:rPr>
                <w:rFonts w:hint="eastAsia" w:ascii="宋体" w:hAnsi="宋体" w:cs="宋体"/>
                <w:color w:val="auto"/>
                <w:kern w:val="0"/>
                <w:sz w:val="18"/>
                <w:szCs w:val="18"/>
              </w:rPr>
            </w:pPr>
          </w:p>
        </w:tc>
        <w:tc>
          <w:tcPr>
            <w:tcW w:w="1107" w:type="dxa"/>
            <w:gridSpan w:val="2"/>
            <w:vAlign w:val="center"/>
          </w:tcPr>
          <w:p>
            <w:pPr>
              <w:widowControl/>
              <w:spacing w:line="240" w:lineRule="exact"/>
              <w:jc w:val="center"/>
              <w:rPr>
                <w:rFonts w:hint="eastAsia" w:ascii="宋体" w:hAnsi="宋体" w:cs="宋体"/>
                <w:color w:val="auto"/>
                <w:kern w:val="0"/>
                <w:sz w:val="18"/>
                <w:szCs w:val="18"/>
              </w:rPr>
            </w:pPr>
          </w:p>
        </w:tc>
        <w:tc>
          <w:tcPr>
            <w:tcW w:w="1050" w:type="dxa"/>
            <w:gridSpan w:val="2"/>
            <w:vAlign w:val="center"/>
          </w:tcPr>
          <w:p>
            <w:pPr>
              <w:widowControl/>
              <w:spacing w:line="240" w:lineRule="exact"/>
              <w:jc w:val="center"/>
              <w:rPr>
                <w:rFonts w:hint="eastAsia" w:ascii="宋体" w:hAnsi="宋体" w:cs="宋体"/>
                <w:color w:val="auto"/>
                <w:kern w:val="0"/>
                <w:sz w:val="18"/>
                <w:szCs w:val="18"/>
              </w:rPr>
            </w:pPr>
          </w:p>
        </w:tc>
        <w:tc>
          <w:tcPr>
            <w:tcW w:w="771"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hint="eastAsia" w:ascii="宋体" w:hAnsi="宋体" w:cs="宋体"/>
                <w:color w:val="auto"/>
                <w:kern w:val="0"/>
                <w:sz w:val="18"/>
                <w:szCs w:val="18"/>
              </w:rPr>
            </w:pPr>
          </w:p>
        </w:tc>
        <w:tc>
          <w:tcPr>
            <w:tcW w:w="699"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restart"/>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578" w:type="dxa"/>
            <w:vMerge w:val="continue"/>
            <w:vAlign w:val="center"/>
          </w:tcPr>
          <w:p>
            <w:pPr>
              <w:widowControl/>
              <w:spacing w:line="240" w:lineRule="exact"/>
              <w:jc w:val="center"/>
              <w:rPr>
                <w:rFonts w:hint="eastAsia" w:ascii="宋体" w:hAnsi="宋体" w:cs="宋体"/>
                <w:color w:val="auto"/>
                <w:kern w:val="0"/>
                <w:sz w:val="18"/>
                <w:szCs w:val="18"/>
              </w:rPr>
            </w:pPr>
          </w:p>
        </w:tc>
        <w:tc>
          <w:tcPr>
            <w:tcW w:w="4994" w:type="dxa"/>
            <w:gridSpan w:val="6"/>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kern w:val="0"/>
                <w:sz w:val="18"/>
                <w:szCs w:val="18"/>
                <w:lang w:eastAsia="zh-CN"/>
              </w:rPr>
              <w:t>一是开展蔬菜生产设施建设项目，共</w:t>
            </w:r>
            <w:r>
              <w:rPr>
                <w:rFonts w:hint="eastAsia" w:ascii="宋体" w:hAnsi="宋体" w:cs="宋体"/>
                <w:color w:val="000000"/>
                <w:kern w:val="0"/>
                <w:sz w:val="18"/>
                <w:szCs w:val="18"/>
                <w:lang w:val="en-US" w:eastAsia="zh-CN"/>
              </w:rPr>
              <w:t>14个。</w:t>
            </w:r>
          </w:p>
        </w:tc>
        <w:tc>
          <w:tcPr>
            <w:tcW w:w="3356" w:type="dxa"/>
            <w:gridSpan w:val="7"/>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kern w:val="0"/>
                <w:sz w:val="18"/>
                <w:szCs w:val="18"/>
                <w:lang w:eastAsia="zh-CN"/>
              </w:rPr>
              <w:t>完成</w:t>
            </w:r>
            <w:r>
              <w:rPr>
                <w:rFonts w:hint="eastAsia" w:ascii="宋体" w:hAnsi="宋体" w:cs="宋体"/>
                <w:color w:val="000000"/>
                <w:kern w:val="0"/>
                <w:sz w:val="18"/>
                <w:szCs w:val="18"/>
                <w:lang w:val="en-US" w:eastAsia="zh-CN"/>
              </w:rPr>
              <w:t>蔬菜生产设施项目共14个。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578" w:type="dxa"/>
            <w:vMerge w:val="restart"/>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指标值</w:t>
            </w:r>
          </w:p>
        </w:tc>
        <w:tc>
          <w:tcPr>
            <w:tcW w:w="848"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8" w:type="dxa"/>
            <w:vMerge w:val="continue"/>
            <w:vAlign w:val="center"/>
          </w:tcPr>
          <w:p>
            <w:pPr>
              <w:widowControl/>
              <w:spacing w:line="240" w:lineRule="exact"/>
              <w:jc w:val="center"/>
              <w:rPr>
                <w:rFonts w:hint="eastAsia" w:ascii="宋体" w:hAnsi="宋体" w:cs="宋体"/>
                <w:color w:val="auto"/>
                <w:kern w:val="0"/>
                <w:sz w:val="18"/>
                <w:szCs w:val="18"/>
              </w:rPr>
            </w:pPr>
          </w:p>
        </w:tc>
        <w:tc>
          <w:tcPr>
            <w:tcW w:w="969" w:type="dxa"/>
            <w:vMerge w:val="restart"/>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vAlign w:val="center"/>
          </w:tcPr>
          <w:p>
            <w:pPr>
              <w:widowControl/>
              <w:spacing w:line="240" w:lineRule="exact"/>
              <w:jc w:val="left"/>
              <w:rPr>
                <w:rFonts w:hint="default" w:ascii="宋体" w:hAnsi="宋体" w:eastAsia="宋体" w:cs="宋体"/>
                <w:color w:val="auto"/>
                <w:kern w:val="0"/>
                <w:sz w:val="18"/>
                <w:szCs w:val="18"/>
              </w:rPr>
            </w:pPr>
            <w:r>
              <w:rPr>
                <w:rFonts w:hint="eastAsia" w:ascii="宋体" w:hAnsi="宋体" w:eastAsia="宋体" w:cs="宋体"/>
                <w:kern w:val="2"/>
                <w:sz w:val="18"/>
                <w:szCs w:val="18"/>
                <w:lang w:val="en-US" w:eastAsia="zh-CN" w:bidi="ar-SA"/>
              </w:rPr>
              <w:t>蔬菜生产设施建设项目完成数</w:t>
            </w:r>
          </w:p>
        </w:tc>
        <w:tc>
          <w:tcPr>
            <w:tcW w:w="938" w:type="dxa"/>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bidi="ar"/>
              </w:rPr>
              <w:t>14个</w:t>
            </w:r>
          </w:p>
        </w:tc>
        <w:tc>
          <w:tcPr>
            <w:tcW w:w="848"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w:t>
            </w:r>
            <w:r>
              <w:rPr>
                <w:rFonts w:hint="eastAsia" w:ascii="宋体" w:hAnsi="宋体" w:eastAsia="宋体" w:cs="宋体"/>
                <w:color w:val="auto"/>
                <w:kern w:val="0"/>
                <w:sz w:val="18"/>
                <w:szCs w:val="18"/>
                <w:lang w:val="en-US" w:eastAsia="zh-CN" w:bidi="ar"/>
              </w:rPr>
              <w:t>个</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vAlign w:val="center"/>
          </w:tcPr>
          <w:p>
            <w:pPr>
              <w:widowControl/>
              <w:spacing w:line="240" w:lineRule="exact"/>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78" w:type="dxa"/>
            <w:vMerge w:val="continue"/>
            <w:vAlign w:val="center"/>
          </w:tcPr>
          <w:p>
            <w:pPr>
              <w:widowControl/>
              <w:spacing w:line="240" w:lineRule="exact"/>
              <w:jc w:val="center"/>
              <w:rPr>
                <w:rFonts w:hint="eastAsia" w:ascii="宋体" w:hAnsi="宋体" w:cs="宋体"/>
                <w:color w:val="auto"/>
                <w:kern w:val="0"/>
                <w:sz w:val="18"/>
                <w:szCs w:val="18"/>
              </w:rPr>
            </w:pPr>
          </w:p>
        </w:tc>
        <w:tc>
          <w:tcPr>
            <w:tcW w:w="969" w:type="dxa"/>
            <w:vMerge w:val="continue"/>
            <w:vAlign w:val="center"/>
          </w:tcPr>
          <w:p>
            <w:pPr>
              <w:widowControl/>
              <w:spacing w:line="240" w:lineRule="exact"/>
              <w:jc w:val="center"/>
              <w:rPr>
                <w:rFonts w:hint="eastAsia" w:ascii="宋体" w:hAnsi="宋体" w:cs="宋体"/>
                <w:color w:val="auto"/>
                <w:kern w:val="0"/>
                <w:sz w:val="18"/>
                <w:szCs w:val="18"/>
              </w:rPr>
            </w:pPr>
          </w:p>
        </w:tc>
        <w:tc>
          <w:tcPr>
            <w:tcW w:w="1086"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vAlign w:val="center"/>
          </w:tcPr>
          <w:p>
            <w:pPr>
              <w:widowControl/>
              <w:spacing w:line="240" w:lineRule="exact"/>
              <w:jc w:val="left"/>
              <w:rPr>
                <w:rFonts w:hint="default" w:ascii="宋体" w:hAnsi="宋体" w:eastAsia="宋体" w:cs="宋体"/>
                <w:color w:val="auto"/>
                <w:kern w:val="0"/>
                <w:sz w:val="18"/>
                <w:szCs w:val="18"/>
              </w:rPr>
            </w:pPr>
            <w:r>
              <w:rPr>
                <w:rFonts w:hint="eastAsia" w:ascii="宋体" w:hAnsi="宋体" w:eastAsia="宋体" w:cs="宋体"/>
                <w:color w:val="000000"/>
                <w:kern w:val="2"/>
                <w:sz w:val="18"/>
                <w:szCs w:val="18"/>
                <w:lang w:val="en-US" w:eastAsia="zh-CN" w:bidi="ar-SA"/>
              </w:rPr>
              <w:t>土地产出率、劳动生产率、资源利用率及蔬菜产量提高</w:t>
            </w:r>
          </w:p>
        </w:tc>
        <w:tc>
          <w:tcPr>
            <w:tcW w:w="938" w:type="dxa"/>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bidi="ar"/>
              </w:rPr>
              <w:t>提高</w:t>
            </w:r>
          </w:p>
        </w:tc>
        <w:tc>
          <w:tcPr>
            <w:tcW w:w="848"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提高</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vAlign w:val="center"/>
          </w:tcPr>
          <w:p>
            <w:pPr>
              <w:widowControl/>
              <w:spacing w:line="240" w:lineRule="exact"/>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578" w:type="dxa"/>
            <w:vMerge w:val="continue"/>
            <w:vAlign w:val="center"/>
          </w:tcPr>
          <w:p>
            <w:pPr>
              <w:widowControl/>
              <w:spacing w:line="240" w:lineRule="exact"/>
              <w:jc w:val="center"/>
              <w:rPr>
                <w:rFonts w:hint="eastAsia" w:ascii="宋体" w:hAnsi="宋体" w:cs="宋体"/>
                <w:color w:val="auto"/>
                <w:kern w:val="0"/>
                <w:sz w:val="18"/>
                <w:szCs w:val="18"/>
              </w:rPr>
            </w:pPr>
          </w:p>
        </w:tc>
        <w:tc>
          <w:tcPr>
            <w:tcW w:w="969" w:type="dxa"/>
            <w:vMerge w:val="continue"/>
            <w:vAlign w:val="center"/>
          </w:tcPr>
          <w:p>
            <w:pPr>
              <w:widowControl/>
              <w:spacing w:line="240" w:lineRule="exact"/>
              <w:jc w:val="center"/>
              <w:rPr>
                <w:rFonts w:hint="eastAsia" w:ascii="宋体" w:hAnsi="宋体" w:cs="宋体"/>
                <w:color w:val="auto"/>
                <w:kern w:val="0"/>
                <w:sz w:val="18"/>
                <w:szCs w:val="18"/>
              </w:rPr>
            </w:pPr>
          </w:p>
        </w:tc>
        <w:tc>
          <w:tcPr>
            <w:tcW w:w="1086"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bidi="ar"/>
              </w:rPr>
              <w:t>完成设施农业项目</w:t>
            </w:r>
            <w:r>
              <w:rPr>
                <w:rFonts w:hint="eastAsia" w:ascii="宋体" w:hAnsi="宋体" w:eastAsia="宋体" w:cs="宋体"/>
                <w:color w:val="auto"/>
                <w:kern w:val="0"/>
                <w:sz w:val="18"/>
                <w:szCs w:val="18"/>
                <w:lang w:val="en-US" w:eastAsia="zh-CN" w:bidi="ar"/>
              </w:rPr>
              <w:t>建设</w:t>
            </w:r>
          </w:p>
        </w:tc>
        <w:tc>
          <w:tcPr>
            <w:tcW w:w="938"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12月底前</w:t>
            </w:r>
          </w:p>
        </w:tc>
        <w:tc>
          <w:tcPr>
            <w:tcW w:w="848"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12月底前</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vAlign w:val="center"/>
          </w:tcPr>
          <w:p>
            <w:pPr>
              <w:widowControl/>
              <w:spacing w:line="240" w:lineRule="exact"/>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578" w:type="dxa"/>
            <w:vMerge w:val="continue"/>
            <w:vAlign w:val="center"/>
          </w:tcPr>
          <w:p>
            <w:pPr>
              <w:widowControl/>
              <w:spacing w:line="240" w:lineRule="exact"/>
              <w:jc w:val="center"/>
              <w:rPr>
                <w:rFonts w:hint="eastAsia" w:ascii="宋体" w:hAnsi="宋体" w:cs="宋体"/>
                <w:color w:val="auto"/>
                <w:kern w:val="0"/>
                <w:sz w:val="18"/>
                <w:szCs w:val="18"/>
              </w:rPr>
            </w:pPr>
          </w:p>
        </w:tc>
        <w:tc>
          <w:tcPr>
            <w:tcW w:w="969" w:type="dxa"/>
            <w:vMerge w:val="continue"/>
            <w:vAlign w:val="center"/>
          </w:tcPr>
          <w:p>
            <w:pPr>
              <w:widowControl/>
              <w:spacing w:line="240" w:lineRule="exact"/>
              <w:jc w:val="center"/>
              <w:rPr>
                <w:rFonts w:hint="eastAsia" w:ascii="宋体" w:hAnsi="宋体" w:cs="宋体"/>
                <w:color w:val="auto"/>
                <w:kern w:val="0"/>
                <w:sz w:val="18"/>
                <w:szCs w:val="18"/>
              </w:rPr>
            </w:pPr>
          </w:p>
        </w:tc>
        <w:tc>
          <w:tcPr>
            <w:tcW w:w="1086"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2"/>
                <w:sz w:val="18"/>
                <w:szCs w:val="18"/>
                <w:lang w:val="en-US" w:eastAsia="zh-CN" w:bidi="ar-SA"/>
              </w:rPr>
              <w:t>14个蔬菜生产设施建设项目</w:t>
            </w:r>
          </w:p>
        </w:tc>
        <w:tc>
          <w:tcPr>
            <w:tcW w:w="938" w:type="dxa"/>
            <w:vAlign w:val="center"/>
          </w:tcPr>
          <w:p>
            <w:pPr>
              <w:widowControl/>
              <w:spacing w:line="240" w:lineRule="exact"/>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2398.98万元</w:t>
            </w:r>
            <w:r>
              <w:rPr>
                <w:rFonts w:hint="eastAsia" w:ascii="宋体" w:hAnsi="宋体" w:eastAsia="宋体" w:cs="宋体"/>
                <w:color w:val="auto"/>
                <w:kern w:val="0"/>
                <w:sz w:val="18"/>
                <w:szCs w:val="18"/>
                <w:lang w:bidi="ar"/>
              </w:rPr>
              <w:t>万元</w:t>
            </w:r>
          </w:p>
        </w:tc>
        <w:tc>
          <w:tcPr>
            <w:tcW w:w="848"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2398.98万元</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vAlign w:val="center"/>
          </w:tcPr>
          <w:p>
            <w:pPr>
              <w:widowControl/>
              <w:spacing w:line="240" w:lineRule="exact"/>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continue"/>
            <w:vAlign w:val="center"/>
          </w:tcPr>
          <w:p>
            <w:pPr>
              <w:widowControl/>
              <w:spacing w:line="240" w:lineRule="exact"/>
              <w:jc w:val="center"/>
              <w:rPr>
                <w:rFonts w:hint="eastAsia" w:ascii="宋体" w:hAnsi="宋体" w:cs="宋体"/>
                <w:color w:val="auto"/>
                <w:kern w:val="0"/>
                <w:sz w:val="18"/>
                <w:szCs w:val="18"/>
              </w:rPr>
            </w:pPr>
          </w:p>
        </w:tc>
        <w:tc>
          <w:tcPr>
            <w:tcW w:w="969" w:type="dxa"/>
            <w:vMerge w:val="restart"/>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新增设施面积787.54亩</w:t>
            </w:r>
          </w:p>
        </w:tc>
        <w:tc>
          <w:tcPr>
            <w:tcW w:w="938"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新增设施面积787.54亩</w:t>
            </w:r>
          </w:p>
        </w:tc>
        <w:tc>
          <w:tcPr>
            <w:tcW w:w="848"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787.54</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vAlign w:val="center"/>
          </w:tcPr>
          <w:p>
            <w:pPr>
              <w:widowControl/>
              <w:spacing w:line="240" w:lineRule="exact"/>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578" w:type="dxa"/>
            <w:vMerge w:val="continue"/>
            <w:vAlign w:val="center"/>
          </w:tcPr>
          <w:p>
            <w:pPr>
              <w:widowControl/>
              <w:spacing w:line="240" w:lineRule="exact"/>
              <w:jc w:val="center"/>
              <w:rPr>
                <w:rFonts w:hint="eastAsia" w:ascii="宋体" w:hAnsi="宋体" w:cs="宋体"/>
                <w:color w:val="auto"/>
                <w:kern w:val="0"/>
                <w:sz w:val="18"/>
                <w:szCs w:val="18"/>
              </w:rPr>
            </w:pPr>
          </w:p>
        </w:tc>
        <w:tc>
          <w:tcPr>
            <w:tcW w:w="969" w:type="dxa"/>
            <w:vMerge w:val="continue"/>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vAlign w:val="center"/>
          </w:tcPr>
          <w:p>
            <w:pPr>
              <w:widowControl/>
              <w:spacing w:line="240" w:lineRule="exact"/>
              <w:jc w:val="center"/>
              <w:rPr>
                <w:rFonts w:hint="eastAsia" w:ascii="宋体" w:hAnsi="宋体" w:cs="宋体"/>
                <w:color w:val="auto"/>
                <w:kern w:val="0"/>
                <w:sz w:val="18"/>
                <w:szCs w:val="18"/>
              </w:rPr>
            </w:pPr>
          </w:p>
        </w:tc>
        <w:tc>
          <w:tcPr>
            <w:tcW w:w="2001" w:type="dxa"/>
            <w:gridSpan w:val="3"/>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蔬菜产量提升约40%，达6142.81吨</w:t>
            </w:r>
          </w:p>
        </w:tc>
        <w:tc>
          <w:tcPr>
            <w:tcW w:w="938"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蔬菜产量提升约40%，达6142.81吨</w:t>
            </w:r>
          </w:p>
        </w:tc>
        <w:tc>
          <w:tcPr>
            <w:tcW w:w="848"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蔬菜产量提升约40%，达6142.81吨</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vAlign w:val="center"/>
          </w:tcPr>
          <w:p>
            <w:pPr>
              <w:widowControl/>
              <w:spacing w:line="240" w:lineRule="exact"/>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78" w:type="dxa"/>
            <w:vMerge w:val="continue"/>
            <w:vAlign w:val="center"/>
          </w:tcPr>
          <w:p>
            <w:pPr>
              <w:widowControl/>
              <w:spacing w:line="240" w:lineRule="exact"/>
              <w:jc w:val="center"/>
              <w:rPr>
                <w:rFonts w:hint="eastAsia" w:ascii="宋体" w:hAnsi="宋体" w:cs="宋体"/>
                <w:color w:val="auto"/>
                <w:kern w:val="0"/>
                <w:sz w:val="18"/>
                <w:szCs w:val="18"/>
              </w:rPr>
            </w:pPr>
          </w:p>
        </w:tc>
        <w:tc>
          <w:tcPr>
            <w:tcW w:w="969"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1086" w:type="dxa"/>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lang w:eastAsia="zh-CN"/>
              </w:rPr>
              <w:t>投诉率</w:t>
            </w:r>
          </w:p>
        </w:tc>
        <w:tc>
          <w:tcPr>
            <w:tcW w:w="938" w:type="dxa"/>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w:t>
            </w:r>
          </w:p>
        </w:tc>
        <w:tc>
          <w:tcPr>
            <w:tcW w:w="848" w:type="dxa"/>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vAlign w:val="center"/>
          </w:tcPr>
          <w:p>
            <w:pPr>
              <w:widowControl/>
              <w:spacing w:line="240" w:lineRule="exact"/>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6420" w:type="dxa"/>
            <w:gridSpan w:val="8"/>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vAlign w:val="center"/>
          </w:tcPr>
          <w:p>
            <w:pPr>
              <w:widowControl/>
              <w:spacing w:line="240" w:lineRule="exact"/>
              <w:jc w:val="center"/>
              <w:rPr>
                <w:rFonts w:hint="eastAsia" w:ascii="宋体" w:hAnsi="宋体" w:cs="宋体"/>
                <w:color w:val="auto"/>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69"/>
        <w:gridCol w:w="1086"/>
        <w:gridCol w:w="718"/>
        <w:gridCol w:w="1114"/>
        <w:gridCol w:w="1107"/>
        <w:gridCol w:w="848"/>
        <w:gridCol w:w="202"/>
        <w:gridCol w:w="355"/>
        <w:gridCol w:w="416"/>
        <w:gridCol w:w="141"/>
        <w:gridCol w:w="69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928" w:type="dxa"/>
            <w:gridSpan w:val="13"/>
            <w:tcBorders>
              <w:top w:val="nil"/>
              <w:left w:val="nil"/>
              <w:bottom w:val="single" w:color="auto" w:sz="4" w:space="0"/>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20"/>
                <w:szCs w:val="20"/>
                <w:lang w:val="en-US" w:eastAsia="zh-CN"/>
              </w:rPr>
              <w:t>2020年第二批菜田补贴资金（上下级政府间转移性支出）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4"/>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北京市通州区农业农村局</w:t>
            </w:r>
          </w:p>
        </w:tc>
        <w:tc>
          <w:tcPr>
            <w:tcW w:w="105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北京市</w:t>
            </w:r>
            <w:r>
              <w:rPr>
                <w:rFonts w:hint="eastAsia" w:ascii="宋体" w:hAnsi="宋体" w:eastAsia="宋体" w:cs="宋体"/>
                <w:color w:val="auto"/>
                <w:kern w:val="0"/>
                <w:sz w:val="18"/>
                <w:szCs w:val="18"/>
              </w:rPr>
              <w:t>通州区农业农村局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4"/>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杨跃方</w:t>
            </w:r>
          </w:p>
        </w:tc>
        <w:tc>
          <w:tcPr>
            <w:tcW w:w="1050" w:type="dxa"/>
            <w:gridSpan w:val="2"/>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81582565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47" w:type="dxa"/>
            <w:gridSpan w:val="2"/>
            <w:vMerge w:val="restart"/>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vAlign w:val="center"/>
          </w:tcPr>
          <w:p>
            <w:pPr>
              <w:widowControl/>
              <w:spacing w:line="240" w:lineRule="exact"/>
              <w:jc w:val="center"/>
              <w:rPr>
                <w:rFonts w:ascii="宋体" w:hAnsi="宋体" w:cs="宋体"/>
                <w:color w:val="auto"/>
                <w:kern w:val="0"/>
                <w:sz w:val="18"/>
                <w:szCs w:val="18"/>
              </w:rPr>
            </w:pPr>
          </w:p>
        </w:tc>
        <w:tc>
          <w:tcPr>
            <w:tcW w:w="1114"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1107"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1050"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vAlign w:val="center"/>
          </w:tcPr>
          <w:p>
            <w:pPr>
              <w:widowControl/>
              <w:spacing w:line="240" w:lineRule="exact"/>
              <w:jc w:val="center"/>
              <w:rPr>
                <w:rFonts w:ascii="宋体" w:hAnsi="宋体" w:cs="宋体"/>
                <w:color w:val="auto"/>
                <w:kern w:val="0"/>
                <w:sz w:val="18"/>
                <w:szCs w:val="18"/>
              </w:rPr>
            </w:pPr>
          </w:p>
        </w:tc>
        <w:tc>
          <w:tcPr>
            <w:tcW w:w="1107" w:type="dxa"/>
            <w:vAlign w:val="center"/>
          </w:tcPr>
          <w:p>
            <w:pPr>
              <w:widowControl/>
              <w:spacing w:line="240" w:lineRule="exact"/>
              <w:jc w:val="center"/>
              <w:rPr>
                <w:rFonts w:ascii="宋体" w:hAnsi="宋体" w:cs="宋体"/>
                <w:color w:val="auto"/>
                <w:kern w:val="0"/>
                <w:sz w:val="18"/>
                <w:szCs w:val="18"/>
              </w:rPr>
            </w:pPr>
          </w:p>
        </w:tc>
        <w:tc>
          <w:tcPr>
            <w:tcW w:w="1050" w:type="dxa"/>
            <w:gridSpan w:val="2"/>
            <w:vAlign w:val="center"/>
          </w:tcPr>
          <w:p>
            <w:pPr>
              <w:widowControl/>
              <w:spacing w:line="240" w:lineRule="exact"/>
              <w:jc w:val="center"/>
              <w:rPr>
                <w:rFonts w:ascii="宋体" w:hAnsi="宋体" w:cs="宋体"/>
                <w:color w:val="auto"/>
                <w:kern w:val="0"/>
                <w:sz w:val="18"/>
                <w:szCs w:val="18"/>
              </w:rPr>
            </w:pP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ascii="宋体" w:hAnsi="宋体" w:cs="宋体"/>
                <w:color w:val="auto"/>
                <w:kern w:val="0"/>
                <w:sz w:val="18"/>
                <w:szCs w:val="18"/>
              </w:rPr>
            </w:pP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1107" w:type="dxa"/>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1050" w:type="dxa"/>
            <w:gridSpan w:val="2"/>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ascii="宋体" w:hAnsi="宋体" w:cs="宋体"/>
                <w:color w:val="auto"/>
                <w:kern w:val="0"/>
                <w:sz w:val="18"/>
                <w:szCs w:val="18"/>
              </w:rPr>
            </w:pP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47" w:type="dxa"/>
            <w:gridSpan w:val="2"/>
            <w:vMerge w:val="continue"/>
            <w:vAlign w:val="center"/>
          </w:tcPr>
          <w:p>
            <w:pPr>
              <w:widowControl/>
              <w:spacing w:line="240" w:lineRule="exact"/>
              <w:jc w:val="center"/>
              <w:rPr>
                <w:rFonts w:ascii="宋体" w:hAnsi="宋体" w:cs="宋体"/>
                <w:color w:val="auto"/>
                <w:kern w:val="0"/>
                <w:sz w:val="18"/>
                <w:szCs w:val="18"/>
              </w:rPr>
            </w:pPr>
          </w:p>
        </w:tc>
        <w:tc>
          <w:tcPr>
            <w:tcW w:w="180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vAlign w:val="center"/>
          </w:tcPr>
          <w:p>
            <w:pPr>
              <w:widowControl/>
              <w:spacing w:line="240" w:lineRule="exact"/>
              <w:jc w:val="center"/>
              <w:rPr>
                <w:rFonts w:ascii="宋体" w:hAnsi="宋体" w:cs="宋体"/>
                <w:color w:val="auto"/>
                <w:kern w:val="0"/>
                <w:sz w:val="18"/>
                <w:szCs w:val="18"/>
              </w:rPr>
            </w:pPr>
          </w:p>
        </w:tc>
        <w:tc>
          <w:tcPr>
            <w:tcW w:w="1107" w:type="dxa"/>
            <w:vAlign w:val="center"/>
          </w:tcPr>
          <w:p>
            <w:pPr>
              <w:widowControl/>
              <w:spacing w:line="240" w:lineRule="exact"/>
              <w:jc w:val="center"/>
              <w:rPr>
                <w:rFonts w:ascii="宋体" w:hAnsi="宋体" w:cs="宋体"/>
                <w:color w:val="auto"/>
                <w:kern w:val="0"/>
                <w:sz w:val="18"/>
                <w:szCs w:val="18"/>
              </w:rPr>
            </w:pPr>
          </w:p>
        </w:tc>
        <w:tc>
          <w:tcPr>
            <w:tcW w:w="1050" w:type="dxa"/>
            <w:gridSpan w:val="2"/>
            <w:vAlign w:val="center"/>
          </w:tcPr>
          <w:p>
            <w:pPr>
              <w:widowControl/>
              <w:spacing w:line="240" w:lineRule="exact"/>
              <w:jc w:val="center"/>
              <w:rPr>
                <w:rFonts w:ascii="宋体" w:hAnsi="宋体" w:cs="宋体"/>
                <w:color w:val="auto"/>
                <w:kern w:val="0"/>
                <w:sz w:val="18"/>
                <w:szCs w:val="18"/>
              </w:rPr>
            </w:pPr>
          </w:p>
        </w:tc>
        <w:tc>
          <w:tcPr>
            <w:tcW w:w="771"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vAlign w:val="center"/>
          </w:tcPr>
          <w:p>
            <w:pPr>
              <w:widowControl/>
              <w:spacing w:line="240" w:lineRule="exact"/>
              <w:jc w:val="center"/>
              <w:rPr>
                <w:rFonts w:ascii="宋体" w:hAnsi="宋体" w:cs="宋体"/>
                <w:color w:val="auto"/>
                <w:kern w:val="0"/>
                <w:sz w:val="18"/>
                <w:szCs w:val="18"/>
              </w:rPr>
            </w:pPr>
          </w:p>
        </w:tc>
        <w:tc>
          <w:tcPr>
            <w:tcW w:w="69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5"/>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4994" w:type="dxa"/>
            <w:gridSpan w:val="5"/>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kern w:val="0"/>
                <w:sz w:val="18"/>
                <w:szCs w:val="18"/>
                <w:lang w:val="en-US" w:eastAsia="zh-CN"/>
              </w:rPr>
              <w:t>开展2021-2022年度设施蔬菜产业集群建设项目共3个</w:t>
            </w:r>
          </w:p>
        </w:tc>
        <w:tc>
          <w:tcPr>
            <w:tcW w:w="3356" w:type="dxa"/>
            <w:gridSpan w:val="7"/>
            <w:vAlign w:val="center"/>
          </w:tcPr>
          <w:p>
            <w:pPr>
              <w:widowControl/>
              <w:spacing w:line="240" w:lineRule="exact"/>
              <w:jc w:val="center"/>
              <w:rPr>
                <w:rFonts w:hint="default" w:ascii="宋体" w:hAnsi="宋体" w:eastAsia="宋体" w:cs="宋体"/>
                <w:color w:val="auto"/>
                <w:kern w:val="0"/>
                <w:sz w:val="18"/>
                <w:szCs w:val="18"/>
                <w:lang w:eastAsia="zh-CN"/>
              </w:rPr>
            </w:pPr>
            <w:r>
              <w:rPr>
                <w:rFonts w:hint="eastAsia" w:ascii="宋体" w:hAnsi="宋体" w:cs="宋体"/>
                <w:color w:val="000000"/>
                <w:kern w:val="0"/>
                <w:sz w:val="18"/>
                <w:szCs w:val="18"/>
                <w:lang w:val="en-US" w:eastAsia="zh-CN"/>
              </w:rPr>
              <w:t>完成产业集群集约化育苗场、冷链物流提升、蔬菜专业镇项目共3个产业集群建设项目。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578" w:type="dxa"/>
            <w:vMerge w:val="restar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32"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0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restart"/>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832"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2"/>
                <w:sz w:val="18"/>
                <w:szCs w:val="18"/>
                <w:lang w:val="en-US" w:eastAsia="zh-CN" w:bidi="ar-SA"/>
              </w:rPr>
              <w:t>3个设施蔬菜产业集群建设项目</w:t>
            </w:r>
          </w:p>
        </w:tc>
        <w:tc>
          <w:tcPr>
            <w:tcW w:w="1107" w:type="dxa"/>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bidi="ar"/>
              </w:rPr>
              <w:t>3</w:t>
            </w:r>
            <w:r>
              <w:rPr>
                <w:rFonts w:hint="eastAsia" w:ascii="宋体" w:hAnsi="宋体" w:cs="宋体"/>
                <w:color w:val="auto"/>
                <w:kern w:val="0"/>
                <w:sz w:val="18"/>
                <w:szCs w:val="18"/>
                <w:lang w:val="en-US" w:eastAsia="zh-CN" w:bidi="ar"/>
              </w:rPr>
              <w:t>个</w:t>
            </w:r>
          </w:p>
        </w:tc>
        <w:tc>
          <w:tcPr>
            <w:tcW w:w="848"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r>
              <w:rPr>
                <w:rFonts w:hint="eastAsia" w:ascii="宋体" w:hAnsi="宋体" w:cs="宋体"/>
                <w:color w:val="auto"/>
                <w:kern w:val="0"/>
                <w:sz w:val="18"/>
                <w:szCs w:val="18"/>
                <w:lang w:val="en-US" w:eastAsia="zh-CN" w:bidi="ar"/>
              </w:rPr>
              <w:t>个</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hint="eastAsia" w:ascii="宋体" w:hAnsi="宋体" w:eastAsia="宋体" w:cs="宋体"/>
                <w:color w:val="auto"/>
                <w:kern w:val="0"/>
                <w:sz w:val="18"/>
                <w:szCs w:val="18"/>
              </w:rPr>
            </w:pPr>
          </w:p>
        </w:tc>
        <w:tc>
          <w:tcPr>
            <w:tcW w:w="1086" w:type="dxa"/>
            <w:vMerge w:val="restart"/>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832"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kern w:val="2"/>
                <w:sz w:val="18"/>
                <w:szCs w:val="18"/>
                <w:lang w:val="en-US" w:eastAsia="zh-CN" w:bidi="ar-SA"/>
              </w:rPr>
              <w:t>育苗能力</w:t>
            </w:r>
          </w:p>
        </w:tc>
        <w:tc>
          <w:tcPr>
            <w:tcW w:w="1107" w:type="dxa"/>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1500</w:t>
            </w:r>
            <w:r>
              <w:rPr>
                <w:rFonts w:hint="eastAsia" w:ascii="宋体" w:hAnsi="宋体" w:cs="宋体"/>
                <w:color w:val="000000"/>
                <w:kern w:val="2"/>
                <w:sz w:val="18"/>
                <w:szCs w:val="18"/>
                <w:lang w:val="en-US" w:eastAsia="zh-CN" w:bidi="ar-SA"/>
              </w:rPr>
              <w:t>株</w:t>
            </w:r>
            <w:r>
              <w:rPr>
                <w:rFonts w:hint="eastAsia" w:ascii="宋体" w:hAnsi="宋体" w:eastAsia="宋体" w:cs="宋体"/>
                <w:color w:val="000000"/>
                <w:kern w:val="2"/>
                <w:sz w:val="18"/>
                <w:szCs w:val="18"/>
                <w:lang w:val="en-US" w:eastAsia="zh-CN" w:bidi="ar-SA"/>
              </w:rPr>
              <w:t>万株产能</w:t>
            </w:r>
          </w:p>
        </w:tc>
        <w:tc>
          <w:tcPr>
            <w:tcW w:w="848"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1500</w:t>
            </w:r>
            <w:r>
              <w:rPr>
                <w:rFonts w:hint="eastAsia" w:ascii="宋体" w:hAnsi="宋体" w:cs="宋体"/>
                <w:color w:val="000000"/>
                <w:kern w:val="2"/>
                <w:sz w:val="18"/>
                <w:szCs w:val="18"/>
                <w:lang w:val="en-US" w:eastAsia="zh-CN" w:bidi="ar-SA"/>
              </w:rPr>
              <w:t>株</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hint="eastAsia" w:ascii="宋体" w:hAnsi="宋体" w:eastAsia="宋体" w:cs="宋体"/>
                <w:color w:val="auto"/>
                <w:kern w:val="0"/>
                <w:sz w:val="18"/>
                <w:szCs w:val="18"/>
              </w:rPr>
            </w:pPr>
          </w:p>
        </w:tc>
        <w:tc>
          <w:tcPr>
            <w:tcW w:w="1086" w:type="dxa"/>
            <w:vMerge w:val="continue"/>
            <w:vAlign w:val="center"/>
          </w:tcPr>
          <w:p>
            <w:pPr>
              <w:widowControl/>
              <w:spacing w:line="240" w:lineRule="exact"/>
              <w:jc w:val="center"/>
              <w:rPr>
                <w:rFonts w:hint="eastAsia" w:ascii="宋体" w:hAnsi="宋体" w:eastAsia="宋体" w:cs="宋体"/>
                <w:color w:val="auto"/>
                <w:kern w:val="0"/>
                <w:sz w:val="18"/>
                <w:szCs w:val="18"/>
              </w:rPr>
            </w:pPr>
          </w:p>
        </w:tc>
        <w:tc>
          <w:tcPr>
            <w:tcW w:w="1832"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kern w:val="2"/>
                <w:sz w:val="18"/>
                <w:szCs w:val="18"/>
                <w:lang w:val="en-US" w:eastAsia="zh-CN" w:bidi="ar-SA"/>
              </w:rPr>
              <w:t>蔬菜商品转化率</w:t>
            </w:r>
          </w:p>
        </w:tc>
        <w:tc>
          <w:tcPr>
            <w:tcW w:w="1107" w:type="dxa"/>
            <w:vAlign w:val="center"/>
          </w:tcPr>
          <w:p>
            <w:pPr>
              <w:jc w:val="center"/>
              <w:rPr>
                <w:rFonts w:hint="eastAsia" w:ascii="宋体" w:hAnsi="宋体" w:eastAsia="宋体" w:cs="宋体"/>
                <w:color w:val="auto"/>
                <w:kern w:val="0"/>
                <w:sz w:val="18"/>
                <w:szCs w:val="18"/>
              </w:rPr>
            </w:pP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75%</w:t>
            </w:r>
          </w:p>
        </w:tc>
        <w:tc>
          <w:tcPr>
            <w:tcW w:w="848" w:type="dxa"/>
            <w:vAlign w:val="center"/>
          </w:tcPr>
          <w:p>
            <w:pPr>
              <w:jc w:val="center"/>
              <w:rPr>
                <w:rFonts w:hint="eastAsia" w:ascii="宋体" w:hAnsi="宋体" w:eastAsia="宋体" w:cs="宋体"/>
                <w:color w:val="auto"/>
                <w:kern w:val="0"/>
                <w:sz w:val="18"/>
                <w:szCs w:val="18"/>
              </w:rPr>
            </w:pPr>
            <w:r>
              <w:rPr>
                <w:rFonts w:hint="eastAsia" w:ascii="宋体" w:hAnsi="宋体" w:eastAsia="宋体" w:cs="宋体"/>
                <w:color w:val="000000"/>
                <w:kern w:val="2"/>
                <w:sz w:val="18"/>
                <w:szCs w:val="18"/>
                <w:lang w:val="en-US" w:eastAsia="zh-CN" w:bidi="ar-SA"/>
              </w:rPr>
              <w:t>90%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394" w:type="dxa"/>
            <w:gridSpan w:val="2"/>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hint="eastAsia" w:ascii="宋体" w:hAnsi="宋体" w:eastAsia="宋体" w:cs="宋体"/>
                <w:color w:val="auto"/>
                <w:kern w:val="0"/>
                <w:sz w:val="18"/>
                <w:szCs w:val="18"/>
              </w:rPr>
            </w:pPr>
          </w:p>
        </w:tc>
        <w:tc>
          <w:tcPr>
            <w:tcW w:w="1086" w:type="dxa"/>
            <w:vMerge w:val="continue"/>
            <w:vAlign w:val="center"/>
          </w:tcPr>
          <w:p>
            <w:pPr>
              <w:widowControl/>
              <w:spacing w:line="240" w:lineRule="exact"/>
              <w:jc w:val="center"/>
              <w:rPr>
                <w:rFonts w:hint="eastAsia" w:ascii="宋体" w:hAnsi="宋体" w:eastAsia="宋体" w:cs="宋体"/>
                <w:color w:val="auto"/>
                <w:kern w:val="0"/>
                <w:sz w:val="18"/>
                <w:szCs w:val="18"/>
              </w:rPr>
            </w:pPr>
          </w:p>
        </w:tc>
        <w:tc>
          <w:tcPr>
            <w:tcW w:w="1832"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2"/>
                <w:sz w:val="18"/>
                <w:szCs w:val="18"/>
                <w:lang w:val="en-US" w:eastAsia="zh-CN" w:bidi="ar-SA"/>
              </w:rPr>
              <w:t>专业镇蔬菜生产总量提升</w:t>
            </w:r>
          </w:p>
        </w:tc>
        <w:tc>
          <w:tcPr>
            <w:tcW w:w="1107" w:type="dxa"/>
            <w:vAlign w:val="center"/>
          </w:tcPr>
          <w:p>
            <w:pPr>
              <w:jc w:val="center"/>
              <w:rPr>
                <w:rFonts w:hint="eastAsia" w:ascii="宋体" w:hAnsi="宋体" w:eastAsia="宋体" w:cs="宋体"/>
                <w:color w:val="auto"/>
                <w:kern w:val="0"/>
                <w:sz w:val="18"/>
                <w:szCs w:val="18"/>
              </w:rPr>
            </w:pP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10%</w:t>
            </w:r>
          </w:p>
        </w:tc>
        <w:tc>
          <w:tcPr>
            <w:tcW w:w="848" w:type="dxa"/>
            <w:vAlign w:val="center"/>
          </w:tcPr>
          <w:p>
            <w:pPr>
              <w:jc w:val="center"/>
              <w:rPr>
                <w:rFonts w:hint="eastAsia" w:ascii="宋体" w:hAnsi="宋体" w:eastAsia="宋体" w:cs="宋体"/>
                <w:color w:val="auto"/>
                <w:kern w:val="0"/>
                <w:sz w:val="18"/>
                <w:szCs w:val="18"/>
              </w:rPr>
            </w:pPr>
            <w:r>
              <w:rPr>
                <w:rFonts w:hint="eastAsia" w:ascii="宋体" w:hAnsi="宋体" w:eastAsia="宋体" w:cs="宋体"/>
                <w:color w:val="000000"/>
                <w:kern w:val="2"/>
                <w:sz w:val="18"/>
                <w:szCs w:val="18"/>
                <w:lang w:val="en-US" w:eastAsia="zh-CN" w:bidi="ar-SA"/>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394" w:type="dxa"/>
            <w:gridSpan w:val="2"/>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hint="eastAsia" w:ascii="宋体" w:hAnsi="宋体" w:eastAsia="宋体" w:cs="宋体"/>
                <w:color w:val="auto"/>
                <w:kern w:val="0"/>
                <w:sz w:val="18"/>
                <w:szCs w:val="18"/>
              </w:rPr>
            </w:pPr>
          </w:p>
        </w:tc>
        <w:tc>
          <w:tcPr>
            <w:tcW w:w="1086" w:type="dxa"/>
            <w:vMerge w:val="restart"/>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832" w:type="dxa"/>
            <w:gridSpan w:val="2"/>
            <w:vAlign w:val="center"/>
          </w:tcPr>
          <w:p>
            <w:pPr>
              <w:widowControl/>
              <w:spacing w:line="240" w:lineRule="exact"/>
              <w:jc w:val="center"/>
              <w:rPr>
                <w:rFonts w:hint="default" w:ascii="宋体" w:hAnsi="宋体" w:eastAsia="宋体" w:cs="宋体"/>
                <w:color w:val="auto"/>
                <w:kern w:val="0"/>
                <w:sz w:val="18"/>
                <w:szCs w:val="18"/>
              </w:rPr>
            </w:pPr>
            <w:r>
              <w:rPr>
                <w:rFonts w:hint="eastAsia" w:ascii="宋体" w:hAnsi="宋体" w:eastAsia="宋体" w:cs="宋体"/>
                <w:kern w:val="2"/>
                <w:sz w:val="18"/>
                <w:szCs w:val="18"/>
                <w:lang w:val="en-US" w:eastAsia="zh-CN" w:bidi="ar-SA"/>
              </w:rPr>
              <w:t>3个设施蔬菜产业集群建设项目</w:t>
            </w:r>
            <w:r>
              <w:rPr>
                <w:rFonts w:hint="eastAsia" w:ascii="宋体" w:hAnsi="宋体" w:cs="宋体"/>
                <w:kern w:val="2"/>
                <w:sz w:val="18"/>
                <w:szCs w:val="18"/>
                <w:lang w:val="en-US" w:eastAsia="zh-CN" w:bidi="ar-SA"/>
              </w:rPr>
              <w:t>成本</w:t>
            </w:r>
          </w:p>
        </w:tc>
        <w:tc>
          <w:tcPr>
            <w:tcW w:w="1107" w:type="dxa"/>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rPr>
              <w:t>200</w:t>
            </w:r>
            <w:r>
              <w:rPr>
                <w:rFonts w:hint="eastAsia" w:ascii="宋体" w:hAnsi="宋体" w:cs="宋体"/>
                <w:color w:val="auto"/>
                <w:kern w:val="0"/>
                <w:sz w:val="18"/>
                <w:szCs w:val="18"/>
                <w:lang w:val="en-US" w:eastAsia="zh-CN"/>
              </w:rPr>
              <w:t>万元</w:t>
            </w:r>
          </w:p>
        </w:tc>
        <w:tc>
          <w:tcPr>
            <w:tcW w:w="848"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r>
              <w:rPr>
                <w:rFonts w:hint="eastAsia" w:ascii="宋体" w:hAnsi="宋体" w:cs="宋体"/>
                <w:color w:val="auto"/>
                <w:kern w:val="0"/>
                <w:sz w:val="18"/>
                <w:szCs w:val="18"/>
                <w:lang w:val="en-US" w:eastAsia="zh-CN"/>
              </w:rPr>
              <w:t>万元</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restart"/>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vMerge w:val="restart"/>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832"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eastAsia="zh-CN"/>
              </w:rPr>
              <w:t>育苗场良种覆盖率达到95%以上</w:t>
            </w:r>
          </w:p>
        </w:tc>
        <w:tc>
          <w:tcPr>
            <w:tcW w:w="1107"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eastAsia="zh-CN"/>
              </w:rPr>
              <w:t>育苗场良种覆盖率达到95%以上</w:t>
            </w:r>
          </w:p>
        </w:tc>
        <w:tc>
          <w:tcPr>
            <w:tcW w:w="848" w:type="dxa"/>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Merge w:val="continue"/>
            <w:vAlign w:val="center"/>
          </w:tcPr>
          <w:p>
            <w:pPr>
              <w:widowControl/>
              <w:spacing w:line="240" w:lineRule="exact"/>
              <w:jc w:val="center"/>
              <w:rPr>
                <w:rFonts w:hint="eastAsia" w:ascii="宋体" w:hAnsi="宋体" w:eastAsia="宋体" w:cs="宋体"/>
                <w:color w:val="auto"/>
                <w:kern w:val="0"/>
                <w:sz w:val="18"/>
                <w:szCs w:val="18"/>
              </w:rPr>
            </w:pPr>
          </w:p>
        </w:tc>
        <w:tc>
          <w:tcPr>
            <w:tcW w:w="1086" w:type="dxa"/>
            <w:vMerge w:val="continue"/>
            <w:vAlign w:val="center"/>
          </w:tcPr>
          <w:p>
            <w:pPr>
              <w:widowControl/>
              <w:spacing w:line="240" w:lineRule="exact"/>
              <w:jc w:val="center"/>
              <w:rPr>
                <w:rFonts w:hint="eastAsia" w:ascii="宋体" w:hAnsi="宋体" w:eastAsia="宋体" w:cs="宋体"/>
                <w:color w:val="auto"/>
                <w:kern w:val="0"/>
                <w:sz w:val="18"/>
                <w:szCs w:val="18"/>
              </w:rPr>
            </w:pPr>
          </w:p>
        </w:tc>
        <w:tc>
          <w:tcPr>
            <w:tcW w:w="1832"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食用菌加工产值同比增长8%以上6142.81吨</w:t>
            </w:r>
          </w:p>
        </w:tc>
        <w:tc>
          <w:tcPr>
            <w:tcW w:w="1107"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食用菌加工产值同比增长8%以上</w:t>
            </w:r>
          </w:p>
        </w:tc>
        <w:tc>
          <w:tcPr>
            <w:tcW w:w="848" w:type="dxa"/>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r>
              <w:rPr>
                <w:rFonts w:hint="eastAsia" w:ascii="宋体" w:hAnsi="宋体" w:cs="宋体"/>
                <w:color w:val="auto"/>
                <w:kern w:val="0"/>
                <w:sz w:val="18"/>
                <w:szCs w:val="18"/>
                <w:lang w:val="en-US" w:eastAsia="zh-CN"/>
              </w:rPr>
              <w:t>%</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78" w:type="dxa"/>
            <w:vMerge w:val="continue"/>
            <w:vAlign w:val="center"/>
          </w:tcPr>
          <w:p>
            <w:pPr>
              <w:widowControl/>
              <w:spacing w:line="240" w:lineRule="exact"/>
              <w:jc w:val="center"/>
              <w:rPr>
                <w:rFonts w:ascii="宋体" w:hAnsi="宋体" w:cs="宋体"/>
                <w:color w:val="auto"/>
                <w:kern w:val="0"/>
                <w:sz w:val="18"/>
                <w:szCs w:val="18"/>
              </w:rPr>
            </w:pPr>
          </w:p>
        </w:tc>
        <w:tc>
          <w:tcPr>
            <w:tcW w:w="9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832"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eastAsia="zh-CN"/>
              </w:rPr>
              <w:t>投诉率</w:t>
            </w:r>
          </w:p>
        </w:tc>
        <w:tc>
          <w:tcPr>
            <w:tcW w:w="110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w:t>
            </w:r>
          </w:p>
        </w:tc>
        <w:tc>
          <w:tcPr>
            <w:tcW w:w="848"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cs="宋体"/>
                <w:color w:val="000000"/>
                <w:sz w:val="18"/>
                <w:szCs w:val="18"/>
                <w:lang w:val="en-US" w:eastAsia="zh-CN"/>
              </w:rPr>
              <w:t>0</w:t>
            </w:r>
            <w:r>
              <w:rPr>
                <w:rFonts w:hint="eastAsia" w:ascii="宋体" w:hAnsi="宋体" w:eastAsia="宋体" w:cs="宋体"/>
                <w:color w:val="000000"/>
                <w:sz w:val="18"/>
                <w:szCs w:val="18"/>
                <w:lang w:val="en-US" w:eastAsia="zh-CN"/>
              </w:rPr>
              <w:t>%</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6420" w:type="dxa"/>
            <w:gridSpan w:val="7"/>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394" w:type="dxa"/>
            <w:gridSpan w:val="2"/>
            <w:vAlign w:val="center"/>
          </w:tcPr>
          <w:p>
            <w:pPr>
              <w:widowControl/>
              <w:spacing w:line="240" w:lineRule="exact"/>
              <w:jc w:val="center"/>
              <w:rPr>
                <w:rFonts w:hint="eastAsia" w:ascii="宋体" w:hAnsi="宋体" w:eastAsia="宋体" w:cs="宋体"/>
                <w:color w:val="auto"/>
                <w:kern w:val="0"/>
                <w:sz w:val="18"/>
                <w:szCs w:val="18"/>
              </w:rPr>
            </w:pPr>
          </w:p>
        </w:tc>
      </w:tr>
    </w:tbl>
    <w:p>
      <w:pPr>
        <w:rPr>
          <w:rFonts w:hint="eastAsia" w:ascii="黑体" w:hAnsi="黑体" w:eastAsia="黑体"/>
          <w:color w:val="auto"/>
          <w:sz w:val="32"/>
          <w:szCs w:val="32"/>
        </w:rPr>
      </w:pPr>
      <w:r>
        <w:rPr>
          <w:rFonts w:hint="eastAsia" w:ascii="黑体" w:hAnsi="黑体" w:eastAsia="黑体"/>
          <w:color w:val="auto"/>
          <w:sz w:val="32"/>
          <w:szCs w:val="32"/>
        </w:rPr>
        <w:br w:type="page"/>
      </w:r>
    </w:p>
    <w:tbl>
      <w:tblPr>
        <w:tblStyle w:val="12"/>
        <w:tblW w:w="10825" w:type="dxa"/>
        <w:tblInd w:w="-10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2"/>
        <w:gridCol w:w="972"/>
        <w:gridCol w:w="972"/>
        <w:gridCol w:w="972"/>
        <w:gridCol w:w="972"/>
        <w:gridCol w:w="189"/>
        <w:gridCol w:w="1260"/>
        <w:gridCol w:w="891"/>
        <w:gridCol w:w="588"/>
        <w:gridCol w:w="444"/>
        <w:gridCol w:w="444"/>
        <w:gridCol w:w="588"/>
        <w:gridCol w:w="58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0825"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25" w:type="dxa"/>
            <w:gridSpan w:val="14"/>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44" w:type="dxa"/>
            <w:gridSpan w:val="2"/>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881" w:type="dxa"/>
            <w:gridSpan w:val="12"/>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2023年北京市高标准农田建设任务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4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365"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通州区农业农村局</w:t>
            </w:r>
          </w:p>
        </w:tc>
        <w:tc>
          <w:tcPr>
            <w:tcW w:w="147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037"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4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4365"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王连春</w:t>
            </w:r>
          </w:p>
        </w:tc>
        <w:tc>
          <w:tcPr>
            <w:tcW w:w="147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3037"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13671367693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44" w:type="dxa"/>
            <w:gridSpan w:val="2"/>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1944"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     预算数</w:t>
            </w:r>
          </w:p>
        </w:tc>
        <w:tc>
          <w:tcPr>
            <w:tcW w:w="144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47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88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7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9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44" w:type="dxa"/>
            <w:gridSpan w:val="2"/>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144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147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8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44" w:type="dxa"/>
            <w:gridSpan w:val="2"/>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144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147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8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7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44" w:type="dxa"/>
            <w:gridSpan w:val="2"/>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972" w:type="dxa"/>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1479"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76"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9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44" w:type="dxa"/>
            <w:gridSpan w:val="2"/>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72" w:type="dxa"/>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1479"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88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76"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c>
          <w:tcPr>
            <w:tcW w:w="9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337"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516"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5337"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按照北京市农业农村局要求，完成通州区2023年高标准农田项目一期建设。</w:t>
            </w:r>
          </w:p>
        </w:tc>
        <w:tc>
          <w:tcPr>
            <w:tcW w:w="4516"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通州区2023年高标准农田项目一期正在建设中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133"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8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56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33" w:type="dxa"/>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资金合理支出</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c>
          <w:tcPr>
            <w:tcW w:w="8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未支出</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6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通州区2023年高标准农田项目一期正在建设中，该笔资金将统筹用于全区高标准农田建设支出。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33" w:type="dxa"/>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方案符合相关规定</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w:t>
            </w:r>
          </w:p>
        </w:tc>
        <w:tc>
          <w:tcPr>
            <w:tcW w:w="8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61"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33" w:type="dxa"/>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在2023年12月31日前提交相关成果</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8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61"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33" w:type="dxa"/>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资金规划使用合理</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8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61"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133" w:type="dxa"/>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相关高标准农田建设区域的农田生产效益和效率明显提升</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高标农田生产效益和效率明显提升</w:t>
            </w:r>
          </w:p>
        </w:tc>
        <w:tc>
          <w:tcPr>
            <w:tcW w:w="8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61"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33" w:type="dxa"/>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提升粮食安全保障能力，推动农业高质量发展，提升种粮农民积极性</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促进农业发展</w:t>
            </w:r>
          </w:p>
        </w:tc>
        <w:tc>
          <w:tcPr>
            <w:tcW w:w="8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561"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133" w:type="dxa"/>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提高资源利用效率，改善农业生态环境</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改善农业生态环境</w:t>
            </w:r>
          </w:p>
        </w:tc>
        <w:tc>
          <w:tcPr>
            <w:tcW w:w="8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561"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33" w:type="dxa"/>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服务对象满意度≥95%</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61"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20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561" w:type="dxa"/>
            <w:gridSpan w:val="2"/>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rPr>
      </w:pPr>
      <w:r>
        <w:rPr>
          <w:rFonts w:hint="eastAsia"/>
        </w:rPr>
        <w:br w:type="page"/>
      </w:r>
    </w:p>
    <w:tbl>
      <w:tblPr>
        <w:tblStyle w:val="12"/>
        <w:tblpPr w:leftFromText="180" w:rightFromText="180" w:vertAnchor="page" w:horzAnchor="page" w:tblpX="877" w:tblpY="1368"/>
        <w:tblOverlap w:val="never"/>
        <w:tblW w:w="10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972"/>
        <w:gridCol w:w="972"/>
        <w:gridCol w:w="972"/>
        <w:gridCol w:w="972"/>
        <w:gridCol w:w="972"/>
        <w:gridCol w:w="972"/>
        <w:gridCol w:w="828"/>
        <w:gridCol w:w="480"/>
        <w:gridCol w:w="480"/>
        <w:gridCol w:w="312"/>
        <w:gridCol w:w="312"/>
        <w:gridCol w:w="516"/>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705"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705"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2023农田建设补助资金(京财农指2023]1035号) (高标准)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通州区农业农村局</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王连春</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2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13671367693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     预算数</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5000</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759.35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15.19%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5000</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759.35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9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按照北京市农业农村局要求，完成通州区高标准农田建设规划（2021-2030年）</w:t>
            </w:r>
          </w:p>
        </w:tc>
        <w:tc>
          <w:tcPr>
            <w:tcW w:w="39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已完成通州区高标准农田建设规划（2021-2030年）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9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指标1：拨付项目资金数量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5项</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指标1：资金完成拨付，通过审查</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指标1：按照项目实施计划完成</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指标1：资金使用合理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社会效益指标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指标1：提升粮食安全保障能力，推动农业高质量发展，提升种粮农民积极性</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促进</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促进</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生态效益指标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指标1：提高资源利用效率，改善农业生态环境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改善</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改善</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可持续影响指标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指标1：持续推进农业发展</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推进</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推进</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指标1：服务对象满意度≥95%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6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91.5</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20"/>
                <w:szCs w:val="20"/>
              </w:rPr>
              <w:t>农业农村改革发展资金（2023年第一批设施农业)-北京市设施农业发展以奖代补</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杨跃方</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685.42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685.42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685.42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685.42</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685.42</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685.42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kern w:val="0"/>
                <w:sz w:val="18"/>
                <w:szCs w:val="18"/>
                <w:lang w:eastAsia="zh-CN"/>
              </w:rPr>
              <w:t>一是开展蔬菜生产设施建设项目，共</w:t>
            </w:r>
            <w:r>
              <w:rPr>
                <w:rFonts w:hint="eastAsia" w:ascii="宋体" w:hAnsi="宋体" w:cs="宋体"/>
                <w:color w:val="000000"/>
                <w:kern w:val="0"/>
                <w:sz w:val="18"/>
                <w:szCs w:val="18"/>
                <w:lang w:val="en-US" w:eastAsia="zh-CN"/>
              </w:rPr>
              <w:t>14个。</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kern w:val="0"/>
                <w:sz w:val="18"/>
                <w:szCs w:val="18"/>
                <w:lang w:eastAsia="zh-CN"/>
              </w:rPr>
              <w:t>完成</w:t>
            </w:r>
            <w:r>
              <w:rPr>
                <w:rFonts w:hint="eastAsia" w:ascii="宋体" w:hAnsi="宋体" w:cs="宋体"/>
                <w:color w:val="000000"/>
                <w:kern w:val="0"/>
                <w:sz w:val="18"/>
                <w:szCs w:val="18"/>
                <w:lang w:val="en-US" w:eastAsia="zh-CN"/>
              </w:rPr>
              <w:t>蔬菜生产设施项目共14个。</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kern w:val="2"/>
                <w:sz w:val="18"/>
                <w:szCs w:val="18"/>
                <w:lang w:val="en-US" w:eastAsia="zh-CN" w:bidi="ar-SA"/>
              </w:rPr>
              <w:t>14个蔬菜生产设施建设项目</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bidi="ar"/>
              </w:rPr>
              <w:t>14</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color w:val="000000"/>
                <w:kern w:val="2"/>
                <w:sz w:val="18"/>
                <w:szCs w:val="18"/>
                <w:lang w:val="en-US" w:eastAsia="zh-CN" w:bidi="ar-SA"/>
              </w:rPr>
              <w:t>土地产出率、劳动生产率、资源利用率及蔬菜产量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bidi="ar"/>
              </w:rPr>
              <w:t>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提高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bidi="ar"/>
              </w:rPr>
              <w:t>完成设施农业项目</w:t>
            </w:r>
            <w:r>
              <w:rPr>
                <w:rFonts w:hint="eastAsia" w:ascii="宋体" w:hAnsi="宋体" w:eastAsia="宋体" w:cs="宋体"/>
                <w:color w:val="auto"/>
                <w:kern w:val="0"/>
                <w:sz w:val="18"/>
                <w:szCs w:val="18"/>
                <w:lang w:val="en-US" w:eastAsia="zh-CN" w:bidi="ar"/>
              </w:rPr>
              <w:t>建设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12月底前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kern w:val="2"/>
                <w:sz w:val="18"/>
                <w:szCs w:val="18"/>
                <w:lang w:val="en-US" w:eastAsia="zh-CN" w:bidi="ar-SA"/>
              </w:rPr>
              <w:t>14个蔬菜生产设施建设项目</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rPr>
              <w:t>685.42</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685.42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color w:val="000000"/>
                <w:sz w:val="18"/>
                <w:szCs w:val="18"/>
                <w:lang w:val="en-US" w:eastAsia="zh-CN"/>
              </w:rPr>
              <w:t>新增设施面积787.54亩</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新增设施面积787.54亩</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787.54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指标2：</w:t>
            </w:r>
            <w:r>
              <w:rPr>
                <w:rFonts w:hint="eastAsia" w:ascii="宋体" w:hAnsi="宋体" w:eastAsia="宋体" w:cs="宋体"/>
                <w:color w:val="000000"/>
                <w:sz w:val="18"/>
                <w:szCs w:val="18"/>
                <w:lang w:val="en-US" w:eastAsia="zh-CN"/>
              </w:rPr>
              <w:t>蔬菜产量提升约40%，达6142.81吨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蔬菜产量提升约40%，达6142.81吨</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蔬菜产量提升约40%，达6142.81吨</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color w:val="000000"/>
                <w:sz w:val="18"/>
                <w:szCs w:val="18"/>
                <w:lang w:eastAsia="zh-CN"/>
              </w:rPr>
              <w:t>投诉率</w:t>
            </w:r>
          </w:p>
        </w:tc>
        <w:tc>
          <w:tcPr>
            <w:tcW w:w="93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w:t>
            </w:r>
          </w:p>
        </w:tc>
        <w:tc>
          <w:tcPr>
            <w:tcW w:w="848"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000000"/>
                <w:sz w:val="18"/>
                <w:szCs w:val="18"/>
                <w:lang w:val="en-US" w:eastAsia="zh-CN"/>
              </w:rPr>
              <w:t>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1050"/>
        <w:gridCol w:w="567"/>
        <w:gridCol w:w="204"/>
        <w:gridCol w:w="313"/>
        <w:gridCol w:w="523"/>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高效设施农业试点项目建设补助</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通州区农业农村局</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杨跃方</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1500</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1500</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推进</w:t>
            </w:r>
            <w:r>
              <w:rPr>
                <w:rFonts w:hint="eastAsia" w:ascii="宋体" w:hAnsi="宋体" w:cs="宋体"/>
                <w:color w:val="auto"/>
                <w:kern w:val="0"/>
                <w:sz w:val="18"/>
                <w:szCs w:val="18"/>
              </w:rPr>
              <w:t>高效设施农业试点建设项目</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r>
              <w:rPr>
                <w:rFonts w:hint="eastAsia" w:ascii="宋体" w:hAnsi="宋体" w:cs="宋体"/>
                <w:color w:val="auto"/>
                <w:kern w:val="0"/>
                <w:sz w:val="18"/>
                <w:szCs w:val="18"/>
              </w:rPr>
              <w:t>高效设施农业试点建设项目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建设</w:t>
            </w:r>
            <w:r>
              <w:rPr>
                <w:rFonts w:hint="eastAsia" w:ascii="宋体" w:hAnsi="宋体" w:cs="宋体"/>
                <w:color w:val="auto"/>
                <w:kern w:val="0"/>
                <w:sz w:val="18"/>
                <w:szCs w:val="18"/>
              </w:rPr>
              <w:t>高效设施农业</w:t>
            </w:r>
            <w:r>
              <w:rPr>
                <w:rFonts w:hint="eastAsia" w:ascii="宋体" w:hAnsi="宋体" w:cs="宋体"/>
                <w:color w:val="auto"/>
                <w:kern w:val="0"/>
                <w:sz w:val="18"/>
                <w:szCs w:val="18"/>
                <w:lang w:eastAsia="zh-CN"/>
              </w:rPr>
              <w:t>项目个数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年度农业农村改革发展资金支出进度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项目任务落实进度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项目资金支持标准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通过资金支持有效推进试点项目</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有效推进</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有效推进</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51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2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10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99.9%</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608"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实施农业领域贷款贴息和担保费补</w:t>
            </w:r>
            <w:r>
              <w:rPr>
                <w:rFonts w:hint="eastAsia" w:ascii="宋体" w:hAnsi="宋体" w:cs="宋体"/>
                <w:color w:val="auto"/>
                <w:kern w:val="0"/>
                <w:sz w:val="18"/>
                <w:szCs w:val="18"/>
                <w:lang w:val="en-US" w:eastAsia="zh-CN"/>
              </w:rPr>
              <w:t>贴</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北京市通州区财政局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王连春</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联系电话</w:t>
            </w:r>
          </w:p>
        </w:tc>
        <w:tc>
          <w:tcPr>
            <w:tcW w:w="2306"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13671367693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304.98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294.40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135.1956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45.92%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304.98</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294.40</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135.1956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86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6"/>
                <w:szCs w:val="16"/>
              </w:rPr>
            </w:pPr>
            <w:r>
              <w:rPr>
                <w:rFonts w:hint="eastAsia" w:ascii="宋体" w:hAnsi="宋体" w:cs="宋体"/>
                <w:color w:val="auto"/>
                <w:kern w:val="0"/>
                <w:sz w:val="16"/>
                <w:szCs w:val="16"/>
              </w:rPr>
              <w:t>根据市农业农村局《关于组织做好2022年农业领域贷款贴息等金融扶持相关工作的通知》要求，对2021年7月1日至2022年6月30日期间贷款到期，并全部按时归还本息的相关农业经营主体贷款给予贴息和担保费补贴。</w:t>
            </w:r>
          </w:p>
          <w:p>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rPr>
              <w:t>通州区符合要求的涉及7个乡镇12家农业经营主体，21笔业务，涉及贷款金额约6380.8万元，补贴金额约304.98万元。项目补贴资金需经第三方审计公司评审完毕并出具审计报告后方可进行拨付。</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rPr>
              <w:t>核准后</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符合要求的共计7各乡镇11家企业17笔业务，核准</w:t>
            </w:r>
            <w:r>
              <w:rPr>
                <w:rFonts w:hint="eastAsia" w:ascii="宋体" w:hAnsi="宋体" w:cs="宋体"/>
                <w:color w:val="auto"/>
                <w:kern w:val="0"/>
                <w:sz w:val="16"/>
                <w:szCs w:val="16"/>
              </w:rPr>
              <w:t>贴息金额133.8556万元，核准担保费金额1.34万元，共计需拨付补贴金额约为135.1956万元，</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涉及乡镇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r>
              <w:rPr>
                <w:rFonts w:hint="eastAsia" w:ascii="宋体" w:hAnsi="宋体" w:cs="宋体"/>
                <w:color w:val="auto"/>
                <w:kern w:val="0"/>
                <w:sz w:val="15"/>
                <w:szCs w:val="15"/>
              </w:rPr>
              <w:t>7个</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r>
              <w:rPr>
                <w:rFonts w:hint="eastAsia" w:ascii="宋体" w:hAnsi="宋体" w:cs="宋体"/>
                <w:color w:val="auto"/>
                <w:kern w:val="0"/>
                <w:sz w:val="15"/>
                <w:szCs w:val="15"/>
              </w:rPr>
              <w:t>7个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涉及企业</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r>
              <w:rPr>
                <w:rFonts w:hint="eastAsia" w:ascii="宋体" w:hAnsi="宋体" w:cs="宋体"/>
                <w:color w:val="auto"/>
                <w:kern w:val="0"/>
                <w:sz w:val="15"/>
                <w:szCs w:val="15"/>
              </w:rPr>
              <w:t>12家</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11家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4.6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涉及业务笔数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r>
              <w:rPr>
                <w:rFonts w:hint="eastAsia" w:ascii="宋体" w:hAnsi="宋体" w:cs="宋体"/>
                <w:color w:val="auto"/>
                <w:kern w:val="0"/>
                <w:sz w:val="15"/>
                <w:szCs w:val="15"/>
              </w:rPr>
              <w:t>21笔</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17笔</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r>
      <w:tr>
        <w:tblPrEx>
          <w:tblCellMar>
            <w:top w:w="0" w:type="dxa"/>
            <w:left w:w="108" w:type="dxa"/>
            <w:bottom w:w="0" w:type="dxa"/>
            <w:right w:w="108" w:type="dxa"/>
          </w:tblCellMar>
        </w:tblPrEx>
        <w:trPr>
          <w:trHeight w:val="6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市级、区级、金融部门审核</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r>
              <w:rPr>
                <w:rFonts w:hint="eastAsia" w:ascii="宋体" w:hAnsi="宋体" w:cs="宋体"/>
                <w:color w:val="auto"/>
                <w:kern w:val="0"/>
                <w:sz w:val="15"/>
                <w:szCs w:val="15"/>
              </w:rPr>
              <w:t>逐级审核</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已完成</w:t>
            </w:r>
          </w:p>
        </w:tc>
        <w:tc>
          <w:tcPr>
            <w:tcW w:w="557" w:type="dxa"/>
            <w:gridSpan w:val="2"/>
            <w:vMerge w:val="restart"/>
            <w:tcBorders>
              <w:top w:val="nil"/>
              <w:left w:val="nil"/>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5</w:t>
            </w:r>
          </w:p>
        </w:tc>
        <w:tc>
          <w:tcPr>
            <w:tcW w:w="557" w:type="dxa"/>
            <w:gridSpan w:val="2"/>
            <w:vMerge w:val="restart"/>
            <w:tcBorders>
              <w:top w:val="nil"/>
              <w:left w:val="nil"/>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r>
      <w:tr>
        <w:tblPrEx>
          <w:tblCellMar>
            <w:top w:w="0" w:type="dxa"/>
            <w:left w:w="108" w:type="dxa"/>
            <w:bottom w:w="0" w:type="dxa"/>
            <w:right w:w="108" w:type="dxa"/>
          </w:tblCellMar>
        </w:tblPrEx>
        <w:trPr>
          <w:trHeight w:val="64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资金拨付前的项目审计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r>
              <w:rPr>
                <w:rFonts w:hint="eastAsia" w:ascii="宋体" w:hAnsi="宋体" w:cs="宋体"/>
                <w:color w:val="auto"/>
                <w:kern w:val="0"/>
                <w:sz w:val="15"/>
                <w:szCs w:val="15"/>
              </w:rPr>
              <w:t>出具审计报告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已完成</w:t>
            </w: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r>
      <w:tr>
        <w:tblPrEx>
          <w:tblCellMar>
            <w:top w:w="0" w:type="dxa"/>
            <w:left w:w="108" w:type="dxa"/>
            <w:bottom w:w="0" w:type="dxa"/>
            <w:right w:w="108" w:type="dxa"/>
          </w:tblCellMar>
        </w:tblPrEx>
        <w:trPr>
          <w:trHeight w:val="58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第三方审计公司比选工作</w:t>
            </w:r>
          </w:p>
        </w:tc>
        <w:tc>
          <w:tcPr>
            <w:tcW w:w="93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rPr>
              <w:t>20</w:t>
            </w:r>
            <w:r>
              <w:rPr>
                <w:rFonts w:hint="eastAsia" w:ascii="宋体" w:hAnsi="宋体" w:cs="宋体"/>
                <w:color w:val="auto"/>
                <w:kern w:val="0"/>
                <w:sz w:val="15"/>
                <w:szCs w:val="15"/>
                <w:lang w:val="en-US" w:eastAsia="zh-CN"/>
              </w:rPr>
              <w:t>23</w:t>
            </w:r>
            <w:r>
              <w:rPr>
                <w:rFonts w:hint="eastAsia" w:ascii="宋体" w:hAnsi="宋体" w:cs="宋体"/>
                <w:color w:val="auto"/>
                <w:kern w:val="0"/>
                <w:sz w:val="15"/>
                <w:szCs w:val="15"/>
              </w:rPr>
              <w:t>年</w:t>
            </w:r>
            <w:r>
              <w:rPr>
                <w:rFonts w:hint="eastAsia" w:ascii="宋体" w:hAnsi="宋体" w:cs="宋体"/>
                <w:color w:val="auto"/>
                <w:kern w:val="0"/>
                <w:sz w:val="15"/>
                <w:szCs w:val="15"/>
                <w:lang w:val="en-US" w:eastAsia="zh-CN"/>
              </w:rPr>
              <w:t>6</w:t>
            </w:r>
            <w:r>
              <w:rPr>
                <w:rFonts w:hint="eastAsia" w:ascii="宋体" w:hAnsi="宋体" w:cs="宋体"/>
                <w:color w:val="auto"/>
                <w:kern w:val="0"/>
                <w:sz w:val="15"/>
                <w:szCs w:val="15"/>
              </w:rPr>
              <w:t>月</w:t>
            </w:r>
            <w:r>
              <w:rPr>
                <w:rFonts w:hint="eastAsia" w:ascii="宋体" w:hAnsi="宋体" w:cs="宋体"/>
                <w:color w:val="auto"/>
                <w:kern w:val="0"/>
                <w:sz w:val="15"/>
                <w:szCs w:val="15"/>
                <w:lang w:val="en-US" w:eastAsia="zh-CN"/>
              </w:rPr>
              <w:t>30日</w:t>
            </w:r>
            <w:r>
              <w:rPr>
                <w:rFonts w:hint="eastAsia" w:ascii="宋体" w:hAnsi="宋体" w:cs="宋体"/>
                <w:color w:val="auto"/>
                <w:kern w:val="0"/>
                <w:sz w:val="15"/>
                <w:szCs w:val="15"/>
              </w:rPr>
              <w:t>前</w:t>
            </w:r>
          </w:p>
        </w:tc>
        <w:tc>
          <w:tcPr>
            <w:tcW w:w="84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rPr>
              <w:t>20</w:t>
            </w:r>
            <w:r>
              <w:rPr>
                <w:rFonts w:hint="eastAsia" w:ascii="宋体" w:hAnsi="宋体" w:cs="宋体"/>
                <w:color w:val="auto"/>
                <w:kern w:val="0"/>
                <w:sz w:val="15"/>
                <w:szCs w:val="15"/>
                <w:lang w:val="en-US" w:eastAsia="zh-CN"/>
              </w:rPr>
              <w:t>23</w:t>
            </w:r>
            <w:r>
              <w:rPr>
                <w:rFonts w:hint="eastAsia" w:ascii="宋体" w:hAnsi="宋体" w:cs="宋体"/>
                <w:color w:val="auto"/>
                <w:kern w:val="0"/>
                <w:sz w:val="15"/>
                <w:szCs w:val="15"/>
              </w:rPr>
              <w:t>年</w:t>
            </w:r>
            <w:r>
              <w:rPr>
                <w:rFonts w:hint="eastAsia" w:ascii="宋体" w:hAnsi="宋体" w:cs="宋体"/>
                <w:color w:val="auto"/>
                <w:kern w:val="0"/>
                <w:sz w:val="15"/>
                <w:szCs w:val="15"/>
                <w:lang w:val="en-US" w:eastAsia="zh-CN"/>
              </w:rPr>
              <w:t>6</w:t>
            </w:r>
            <w:r>
              <w:rPr>
                <w:rFonts w:hint="eastAsia" w:ascii="宋体" w:hAnsi="宋体" w:cs="宋体"/>
                <w:color w:val="auto"/>
                <w:kern w:val="0"/>
                <w:sz w:val="15"/>
                <w:szCs w:val="15"/>
              </w:rPr>
              <w:t>月</w:t>
            </w:r>
            <w:r>
              <w:rPr>
                <w:rFonts w:hint="eastAsia" w:ascii="宋体" w:hAnsi="宋体" w:cs="宋体"/>
                <w:color w:val="auto"/>
                <w:kern w:val="0"/>
                <w:sz w:val="15"/>
                <w:szCs w:val="15"/>
                <w:lang w:val="en-US" w:eastAsia="zh-CN"/>
              </w:rPr>
              <w:t>30日</w:t>
            </w:r>
            <w:r>
              <w:rPr>
                <w:rFonts w:hint="eastAsia" w:ascii="宋体" w:hAnsi="宋体" w:cs="宋体"/>
                <w:color w:val="auto"/>
                <w:kern w:val="0"/>
                <w:sz w:val="15"/>
                <w:szCs w:val="15"/>
              </w:rPr>
              <w:t>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r>
      <w:tr>
        <w:tblPrEx>
          <w:tblCellMar>
            <w:top w:w="0" w:type="dxa"/>
            <w:left w:w="108" w:type="dxa"/>
            <w:bottom w:w="0" w:type="dxa"/>
            <w:right w:w="108" w:type="dxa"/>
          </w:tblCellMar>
        </w:tblPrEx>
        <w:trPr>
          <w:trHeight w:val="5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资料入户审计核查工作</w:t>
            </w:r>
          </w:p>
        </w:tc>
        <w:tc>
          <w:tcPr>
            <w:tcW w:w="93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rPr>
              <w:t>20</w:t>
            </w:r>
            <w:r>
              <w:rPr>
                <w:rFonts w:hint="eastAsia" w:ascii="宋体" w:hAnsi="宋体" w:cs="宋体"/>
                <w:color w:val="auto"/>
                <w:kern w:val="0"/>
                <w:sz w:val="15"/>
                <w:szCs w:val="15"/>
                <w:lang w:val="en-US" w:eastAsia="zh-CN"/>
              </w:rPr>
              <w:t>23</w:t>
            </w:r>
            <w:r>
              <w:rPr>
                <w:rFonts w:hint="eastAsia" w:ascii="宋体" w:hAnsi="宋体" w:cs="宋体"/>
                <w:color w:val="auto"/>
                <w:kern w:val="0"/>
                <w:sz w:val="15"/>
                <w:szCs w:val="15"/>
              </w:rPr>
              <w:t>年</w:t>
            </w:r>
            <w:r>
              <w:rPr>
                <w:rFonts w:hint="eastAsia" w:ascii="宋体" w:hAnsi="宋体" w:cs="宋体"/>
                <w:color w:val="auto"/>
                <w:kern w:val="0"/>
                <w:sz w:val="15"/>
                <w:szCs w:val="15"/>
                <w:lang w:val="en-US" w:eastAsia="zh-CN"/>
              </w:rPr>
              <w:t>7</w:t>
            </w:r>
            <w:r>
              <w:rPr>
                <w:rFonts w:hint="eastAsia" w:ascii="宋体" w:hAnsi="宋体" w:cs="宋体"/>
                <w:color w:val="auto"/>
                <w:kern w:val="0"/>
                <w:sz w:val="15"/>
                <w:szCs w:val="15"/>
              </w:rPr>
              <w:t>月</w:t>
            </w:r>
            <w:r>
              <w:rPr>
                <w:rFonts w:hint="eastAsia" w:ascii="宋体" w:hAnsi="宋体" w:cs="宋体"/>
                <w:color w:val="auto"/>
                <w:kern w:val="0"/>
                <w:sz w:val="15"/>
                <w:szCs w:val="15"/>
                <w:lang w:val="en-US" w:eastAsia="zh-CN"/>
              </w:rPr>
              <w:t>30日</w:t>
            </w:r>
            <w:r>
              <w:rPr>
                <w:rFonts w:hint="eastAsia" w:ascii="宋体" w:hAnsi="宋体" w:cs="宋体"/>
                <w:color w:val="auto"/>
                <w:kern w:val="0"/>
                <w:sz w:val="15"/>
                <w:szCs w:val="15"/>
              </w:rPr>
              <w:t>前</w:t>
            </w:r>
          </w:p>
        </w:tc>
        <w:tc>
          <w:tcPr>
            <w:tcW w:w="84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rPr>
              <w:t>20</w:t>
            </w:r>
            <w:r>
              <w:rPr>
                <w:rFonts w:hint="eastAsia" w:ascii="宋体" w:hAnsi="宋体" w:cs="宋体"/>
                <w:color w:val="auto"/>
                <w:kern w:val="0"/>
                <w:sz w:val="15"/>
                <w:szCs w:val="15"/>
                <w:lang w:val="en-US" w:eastAsia="zh-CN"/>
              </w:rPr>
              <w:t>23</w:t>
            </w:r>
            <w:r>
              <w:rPr>
                <w:rFonts w:hint="eastAsia" w:ascii="宋体" w:hAnsi="宋体" w:cs="宋体"/>
                <w:color w:val="auto"/>
                <w:kern w:val="0"/>
                <w:sz w:val="15"/>
                <w:szCs w:val="15"/>
              </w:rPr>
              <w:t>年</w:t>
            </w:r>
            <w:r>
              <w:rPr>
                <w:rFonts w:hint="eastAsia" w:ascii="宋体" w:hAnsi="宋体" w:cs="宋体"/>
                <w:color w:val="auto"/>
                <w:kern w:val="0"/>
                <w:sz w:val="15"/>
                <w:szCs w:val="15"/>
                <w:lang w:val="en-US" w:eastAsia="zh-CN"/>
              </w:rPr>
              <w:t>8</w:t>
            </w:r>
            <w:r>
              <w:rPr>
                <w:rFonts w:hint="eastAsia" w:ascii="宋体" w:hAnsi="宋体" w:cs="宋体"/>
                <w:color w:val="auto"/>
                <w:kern w:val="0"/>
                <w:sz w:val="15"/>
                <w:szCs w:val="15"/>
              </w:rPr>
              <w:t>月</w:t>
            </w:r>
            <w:r>
              <w:rPr>
                <w:rFonts w:hint="eastAsia" w:ascii="宋体" w:hAnsi="宋体" w:cs="宋体"/>
                <w:color w:val="auto"/>
                <w:kern w:val="0"/>
                <w:sz w:val="15"/>
                <w:szCs w:val="15"/>
                <w:lang w:val="en-US" w:eastAsia="zh-CN"/>
              </w:rPr>
              <w:t>30日</w:t>
            </w:r>
            <w:r>
              <w:rPr>
                <w:rFonts w:hint="eastAsia" w:ascii="宋体" w:hAnsi="宋体" w:cs="宋体"/>
                <w:color w:val="auto"/>
                <w:kern w:val="0"/>
                <w:sz w:val="15"/>
                <w:szCs w:val="15"/>
              </w:rPr>
              <w:t>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4.4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r>
      <w:tr>
        <w:tblPrEx>
          <w:tblCellMar>
            <w:top w:w="0" w:type="dxa"/>
            <w:left w:w="108" w:type="dxa"/>
            <w:bottom w:w="0" w:type="dxa"/>
            <w:right w:w="108" w:type="dxa"/>
          </w:tblCellMar>
        </w:tblPrEx>
        <w:trPr>
          <w:trHeight w:val="82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rPr>
            </w:pPr>
            <w:r>
              <w:rPr>
                <w:rFonts w:hint="eastAsia" w:ascii="宋体" w:hAnsi="宋体" w:cs="宋体"/>
                <w:color w:val="auto"/>
                <w:kern w:val="0"/>
                <w:sz w:val="15"/>
                <w:szCs w:val="15"/>
              </w:rPr>
              <w:t>完成资金拨付工作</w:t>
            </w:r>
          </w:p>
        </w:tc>
        <w:tc>
          <w:tcPr>
            <w:tcW w:w="93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rPr>
              <w:t>20</w:t>
            </w:r>
            <w:r>
              <w:rPr>
                <w:rFonts w:hint="eastAsia" w:ascii="宋体" w:hAnsi="宋体" w:cs="宋体"/>
                <w:color w:val="auto"/>
                <w:kern w:val="0"/>
                <w:sz w:val="15"/>
                <w:szCs w:val="15"/>
                <w:lang w:val="en-US" w:eastAsia="zh-CN"/>
              </w:rPr>
              <w:t>23</w:t>
            </w:r>
            <w:r>
              <w:rPr>
                <w:rFonts w:hint="eastAsia" w:ascii="宋体" w:hAnsi="宋体" w:cs="宋体"/>
                <w:color w:val="auto"/>
                <w:kern w:val="0"/>
                <w:sz w:val="15"/>
                <w:szCs w:val="15"/>
              </w:rPr>
              <w:t>年</w:t>
            </w:r>
            <w:r>
              <w:rPr>
                <w:rFonts w:hint="eastAsia" w:ascii="宋体" w:hAnsi="宋体" w:cs="宋体"/>
                <w:color w:val="auto"/>
                <w:kern w:val="0"/>
                <w:sz w:val="15"/>
                <w:szCs w:val="15"/>
                <w:lang w:val="en-US" w:eastAsia="zh-CN"/>
              </w:rPr>
              <w:t>8</w:t>
            </w:r>
            <w:r>
              <w:rPr>
                <w:rFonts w:hint="eastAsia" w:ascii="宋体" w:hAnsi="宋体" w:cs="宋体"/>
                <w:color w:val="auto"/>
                <w:kern w:val="0"/>
                <w:sz w:val="15"/>
                <w:szCs w:val="15"/>
              </w:rPr>
              <w:t>月30日前</w:t>
            </w:r>
          </w:p>
        </w:tc>
        <w:tc>
          <w:tcPr>
            <w:tcW w:w="84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rPr>
              <w:t>20</w:t>
            </w:r>
            <w:r>
              <w:rPr>
                <w:rFonts w:hint="eastAsia" w:ascii="宋体" w:hAnsi="宋体" w:cs="宋体"/>
                <w:color w:val="auto"/>
                <w:kern w:val="0"/>
                <w:sz w:val="15"/>
                <w:szCs w:val="15"/>
                <w:lang w:val="en-US" w:eastAsia="zh-CN"/>
              </w:rPr>
              <w:t>23</w:t>
            </w:r>
            <w:r>
              <w:rPr>
                <w:rFonts w:hint="eastAsia" w:ascii="宋体" w:hAnsi="宋体" w:cs="宋体"/>
                <w:color w:val="auto"/>
                <w:kern w:val="0"/>
                <w:sz w:val="15"/>
                <w:szCs w:val="15"/>
              </w:rPr>
              <w:t>年</w:t>
            </w:r>
            <w:r>
              <w:rPr>
                <w:rFonts w:hint="eastAsia" w:ascii="宋体" w:hAnsi="宋体" w:cs="宋体"/>
                <w:color w:val="auto"/>
                <w:kern w:val="0"/>
                <w:sz w:val="15"/>
                <w:szCs w:val="15"/>
                <w:lang w:val="en-US" w:eastAsia="zh-CN"/>
              </w:rPr>
              <w:t>12</w:t>
            </w:r>
            <w:r>
              <w:rPr>
                <w:rFonts w:hint="eastAsia" w:ascii="宋体" w:hAnsi="宋体" w:cs="宋体"/>
                <w:color w:val="auto"/>
                <w:kern w:val="0"/>
                <w:sz w:val="15"/>
                <w:szCs w:val="15"/>
              </w:rPr>
              <w:t>月30日前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rPr>
            </w:pPr>
          </w:p>
        </w:tc>
      </w:tr>
      <w:tr>
        <w:tblPrEx>
          <w:tblCellMar>
            <w:top w:w="0" w:type="dxa"/>
            <w:left w:w="108" w:type="dxa"/>
            <w:bottom w:w="0" w:type="dxa"/>
            <w:right w:w="108" w:type="dxa"/>
          </w:tblCellMar>
        </w:tblPrEx>
        <w:trPr>
          <w:trHeight w:val="39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2022年项目资金</w:t>
            </w:r>
          </w:p>
        </w:tc>
        <w:tc>
          <w:tcPr>
            <w:tcW w:w="93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295.5859万元</w:t>
            </w:r>
          </w:p>
        </w:tc>
        <w:tc>
          <w:tcPr>
            <w:tcW w:w="848" w:type="dxa"/>
            <w:vMerge w:val="restart"/>
            <w:tcBorders>
              <w:top w:val="nil"/>
              <w:left w:val="nil"/>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135.1956万元</w:t>
            </w:r>
          </w:p>
        </w:tc>
        <w:tc>
          <w:tcPr>
            <w:tcW w:w="557" w:type="dxa"/>
            <w:gridSpan w:val="2"/>
            <w:vMerge w:val="restart"/>
            <w:tcBorders>
              <w:top w:val="nil"/>
              <w:left w:val="nil"/>
              <w:right w:val="single" w:color="auto" w:sz="4" w:space="0"/>
            </w:tcBorders>
            <w:vAlign w:val="center"/>
          </w:tcPr>
          <w:p>
            <w:pPr>
              <w:widowControl/>
              <w:spacing w:line="24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10</w:t>
            </w:r>
          </w:p>
        </w:tc>
        <w:tc>
          <w:tcPr>
            <w:tcW w:w="557" w:type="dxa"/>
            <w:gridSpan w:val="2"/>
            <w:vMerge w:val="restart"/>
            <w:tcBorders>
              <w:top w:val="nil"/>
              <w:left w:val="nil"/>
              <w:right w:val="single" w:color="auto" w:sz="4" w:space="0"/>
            </w:tcBorders>
            <w:vAlign w:val="center"/>
          </w:tcPr>
          <w:p>
            <w:pPr>
              <w:widowControl/>
              <w:spacing w:line="240" w:lineRule="exact"/>
              <w:jc w:val="center"/>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3.9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5"/>
                <w:szCs w:val="15"/>
                <w:lang w:val="en-US" w:eastAsia="zh-CN"/>
              </w:rPr>
            </w:pPr>
            <w:r>
              <w:rPr>
                <w:rFonts w:hint="eastAsia" w:ascii="宋体" w:hAnsi="宋体" w:cs="宋体"/>
                <w:color w:val="auto"/>
                <w:kern w:val="0"/>
                <w:sz w:val="15"/>
                <w:szCs w:val="15"/>
              </w:rPr>
              <w:t>2023年</w:t>
            </w:r>
            <w:r>
              <w:rPr>
                <w:rFonts w:hint="eastAsia" w:ascii="宋体" w:hAnsi="宋体" w:cs="宋体"/>
                <w:color w:val="auto"/>
                <w:kern w:val="0"/>
                <w:sz w:val="15"/>
                <w:szCs w:val="15"/>
                <w:lang w:val="en-US" w:eastAsia="zh-CN"/>
              </w:rPr>
              <w:t>项目资金</w:t>
            </w:r>
          </w:p>
        </w:tc>
        <w:tc>
          <w:tcPr>
            <w:tcW w:w="93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rPr>
            </w:pPr>
            <w:r>
              <w:rPr>
                <w:rFonts w:hint="eastAsia" w:ascii="宋体" w:hAnsi="宋体" w:cs="宋体"/>
                <w:color w:val="auto"/>
                <w:kern w:val="0"/>
                <w:sz w:val="15"/>
                <w:szCs w:val="15"/>
              </w:rPr>
              <w:t>50.75</w:t>
            </w:r>
          </w:p>
        </w:tc>
        <w:tc>
          <w:tcPr>
            <w:tcW w:w="848" w:type="dxa"/>
            <w:vMerge w:val="continue"/>
            <w:tcBorders>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5"/>
                <w:szCs w:val="15"/>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5"/>
                <w:szCs w:val="15"/>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val="en-US" w:eastAsia="zh-CN"/>
              </w:rPr>
              <w:t>促进农民增收</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rPr>
              <w:t>有所增强</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rPr>
              <w:t>　</w:t>
            </w:r>
            <w:r>
              <w:rPr>
                <w:rFonts w:hint="eastAsia" w:ascii="宋体" w:hAnsi="宋体" w:cs="宋体"/>
                <w:color w:val="auto"/>
                <w:kern w:val="0"/>
                <w:sz w:val="15"/>
                <w:szCs w:val="15"/>
                <w:lang w:val="en-US" w:eastAsia="zh-CN"/>
              </w:rPr>
              <w:t>效果显著</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val="en-US" w:eastAsia="zh-CN"/>
              </w:rPr>
              <w:t>15</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val="en-US" w:eastAsia="zh-CN"/>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5"/>
                <w:szCs w:val="15"/>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rPr>
              <w:t>绩效评价结果应用程度</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rPr>
              <w:t>得到提升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rPr>
              <w:t>　得到提升</w:t>
            </w:r>
          </w:p>
        </w:tc>
        <w:tc>
          <w:tcPr>
            <w:tcW w:w="557" w:type="dxa"/>
            <w:gridSpan w:val="2"/>
            <w:tcBorders>
              <w:top w:val="nil"/>
              <w:left w:val="nil"/>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5"/>
                <w:szCs w:val="15"/>
                <w:lang w:val="en-US" w:eastAsia="zh-CN" w:bidi="ar-SA"/>
              </w:rPr>
            </w:pPr>
            <w:r>
              <w:rPr>
                <w:rFonts w:hint="eastAsia" w:ascii="宋体" w:hAnsi="宋体" w:cs="宋体"/>
                <w:color w:val="auto"/>
                <w:kern w:val="0"/>
                <w:sz w:val="15"/>
                <w:szCs w:val="15"/>
                <w:lang w:val="en-US" w:eastAsia="zh-CN"/>
              </w:rPr>
              <w:t>15</w:t>
            </w:r>
          </w:p>
        </w:tc>
        <w:tc>
          <w:tcPr>
            <w:tcW w:w="557" w:type="dxa"/>
            <w:gridSpan w:val="2"/>
            <w:tcBorders>
              <w:top w:val="nil"/>
              <w:left w:val="nil"/>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5"/>
                <w:szCs w:val="15"/>
                <w:lang w:val="en-US" w:eastAsia="zh-CN" w:bidi="ar-SA"/>
              </w:rPr>
            </w:pPr>
            <w:r>
              <w:rPr>
                <w:rFonts w:hint="eastAsia" w:ascii="宋体" w:hAnsi="宋体" w:cs="宋体"/>
                <w:color w:val="auto"/>
                <w:kern w:val="0"/>
                <w:sz w:val="15"/>
                <w:szCs w:val="15"/>
                <w:lang w:val="en-US" w:eastAsia="zh-CN"/>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5"/>
                <w:szCs w:val="15"/>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rPr>
              <w:t>≧80%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rPr>
              <w:t>80%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rPr>
              <w:t>　</w:t>
            </w:r>
            <w:r>
              <w:rPr>
                <w:rFonts w:hint="eastAsia" w:ascii="宋体" w:hAnsi="宋体" w:cs="宋体"/>
                <w:color w:val="auto"/>
                <w:kern w:val="0"/>
                <w:sz w:val="15"/>
                <w:szCs w:val="15"/>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5"/>
                <w:szCs w:val="15"/>
              </w:rPr>
            </w:pPr>
          </w:p>
        </w:tc>
      </w:tr>
      <w:tr>
        <w:tblPrEx>
          <w:tblCellMar>
            <w:top w:w="0" w:type="dxa"/>
            <w:left w:w="108" w:type="dxa"/>
            <w:bottom w:w="0" w:type="dxa"/>
            <w:right w:w="108" w:type="dxa"/>
          </w:tblCellMar>
        </w:tblPrEx>
        <w:trPr>
          <w:trHeight w:val="430"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82.4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50"/>
        <w:gridCol w:w="100"/>
        <w:gridCol w:w="634"/>
        <w:gridCol w:w="137"/>
        <w:gridCol w:w="446"/>
        <w:gridCol w:w="390"/>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实施北京市休闲农业十百千万畅游行动</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王连春</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13671367693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230</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230</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230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696"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推动实施休闲农业“十百千万”畅游行动项目</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完成</w:t>
            </w:r>
            <w:r>
              <w:rPr>
                <w:rFonts w:hint="eastAsia" w:ascii="宋体" w:hAnsi="宋体" w:cs="宋体"/>
                <w:color w:val="auto"/>
                <w:kern w:val="0"/>
                <w:sz w:val="18"/>
                <w:szCs w:val="18"/>
                <w:lang w:val="en-US" w:eastAsia="zh-CN"/>
              </w:rPr>
              <w:t>4个改造休闲农业园区，1个改造民俗接待示范户项目，1个专家辅导团项目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4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改造休闲农业园区</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4个</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4个</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改造民俗接待示范户项目</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1个</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专家辅导团项目</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休闲农业“十百千万”畅游行动评价结果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80分</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90分</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年度农业农村改革发展资金支出进度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符合财政部门规定要求</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项目任务落实进度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符合市级主管部门指导要求</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项目资金支持标准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符合市级规定标准要求</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休闲农业促进农民收入情况</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稳步增长</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稳步增长</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1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通过休闲农业“十百千万”畅游行动，带动乡村休闲产业发展，创建市级美丽休闲乡村</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达到市级要求标准</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达到市级要求标准</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休闲农业带动乡村产业兴旺作用</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持续增长</w:t>
            </w:r>
          </w:p>
        </w:tc>
        <w:tc>
          <w:tcPr>
            <w:tcW w:w="9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持续增长</w:t>
            </w:r>
          </w:p>
        </w:tc>
        <w:tc>
          <w:tcPr>
            <w:tcW w:w="7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c>
          <w:tcPr>
            <w:tcW w:w="9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7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pPr w:leftFromText="180" w:rightFromText="180" w:vertAnchor="page" w:horzAnchor="page" w:tblpX="487" w:tblpY="1278"/>
        <w:tblOverlap w:val="never"/>
        <w:tblW w:w="11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972"/>
        <w:gridCol w:w="972"/>
        <w:gridCol w:w="972"/>
        <w:gridCol w:w="972"/>
        <w:gridCol w:w="787"/>
        <w:gridCol w:w="857"/>
        <w:gridCol w:w="972"/>
        <w:gridCol w:w="504"/>
        <w:gridCol w:w="504"/>
        <w:gridCol w:w="456"/>
        <w:gridCol w:w="456"/>
        <w:gridCol w:w="732"/>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0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10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15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实施高标准农田建设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通州区农业农村局</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1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4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王连春</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31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13671367693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     预算数</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344.96</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344.96</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344.96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344.96</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344.96</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344.96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5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按照北京市农业农村局要求，完成通州区高标准农田建设规划（2021-2030年）</w:t>
            </w:r>
          </w:p>
        </w:tc>
        <w:tc>
          <w:tcPr>
            <w:tcW w:w="45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已完成通州区高标准农田建设规划（2021-2030年）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7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p>
        </w:tc>
        <w:tc>
          <w:tcPr>
            <w:tcW w:w="10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10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指标1：拨付项目资金数量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10项</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指标1：资金完成拨付，通过审查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指标1：按照项目实施计划完成</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指标1：资金使用合理</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指标</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指标1：提升粮食安全保障能力，推动农业高质量发展，提升种粮农民积极性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促进</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促进</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指标1：提高资源利用效率，改善农业生态环境</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指标1：持续推进农业发展</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推进</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推进</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指标1：服务对象满意度≥95%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4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50"/>
        <w:gridCol w:w="100"/>
        <w:gridCol w:w="634"/>
        <w:gridCol w:w="137"/>
        <w:gridCol w:w="446"/>
        <w:gridCol w:w="390"/>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2022年休闲农业“十百千万”畅游行动项目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王连春</w:t>
            </w:r>
          </w:p>
        </w:tc>
        <w:tc>
          <w:tcPr>
            <w:tcW w:w="10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13671367693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推动实施休闲农业“十百千万”畅游行动项目</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完成</w:t>
            </w:r>
            <w:r>
              <w:rPr>
                <w:rFonts w:hint="eastAsia" w:ascii="宋体" w:hAnsi="宋体" w:cs="宋体"/>
                <w:color w:val="auto"/>
                <w:kern w:val="0"/>
                <w:sz w:val="18"/>
                <w:szCs w:val="18"/>
                <w:lang w:val="en-US" w:eastAsia="zh-CN"/>
              </w:rPr>
              <w:t>4个改造休闲农业园区，1个改造民俗接待示范户项目，1个专家辅导团项目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改造休闲农业园区</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lang w:val="en-US" w:eastAsia="zh-CN"/>
              </w:rPr>
              <w:t>个</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4个</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休闲农业与乡村旅游提档升级</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提高</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提高</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年度农业农村改革发展资金支出进度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符合财政部门规定要求</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项目任务落实进度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符合市级主管部门指导要求</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涉及各项补贴资金标准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符合制度文件要求</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符合制度文件要求</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休闲农业促进农民增收产业增收</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稳步提升</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稳步提升</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c>
          <w:tcPr>
            <w:tcW w:w="9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7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1050"/>
        <w:gridCol w:w="567"/>
        <w:gridCol w:w="204"/>
        <w:gridCol w:w="313"/>
        <w:gridCol w:w="523"/>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支持家庭农场示范区创建</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通州区农业农村局</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王连春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13671367693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225.68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225.68</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214.68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95.13%</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225.68</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225.68</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rPr>
              <w:t>214.68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支持家庭农场示范区创建</w:t>
            </w:r>
            <w:r>
              <w:rPr>
                <w:rFonts w:hint="eastAsia" w:ascii="宋体" w:hAnsi="宋体" w:cs="宋体"/>
                <w:color w:val="auto"/>
                <w:kern w:val="0"/>
                <w:sz w:val="18"/>
                <w:szCs w:val="18"/>
                <w:lang w:eastAsia="zh-CN"/>
              </w:rPr>
              <w:t>项目</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lang w:eastAsia="zh-CN"/>
              </w:rPr>
              <w:t>已完成创建家庭农场示范区</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支持家庭农场示范区</w:t>
            </w:r>
            <w:r>
              <w:rPr>
                <w:rFonts w:hint="eastAsia" w:ascii="宋体" w:hAnsi="宋体" w:cs="宋体"/>
                <w:color w:val="auto"/>
                <w:kern w:val="0"/>
                <w:sz w:val="18"/>
                <w:szCs w:val="18"/>
                <w:lang w:eastAsia="zh-CN"/>
              </w:rPr>
              <w:t>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年度农业农村改革发展资金支出进度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项目任务落实进度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项目资金支持标准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通过资金支持，</w:t>
            </w:r>
            <w:r>
              <w:rPr>
                <w:rFonts w:hint="eastAsia" w:ascii="宋体" w:hAnsi="宋体" w:cs="宋体"/>
                <w:color w:val="auto"/>
                <w:kern w:val="0"/>
                <w:sz w:val="18"/>
                <w:szCs w:val="18"/>
                <w:lang w:val="en-US" w:eastAsia="zh-CN"/>
              </w:rPr>
              <w:t>推</w:t>
            </w:r>
            <w:r>
              <w:rPr>
                <w:rFonts w:hint="eastAsia" w:ascii="宋体" w:hAnsi="宋体" w:cs="宋体"/>
                <w:color w:val="auto"/>
                <w:kern w:val="0"/>
                <w:sz w:val="18"/>
                <w:szCs w:val="18"/>
              </w:rPr>
              <w:t>进家庭农场示范区创建</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稳步推进</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稳步推进</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30</w:t>
            </w:r>
          </w:p>
        </w:tc>
        <w:tc>
          <w:tcPr>
            <w:tcW w:w="51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30</w:t>
            </w:r>
          </w:p>
        </w:tc>
        <w:tc>
          <w:tcPr>
            <w:tcW w:w="12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8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99.9%</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1050"/>
        <w:gridCol w:w="567"/>
        <w:gridCol w:w="204"/>
        <w:gridCol w:w="313"/>
        <w:gridCol w:w="523"/>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通州区2021年中央财政农业生产发展资金—国家现代农业产业园</w:t>
            </w:r>
          </w:p>
        </w:tc>
      </w:tr>
      <w:tr>
        <w:tblPrEx>
          <w:tblCellMar>
            <w:top w:w="0" w:type="dxa"/>
            <w:left w:w="108" w:type="dxa"/>
            <w:bottom w:w="0" w:type="dxa"/>
            <w:right w:w="108" w:type="dxa"/>
          </w:tblCellMar>
        </w:tblPrEx>
        <w:trPr>
          <w:trHeight w:val="295"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20"/>
                <w:szCs w:val="20"/>
              </w:rPr>
              <w:t>通州区农业农村局</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20"/>
                <w:szCs w:val="20"/>
              </w:rPr>
              <w:t>杨跃方</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20"/>
                <w:szCs w:val="20"/>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985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985</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985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default" w:ascii="宋体" w:hAnsi="宋体" w:eastAsia="宋体" w:cs="宋体"/>
                <w:color w:val="auto"/>
                <w:kern w:val="0"/>
                <w:sz w:val="18"/>
                <w:szCs w:val="18"/>
                <w:lang w:val="en-US" w:eastAsia="zh-CN"/>
              </w:rPr>
              <w:t>985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default" w:ascii="宋体" w:hAnsi="宋体" w:eastAsia="宋体" w:cs="宋体"/>
                <w:color w:val="auto"/>
                <w:kern w:val="0"/>
                <w:sz w:val="18"/>
                <w:szCs w:val="18"/>
                <w:lang w:val="en-US" w:eastAsia="zh-CN"/>
              </w:rPr>
              <w:t>985</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985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完成通州区国家现代农业产业园创建工作</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完成通州区国家现代农业产业园创建工作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完成通州区国家现代农业产业园创建工作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符合《</w:t>
            </w:r>
            <w:r>
              <w:rPr>
                <w:rFonts w:hint="eastAsia" w:ascii="宋体" w:hAnsi="宋体" w:cs="宋体"/>
                <w:color w:val="auto"/>
                <w:kern w:val="0"/>
                <w:sz w:val="18"/>
                <w:szCs w:val="18"/>
              </w:rPr>
              <w:t>北京市通州区国家现代农业产业园</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创建方案</w:t>
            </w:r>
            <w:r>
              <w:rPr>
                <w:rFonts w:hint="eastAsia" w:ascii="宋体" w:hAnsi="宋体" w:cs="宋体"/>
                <w:color w:val="auto"/>
                <w:kern w:val="0"/>
                <w:sz w:val="18"/>
                <w:szCs w:val="18"/>
                <w:lang w:eastAsia="zh-CN"/>
              </w:rPr>
              <w:t>》要求</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符合</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符合</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绩效评价完成时间</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w:t>
            </w:r>
            <w:r>
              <w:rPr>
                <w:rFonts w:hint="eastAsia" w:ascii="宋体" w:hAnsi="宋体" w:cs="宋体"/>
                <w:color w:val="auto"/>
                <w:kern w:val="0"/>
                <w:sz w:val="18"/>
                <w:szCs w:val="18"/>
              </w:rPr>
              <w:t>年</w:t>
            </w:r>
            <w:r>
              <w:rPr>
                <w:rFonts w:hint="eastAsia" w:ascii="宋体" w:hAnsi="宋体" w:cs="宋体"/>
                <w:color w:val="auto"/>
                <w:kern w:val="0"/>
                <w:sz w:val="18"/>
                <w:szCs w:val="18"/>
                <w:lang w:eastAsia="zh-CN"/>
              </w:rPr>
              <w:t>底</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已完成</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支出不超过总预算</w:t>
            </w:r>
          </w:p>
        </w:tc>
        <w:tc>
          <w:tcPr>
            <w:tcW w:w="93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≤985万元</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985万元</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通过开展产业园项目，提升现代技术和科技装备集成。</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显著</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较显著</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7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通过开展产业园项目，提高农民收入。</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显著</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较显著</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7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通过开展产业园项目，增强蔬菜保障能力</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显著</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较显著</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8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土地经营者满意度</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80%</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20"/>
                <w:szCs w:val="20"/>
                <w:lang w:val="en-US" w:eastAsia="zh-CN"/>
              </w:rPr>
              <w:t>通州区2021年中央财政农业生产发展资金—优势特色产业集群（蔬菜）产业集群</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杨跃方</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1000</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1000</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kern w:val="0"/>
                <w:sz w:val="18"/>
                <w:szCs w:val="18"/>
                <w:lang w:val="en-US" w:eastAsia="zh-CN"/>
              </w:rPr>
              <w:t>开展2021-2022年度设施蔬菜产业集群建设项目共3个</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kern w:val="0"/>
                <w:sz w:val="18"/>
                <w:szCs w:val="18"/>
                <w:lang w:val="en-US" w:eastAsia="zh-CN"/>
              </w:rPr>
              <w:t>完成产业集群集约化育苗场、冷链物流提升、蔬菜专业镇项目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kern w:val="2"/>
                <w:sz w:val="18"/>
                <w:szCs w:val="18"/>
                <w:lang w:val="en-US" w:eastAsia="zh-CN" w:bidi="ar-SA"/>
              </w:rPr>
              <w:t>3个设施蔬菜产业集群建设项目</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bidi="ar"/>
              </w:rPr>
              <w:t>3</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color w:val="000000"/>
                <w:kern w:val="2"/>
                <w:sz w:val="18"/>
                <w:szCs w:val="18"/>
                <w:lang w:val="en-US" w:eastAsia="zh-CN" w:bidi="ar-SA"/>
              </w:rPr>
              <w:t>育苗能力</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000000"/>
                <w:kern w:val="2"/>
                <w:sz w:val="18"/>
                <w:szCs w:val="18"/>
                <w:lang w:val="en-US" w:eastAsia="zh-CN" w:bidi="ar-SA"/>
              </w:rPr>
              <w:t>达到1500万株产能</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r>
              <w:rPr>
                <w:rFonts w:hint="eastAsia" w:ascii="宋体" w:hAnsi="宋体" w:cs="宋体"/>
                <w:color w:val="auto"/>
                <w:kern w:val="0"/>
                <w:sz w:val="18"/>
                <w:szCs w:val="18"/>
                <w:lang w:val="en-US" w:eastAsia="zh-CN"/>
              </w:rPr>
              <w:t>1</w:t>
            </w:r>
            <w:r>
              <w:rPr>
                <w:rFonts w:hint="eastAsia" w:ascii="宋体" w:hAnsi="宋体" w:eastAsia="宋体" w:cs="宋体"/>
                <w:color w:val="auto"/>
                <w:kern w:val="0"/>
                <w:sz w:val="18"/>
                <w:szCs w:val="18"/>
              </w:rPr>
              <w:t>：</w:t>
            </w:r>
            <w:r>
              <w:rPr>
                <w:rFonts w:hint="eastAsia" w:ascii="宋体" w:hAnsi="宋体" w:eastAsia="宋体" w:cs="宋体"/>
                <w:color w:val="000000"/>
                <w:kern w:val="2"/>
                <w:sz w:val="18"/>
                <w:szCs w:val="18"/>
                <w:lang w:val="en-US" w:eastAsia="zh-CN" w:bidi="ar-SA"/>
              </w:rPr>
              <w:t>蔬菜商品转化率</w:t>
            </w:r>
          </w:p>
        </w:tc>
        <w:tc>
          <w:tcPr>
            <w:tcW w:w="93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color w:val="000000"/>
                <w:kern w:val="2"/>
                <w:sz w:val="18"/>
                <w:szCs w:val="18"/>
                <w:lang w:val="en-US" w:eastAsia="zh-CN" w:bidi="ar-SA"/>
              </w:rPr>
              <w:t>75%以上</w:t>
            </w:r>
          </w:p>
        </w:tc>
        <w:tc>
          <w:tcPr>
            <w:tcW w:w="84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color w:val="000000"/>
                <w:kern w:val="2"/>
                <w:sz w:val="18"/>
                <w:szCs w:val="18"/>
                <w:lang w:val="en-US" w:eastAsia="zh-CN" w:bidi="ar-SA"/>
              </w:rPr>
              <w:t>90%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2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指标</w:t>
            </w:r>
            <w:r>
              <w:rPr>
                <w:rFonts w:hint="eastAsia" w:ascii="宋体" w:hAnsi="宋体" w:cs="宋体"/>
                <w:color w:val="auto"/>
                <w:kern w:val="0"/>
                <w:sz w:val="18"/>
                <w:szCs w:val="18"/>
                <w:lang w:val="en-US" w:eastAsia="zh-CN"/>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000000"/>
                <w:kern w:val="2"/>
                <w:sz w:val="18"/>
                <w:szCs w:val="18"/>
                <w:lang w:val="en-US" w:eastAsia="zh-CN" w:bidi="ar-SA"/>
              </w:rPr>
              <w:t>专业镇蔬菜生产总量提升</w:t>
            </w:r>
          </w:p>
        </w:tc>
        <w:tc>
          <w:tcPr>
            <w:tcW w:w="93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color w:val="000000"/>
                <w:kern w:val="2"/>
                <w:sz w:val="18"/>
                <w:szCs w:val="18"/>
                <w:lang w:val="en-US" w:eastAsia="zh-CN" w:bidi="ar-SA"/>
              </w:rPr>
              <w:t>10%</w:t>
            </w:r>
          </w:p>
        </w:tc>
        <w:tc>
          <w:tcPr>
            <w:tcW w:w="84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color w:val="000000"/>
                <w:kern w:val="2"/>
                <w:sz w:val="18"/>
                <w:szCs w:val="18"/>
                <w:lang w:val="en-US" w:eastAsia="zh-CN" w:bidi="ar-SA"/>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kern w:val="2"/>
                <w:sz w:val="18"/>
                <w:szCs w:val="18"/>
                <w:lang w:val="en-US" w:eastAsia="zh-CN" w:bidi="ar-SA"/>
              </w:rPr>
              <w:t>3个设施蔬菜产业集群建设项目</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rPr>
              <w:t>1000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5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color w:val="000000"/>
                <w:sz w:val="18"/>
                <w:szCs w:val="18"/>
                <w:lang w:eastAsia="zh-CN"/>
              </w:rPr>
              <w:t>育苗场良种覆盖率达到95%以上</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eastAsia="zh-CN"/>
              </w:rPr>
              <w:t>育苗场良种覆盖率达到95%以上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4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r>
              <w:rPr>
                <w:rFonts w:hint="eastAsia" w:ascii="宋体" w:hAnsi="宋体" w:cs="宋体"/>
                <w:color w:val="auto"/>
                <w:kern w:val="0"/>
                <w:sz w:val="18"/>
                <w:szCs w:val="18"/>
                <w:lang w:val="en-US" w:eastAsia="zh-CN"/>
              </w:rPr>
              <w:t>1</w:t>
            </w:r>
            <w:r>
              <w:rPr>
                <w:rFonts w:hint="eastAsia" w:ascii="宋体" w:hAnsi="宋体" w:eastAsia="宋体" w:cs="宋体"/>
                <w:color w:val="auto"/>
                <w:kern w:val="0"/>
                <w:sz w:val="18"/>
                <w:szCs w:val="18"/>
              </w:rPr>
              <w:t>：</w:t>
            </w:r>
            <w:r>
              <w:rPr>
                <w:rFonts w:hint="eastAsia" w:ascii="宋体" w:hAnsi="宋体" w:eastAsia="宋体" w:cs="宋体"/>
                <w:color w:val="000000"/>
                <w:sz w:val="18"/>
                <w:szCs w:val="18"/>
                <w:lang w:val="en-US" w:eastAsia="zh-CN"/>
              </w:rPr>
              <w:t>食用菌加工产值同比增长8%以上6142.81吨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lang w:val="en-US" w:eastAsia="zh-CN"/>
              </w:rPr>
              <w:t>食用菌加工产值同比增长8%以上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color w:val="000000"/>
                <w:sz w:val="18"/>
                <w:szCs w:val="18"/>
                <w:lang w:eastAsia="zh-CN"/>
              </w:rPr>
              <w:t>投诉率</w:t>
            </w:r>
          </w:p>
        </w:tc>
        <w:tc>
          <w:tcPr>
            <w:tcW w:w="93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w:t>
            </w:r>
          </w:p>
        </w:tc>
        <w:tc>
          <w:tcPr>
            <w:tcW w:w="84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1050"/>
        <w:gridCol w:w="567"/>
        <w:gridCol w:w="204"/>
        <w:gridCol w:w="313"/>
        <w:gridCol w:w="523"/>
        <w:gridCol w:w="699"/>
        <w:tblGridChange w:id="0">
          <w:tblGrid>
            <w:gridCol w:w="578"/>
            <w:gridCol w:w="969"/>
            <w:gridCol w:w="1086"/>
            <w:gridCol w:w="718"/>
            <w:gridCol w:w="1114"/>
            <w:gridCol w:w="169"/>
            <w:gridCol w:w="938"/>
            <w:gridCol w:w="1050"/>
            <w:gridCol w:w="567"/>
            <w:gridCol w:w="204"/>
            <w:gridCol w:w="313"/>
            <w:gridCol w:w="523"/>
            <w:gridCol w:w="699"/>
          </w:tblGrid>
        </w:tblGridChange>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中央财政农业生产发展资金（京财农指【2022】1566号）-家庭农场培育</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通州区农业农村局</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20"/>
                <w:szCs w:val="20"/>
              </w:rPr>
              <w:t>杨跃方</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20"/>
                <w:szCs w:val="20"/>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120</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120</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支持家庭农场示范区创建</w:t>
            </w:r>
            <w:r>
              <w:rPr>
                <w:rFonts w:hint="eastAsia" w:ascii="宋体" w:hAnsi="宋体" w:cs="宋体"/>
                <w:color w:val="auto"/>
                <w:kern w:val="0"/>
                <w:sz w:val="18"/>
                <w:szCs w:val="18"/>
                <w:lang w:eastAsia="zh-CN"/>
              </w:rPr>
              <w:t>项目</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18"/>
                <w:szCs w:val="18"/>
                <w:lang w:eastAsia="zh-CN"/>
              </w:rPr>
              <w:t>已完成创建家庭农场示范区</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支持家庭农场示范区</w:t>
            </w:r>
            <w:r>
              <w:rPr>
                <w:rFonts w:hint="eastAsia" w:ascii="宋体" w:hAnsi="宋体" w:cs="宋体"/>
                <w:color w:val="auto"/>
                <w:kern w:val="0"/>
                <w:sz w:val="18"/>
                <w:szCs w:val="18"/>
                <w:lang w:eastAsia="zh-CN"/>
              </w:rPr>
              <w:t>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30个</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30个</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年度农业农村改革发展资金支出进度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项目任务落实进度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项目资金支持标准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w:t>
            </w:r>
            <w:r>
              <w:rPr>
                <w:rFonts w:hint="eastAsia" w:ascii="宋体" w:hAnsi="宋体" w:eastAsia="宋体" w:cs="宋体"/>
                <w:color w:val="000000"/>
                <w:kern w:val="0"/>
                <w:sz w:val="18"/>
                <w:szCs w:val="18"/>
                <w:lang w:val="en-US" w:eastAsia="zh-CN"/>
              </w:rPr>
              <w:t>提升家庭农场生产经营能力</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提升</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提升</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51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Change w:id="1" w:author="南乔." w:date="2024-01-18T15:17:40Z">
            <w:tblPrEx>
              <w:tblCellMar>
                <w:top w:w="0" w:type="dxa"/>
                <w:left w:w="108" w:type="dxa"/>
                <w:bottom w:w="0" w:type="dxa"/>
                <w:right w:w="108" w:type="dxa"/>
              </w:tblCellMar>
            </w:tblPrEx>
          </w:tblPrExChange>
        </w:tblPrEx>
        <w:trPr>
          <w:trHeight w:val="705" w:hRule="exact"/>
          <w:jc w:val="center"/>
          <w:trPrChange w:id="1" w:author="南乔." w:date="2024-01-18T15:17:40Z">
            <w:trPr>
              <w:trHeight w:val="291" w:hRule="exact"/>
              <w:jc w:val="center"/>
            </w:trPr>
          </w:trPrChange>
        </w:trPr>
        <w:tc>
          <w:tcPr>
            <w:tcW w:w="578" w:type="dxa"/>
            <w:vMerge w:val="continue"/>
            <w:tcBorders>
              <w:left w:val="single" w:color="auto" w:sz="4" w:space="0"/>
              <w:right w:val="single" w:color="auto" w:sz="4" w:space="0"/>
            </w:tcBorders>
            <w:vAlign w:val="center"/>
            <w:tcPrChange w:id="2" w:author="南乔." w:date="2024-01-18T15:17:40Z">
              <w:tcPr>
                <w:tcW w:w="578" w:type="dxa"/>
                <w:vMerge w:val="continue"/>
                <w:tcBorders>
                  <w:left w:val="single" w:color="auto" w:sz="4" w:space="0"/>
                  <w:right w:val="single" w:color="auto" w:sz="4" w:space="0"/>
                </w:tcBorders>
                <w:vAlign w:val="center"/>
              </w:tcPr>
            </w:tcPrChange>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Change w:id="3" w:author="南乔." w:date="2024-01-18T15:17:40Z">
              <w:tcPr>
                <w:tcW w:w="969" w:type="dxa"/>
                <w:tcBorders>
                  <w:top w:val="single" w:color="auto" w:sz="4" w:space="0"/>
                  <w:left w:val="single" w:color="auto" w:sz="4" w:space="0"/>
                  <w:right w:val="single" w:color="auto" w:sz="4" w:space="0"/>
                </w:tcBorders>
                <w:vAlign w:val="center"/>
              </w:tcPr>
            </w:tcPrChange>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Change w:id="4" w:author="南乔." w:date="2024-01-18T15:17:40Z">
              <w:tcPr>
                <w:tcW w:w="1086"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Change w:id="5" w:author="南乔." w:date="2024-01-18T15:17:40Z">
              <w:tcPr>
                <w:tcW w:w="2001" w:type="dxa"/>
                <w:gridSpan w:val="3"/>
                <w:tcBorders>
                  <w:top w:val="single" w:color="auto" w:sz="4" w:space="0"/>
                  <w:left w:val="nil"/>
                  <w:bottom w:val="single" w:color="auto" w:sz="4" w:space="0"/>
                  <w:right w:val="single" w:color="auto" w:sz="4" w:space="0"/>
                </w:tcBorders>
                <w:vAlign w:val="center"/>
              </w:tcPr>
            </w:tcPrChange>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vAlign w:val="center"/>
            <w:tcPrChange w:id="6" w:author="南乔." w:date="2024-01-18T15:17:40Z">
              <w:tcPr>
                <w:tcW w:w="938" w:type="dxa"/>
                <w:tcBorders>
                  <w:top w:val="single" w:color="auto" w:sz="4" w:space="0"/>
                  <w:left w:val="nil"/>
                  <w:bottom w:val="single" w:color="auto" w:sz="4" w:space="0"/>
                  <w:right w:val="single" w:color="auto" w:sz="4" w:space="0"/>
                </w:tcBorders>
                <w:vAlign w:val="center"/>
              </w:tcPr>
            </w:tcPrChange>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c>
          <w:tcPr>
            <w:tcW w:w="1050" w:type="dxa"/>
            <w:tcBorders>
              <w:top w:val="single" w:color="auto" w:sz="4" w:space="0"/>
              <w:left w:val="nil"/>
              <w:bottom w:val="single" w:color="auto" w:sz="4" w:space="0"/>
              <w:right w:val="single" w:color="auto" w:sz="4" w:space="0"/>
            </w:tcBorders>
            <w:vAlign w:val="center"/>
            <w:tcPrChange w:id="7" w:author="南乔." w:date="2024-01-18T15:17:40Z">
              <w:tcPr>
                <w:tcW w:w="1050" w:type="dxa"/>
                <w:tcBorders>
                  <w:top w:val="single" w:color="auto" w:sz="4" w:space="0"/>
                  <w:left w:val="nil"/>
                  <w:bottom w:val="single" w:color="auto" w:sz="4" w:space="0"/>
                  <w:right w:val="single" w:color="auto" w:sz="4" w:space="0"/>
                </w:tcBorders>
                <w:vAlign w:val="center"/>
              </w:tcPr>
            </w:tcPrChange>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99.9%</w:t>
            </w:r>
          </w:p>
        </w:tc>
        <w:tc>
          <w:tcPr>
            <w:tcW w:w="567" w:type="dxa"/>
            <w:tcBorders>
              <w:top w:val="single" w:color="auto" w:sz="4" w:space="0"/>
              <w:left w:val="nil"/>
              <w:bottom w:val="single" w:color="auto" w:sz="4" w:space="0"/>
              <w:right w:val="single" w:color="auto" w:sz="4" w:space="0"/>
            </w:tcBorders>
            <w:vAlign w:val="center"/>
            <w:tcPrChange w:id="8" w:author="南乔." w:date="2024-01-18T15:17:40Z">
              <w:tcPr>
                <w:tcW w:w="567" w:type="dxa"/>
                <w:tcBorders>
                  <w:top w:val="single" w:color="auto" w:sz="4" w:space="0"/>
                  <w:left w:val="nil"/>
                  <w:bottom w:val="single" w:color="auto" w:sz="4" w:space="0"/>
                  <w:right w:val="single" w:color="auto" w:sz="4" w:space="0"/>
                </w:tcBorders>
                <w:vAlign w:val="center"/>
              </w:tcPr>
            </w:tcPrChange>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single" w:color="auto" w:sz="4" w:space="0"/>
              <w:left w:val="nil"/>
              <w:bottom w:val="single" w:color="auto" w:sz="4" w:space="0"/>
              <w:right w:val="single" w:color="auto" w:sz="4" w:space="0"/>
            </w:tcBorders>
            <w:vAlign w:val="center"/>
            <w:tcPrChange w:id="9" w:author="南乔." w:date="2024-01-18T15:17:40Z">
              <w:tcPr>
                <w:tcW w:w="517" w:type="dxa"/>
                <w:gridSpan w:val="2"/>
                <w:tcBorders>
                  <w:top w:val="single" w:color="auto" w:sz="4" w:space="0"/>
                  <w:left w:val="nil"/>
                  <w:bottom w:val="single" w:color="auto" w:sz="4" w:space="0"/>
                  <w:right w:val="single" w:color="auto" w:sz="4" w:space="0"/>
                </w:tcBorders>
                <w:vAlign w:val="center"/>
              </w:tcPr>
            </w:tcPrChange>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Change w:id="10" w:author="南乔." w:date="2024-01-18T15:17:40Z">
              <w:tcPr>
                <w:tcW w:w="1222" w:type="dxa"/>
                <w:gridSpan w:val="2"/>
                <w:tcBorders>
                  <w:top w:val="single" w:color="auto" w:sz="4" w:space="0"/>
                  <w:left w:val="nil"/>
                  <w:bottom w:val="single" w:color="auto" w:sz="4" w:space="0"/>
                  <w:right w:val="single" w:color="auto" w:sz="4" w:space="0"/>
                </w:tcBorders>
                <w:vAlign w:val="center"/>
              </w:tcPr>
            </w:tcPrChange>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1050"/>
        <w:gridCol w:w="567"/>
        <w:gridCol w:w="204"/>
        <w:gridCol w:w="313"/>
        <w:gridCol w:w="523"/>
        <w:gridCol w:w="699"/>
        <w:tblGridChange w:id="11">
          <w:tblGrid>
            <w:gridCol w:w="578"/>
            <w:gridCol w:w="969"/>
            <w:gridCol w:w="1086"/>
            <w:gridCol w:w="718"/>
            <w:gridCol w:w="1114"/>
            <w:gridCol w:w="169"/>
            <w:gridCol w:w="938"/>
            <w:gridCol w:w="1050"/>
            <w:gridCol w:w="567"/>
            <w:gridCol w:w="204"/>
            <w:gridCol w:w="313"/>
            <w:gridCol w:w="523"/>
            <w:gridCol w:w="699"/>
          </w:tblGrid>
        </w:tblGridChange>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eastAsia="zh-CN"/>
              </w:rPr>
            </w:pPr>
            <w:r>
              <w:rPr>
                <w:rFonts w:hint="eastAsia" w:ascii="宋体" w:hAnsi="宋体" w:eastAsia="宋体" w:cs="宋体"/>
                <w:sz w:val="20"/>
                <w:szCs w:val="20"/>
              </w:rPr>
              <w:t>中央财政农业生产发展资金-农业生产社会化服务</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通州区农业农村局</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杨跃方</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年初</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全年</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预算数</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全年</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680</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680</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680</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预期目标</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实际完成情况</w:t>
            </w:r>
          </w:p>
        </w:tc>
      </w:tr>
      <w:tr>
        <w:tblPrEx>
          <w:tblCellMar>
            <w:top w:w="0" w:type="dxa"/>
            <w:left w:w="108" w:type="dxa"/>
            <w:bottom w:w="0" w:type="dxa"/>
            <w:right w:w="108" w:type="dxa"/>
          </w:tblCellMar>
        </w:tblPrEx>
        <w:trPr>
          <w:trHeight w:val="1610"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年初设定目标：</w:t>
            </w:r>
          </w:p>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通州区农业生产社会化服务面积合计7万亩，服务小农户面积和服务规模经营水平有所提高，服务满意度≥80%，社会化服务30亩以下地块总数比例不低于项目实施面积总数的10%</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年度总体目标完成情况综述：</w:t>
            </w:r>
            <w:r>
              <w:rPr>
                <w:rFonts w:hint="eastAsia" w:ascii="宋体" w:hAnsi="宋体" w:eastAsia="宋体" w:cs="宋体"/>
                <w:color w:val="000000"/>
                <w:kern w:val="0"/>
                <w:sz w:val="20"/>
                <w:szCs w:val="20"/>
                <w:lang w:val="en-US" w:eastAsia="zh-CN"/>
              </w:rPr>
              <w:t>通州区农业生产社会化服务面积达7万亩，服务小农户面积和服务规模经营水平有所提高，服务满意度≥80%，社会化服务30亩以下地块总数比例高于项目实施面积总数的10%</w:t>
            </w:r>
          </w:p>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效</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年度</w:t>
            </w:r>
          </w:p>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指标值</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实际</w:t>
            </w:r>
          </w:p>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分值</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得分</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偏差原因分析及改进措施</w:t>
            </w:r>
          </w:p>
        </w:tc>
      </w:tr>
      <w:tr>
        <w:tblPrEx>
          <w:tblCellMar>
            <w:top w:w="0" w:type="dxa"/>
            <w:left w:w="108" w:type="dxa"/>
            <w:bottom w:w="0" w:type="dxa"/>
            <w:right w:w="108" w:type="dxa"/>
          </w:tblCellMar>
        </w:tblPrEx>
        <w:trPr>
          <w:trHeight w:val="8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产出指标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数量指标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农业生产托管服务面积</w:t>
            </w:r>
          </w:p>
        </w:tc>
        <w:tc>
          <w:tcPr>
            <w:tcW w:w="9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7万亩</w:t>
            </w:r>
          </w:p>
        </w:tc>
        <w:tc>
          <w:tcPr>
            <w:tcW w:w="10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7万亩</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5</w:t>
            </w:r>
          </w:p>
        </w:tc>
        <w:tc>
          <w:tcPr>
            <w:tcW w:w="517"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5</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135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30亩以下地块总数不低于农业生产托管服务面积总数的比例</w:t>
            </w:r>
          </w:p>
        </w:tc>
        <w:tc>
          <w:tcPr>
            <w:tcW w:w="9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10%</w:t>
            </w:r>
          </w:p>
        </w:tc>
        <w:tc>
          <w:tcPr>
            <w:tcW w:w="10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10%</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5</w:t>
            </w:r>
          </w:p>
        </w:tc>
        <w:tc>
          <w:tcPr>
            <w:tcW w:w="517"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5</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121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2</w:t>
            </w:r>
            <w:r>
              <w:rPr>
                <w:rFonts w:hint="eastAsia" w:ascii="宋体" w:hAnsi="宋体" w:eastAsia="宋体" w:cs="宋体"/>
                <w:sz w:val="20"/>
                <w:szCs w:val="20"/>
              </w:rPr>
              <w:t>年内完成任务</w:t>
            </w:r>
          </w:p>
        </w:tc>
        <w:tc>
          <w:tcPr>
            <w:tcW w:w="9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2</w:t>
            </w:r>
            <w:r>
              <w:rPr>
                <w:rFonts w:hint="eastAsia" w:ascii="宋体" w:hAnsi="宋体" w:eastAsia="宋体" w:cs="宋体"/>
                <w:sz w:val="20"/>
                <w:szCs w:val="20"/>
              </w:rPr>
              <w:t>年12月底前完成</w:t>
            </w:r>
          </w:p>
        </w:tc>
        <w:tc>
          <w:tcPr>
            <w:tcW w:w="105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sz w:val="20"/>
                <w:szCs w:val="20"/>
                <w:lang w:val="en-US" w:eastAsia="zh-CN"/>
              </w:rPr>
              <w:t>2023年6月支出完毕</w:t>
            </w:r>
          </w:p>
        </w:tc>
        <w:tc>
          <w:tcPr>
            <w:tcW w:w="567"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kern w:val="0"/>
                <w:sz w:val="20"/>
                <w:szCs w:val="20"/>
              </w:rPr>
              <w:t>10</w:t>
            </w:r>
          </w:p>
        </w:tc>
        <w:tc>
          <w:tcPr>
            <w:tcW w:w="517"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kern w:val="0"/>
                <w:sz w:val="20"/>
                <w:szCs w:val="20"/>
                <w:lang w:val="en-US" w:eastAsia="zh-CN"/>
              </w:rPr>
              <w:t>5</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10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成本指标</w:t>
            </w:r>
          </w:p>
        </w:tc>
        <w:tc>
          <w:tcPr>
            <w:tcW w:w="200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成本控制在总预算内</w:t>
            </w:r>
          </w:p>
        </w:tc>
        <w:tc>
          <w:tcPr>
            <w:tcW w:w="938" w:type="dxa"/>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≤680万元</w:t>
            </w:r>
          </w:p>
        </w:tc>
        <w:tc>
          <w:tcPr>
            <w:tcW w:w="10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680万元</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517"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社会效益益指标</w:t>
            </w:r>
            <w:r>
              <w:rPr>
                <w:rFonts w:hint="eastAsia" w:ascii="宋体" w:hAnsi="宋体" w:eastAsia="宋体" w:cs="宋体"/>
                <w:sz w:val="20"/>
                <w:szCs w:val="20"/>
                <w:lang w:val="en-US" w:eastAsia="zh-CN"/>
              </w:rPr>
              <w:br w:type="textWrapping"/>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服务小农户面积和服务规模经营水平</w:t>
            </w:r>
          </w:p>
        </w:tc>
        <w:tc>
          <w:tcPr>
            <w:tcW w:w="9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提高</w:t>
            </w:r>
          </w:p>
        </w:tc>
        <w:tc>
          <w:tcPr>
            <w:tcW w:w="10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提高</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w:t>
            </w:r>
          </w:p>
        </w:tc>
        <w:tc>
          <w:tcPr>
            <w:tcW w:w="51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25</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Change w:id="12" w:author="南乔." w:date="2024-01-18T15:17:40Z">
            <w:tblPrEx>
              <w:tblCellMar>
                <w:top w:w="0" w:type="dxa"/>
                <w:left w:w="108" w:type="dxa"/>
                <w:bottom w:w="0" w:type="dxa"/>
                <w:right w:w="108" w:type="dxa"/>
              </w:tblCellMar>
            </w:tblPrEx>
          </w:tblPrExChange>
        </w:tblPrEx>
        <w:trPr>
          <w:trHeight w:val="1157" w:hRule="exact"/>
          <w:jc w:val="center"/>
          <w:trPrChange w:id="12" w:author="南乔." w:date="2024-01-18T15:17:40Z">
            <w:trPr>
              <w:trHeight w:val="291" w:hRule="exact"/>
              <w:jc w:val="center"/>
            </w:trPr>
          </w:trPrChange>
        </w:trPr>
        <w:tc>
          <w:tcPr>
            <w:tcW w:w="578" w:type="dxa"/>
            <w:vMerge w:val="continue"/>
            <w:tcBorders>
              <w:left w:val="single" w:color="auto" w:sz="4" w:space="0"/>
              <w:right w:val="single" w:color="auto" w:sz="4" w:space="0"/>
            </w:tcBorders>
            <w:vAlign w:val="center"/>
            <w:tcPrChange w:id="13" w:author="南乔." w:date="2024-01-18T15:17:40Z">
              <w:tcPr>
                <w:tcW w:w="578" w:type="dxa"/>
                <w:vMerge w:val="continue"/>
                <w:tcBorders>
                  <w:left w:val="single" w:color="auto" w:sz="4" w:space="0"/>
                  <w:right w:val="single" w:color="auto" w:sz="4" w:space="0"/>
                </w:tcBorders>
                <w:vAlign w:val="center"/>
              </w:tcPr>
            </w:tcPrChange>
          </w:tcPr>
          <w:p>
            <w:pPr>
              <w:widowControl/>
              <w:spacing w:line="240" w:lineRule="exact"/>
              <w:jc w:val="center"/>
              <w:rPr>
                <w:rFonts w:hint="eastAsia" w:ascii="宋体" w:hAnsi="宋体" w:eastAsia="宋体" w:cs="宋体"/>
                <w:color w:val="auto"/>
                <w:kern w:val="0"/>
                <w:sz w:val="20"/>
                <w:szCs w:val="20"/>
              </w:rPr>
            </w:pPr>
          </w:p>
        </w:tc>
        <w:tc>
          <w:tcPr>
            <w:tcW w:w="969" w:type="dxa"/>
            <w:tcBorders>
              <w:top w:val="single" w:color="auto" w:sz="4" w:space="0"/>
              <w:left w:val="single" w:color="auto" w:sz="4" w:space="0"/>
              <w:right w:val="single" w:color="auto" w:sz="4" w:space="0"/>
            </w:tcBorders>
            <w:vAlign w:val="center"/>
            <w:tcPrChange w:id="14" w:author="南乔." w:date="2024-01-18T15:17:40Z">
              <w:tcPr>
                <w:tcW w:w="969" w:type="dxa"/>
                <w:tcBorders>
                  <w:top w:val="single" w:color="auto" w:sz="4" w:space="0"/>
                  <w:left w:val="single" w:color="auto" w:sz="4" w:space="0"/>
                  <w:right w:val="single" w:color="auto" w:sz="4" w:space="0"/>
                </w:tcBorders>
                <w:vAlign w:val="center"/>
              </w:tcPr>
            </w:tcPrChange>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满意度</w:t>
            </w:r>
          </w:p>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指标</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Change w:id="15" w:author="南乔." w:date="2024-01-18T15:17:40Z">
              <w:tcPr>
                <w:tcW w:w="1086" w:type="dxa"/>
                <w:tcBorders>
                  <w:top w:val="single" w:color="auto" w:sz="4" w:space="0"/>
                  <w:left w:val="single" w:color="auto" w:sz="4" w:space="0"/>
                  <w:bottom w:val="single" w:color="auto" w:sz="4" w:space="0"/>
                  <w:right w:val="single" w:color="auto" w:sz="4" w:space="0"/>
                </w:tcBorders>
                <w:vAlign w:val="center"/>
              </w:tcPr>
            </w:tcPrChange>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服务对象</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满意度指标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Change w:id="16" w:author="南乔." w:date="2024-01-18T15:17:40Z">
              <w:tcPr>
                <w:tcW w:w="2001" w:type="dxa"/>
                <w:gridSpan w:val="3"/>
                <w:tcBorders>
                  <w:top w:val="single" w:color="auto" w:sz="4" w:space="0"/>
                  <w:left w:val="nil"/>
                  <w:bottom w:val="single" w:color="auto" w:sz="4" w:space="0"/>
                  <w:right w:val="single" w:color="auto" w:sz="4" w:space="0"/>
                </w:tcBorders>
                <w:vAlign w:val="center"/>
              </w:tcPr>
            </w:tcPrChange>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新型经营主体和小农户对农业生产化满意度</w:t>
            </w:r>
          </w:p>
        </w:tc>
        <w:tc>
          <w:tcPr>
            <w:tcW w:w="938" w:type="dxa"/>
            <w:tcBorders>
              <w:top w:val="single" w:color="auto" w:sz="4" w:space="0"/>
              <w:left w:val="nil"/>
              <w:bottom w:val="single" w:color="auto" w:sz="4" w:space="0"/>
              <w:right w:val="single" w:color="auto" w:sz="4" w:space="0"/>
            </w:tcBorders>
            <w:shd w:val="clear" w:color="auto" w:fill="auto"/>
            <w:vAlign w:val="center"/>
            <w:tcPrChange w:id="17" w:author="南乔." w:date="2024-01-18T15:17:40Z">
              <w:tcPr>
                <w:tcW w:w="938" w:type="dxa"/>
                <w:tcBorders>
                  <w:top w:val="single" w:color="auto" w:sz="4" w:space="0"/>
                  <w:left w:val="nil"/>
                  <w:bottom w:val="single" w:color="auto" w:sz="4" w:space="0"/>
                  <w:right w:val="single" w:color="auto" w:sz="4" w:space="0"/>
                </w:tcBorders>
                <w:vAlign w:val="center"/>
              </w:tcPr>
            </w:tcPrChange>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80%以上</w:t>
            </w:r>
          </w:p>
        </w:tc>
        <w:tc>
          <w:tcPr>
            <w:tcW w:w="1050" w:type="dxa"/>
            <w:tcBorders>
              <w:top w:val="single" w:color="auto" w:sz="4" w:space="0"/>
              <w:left w:val="nil"/>
              <w:bottom w:val="single" w:color="auto" w:sz="4" w:space="0"/>
              <w:right w:val="single" w:color="auto" w:sz="4" w:space="0"/>
            </w:tcBorders>
            <w:shd w:val="clear" w:color="auto" w:fill="auto"/>
            <w:vAlign w:val="center"/>
            <w:tcPrChange w:id="18" w:author="南乔." w:date="2024-01-18T15:17:40Z">
              <w:tcPr>
                <w:tcW w:w="1050" w:type="dxa"/>
                <w:tcBorders>
                  <w:top w:val="single" w:color="auto" w:sz="4" w:space="0"/>
                  <w:left w:val="nil"/>
                  <w:bottom w:val="single" w:color="auto" w:sz="4" w:space="0"/>
                  <w:right w:val="single" w:color="auto" w:sz="4" w:space="0"/>
                </w:tcBorders>
                <w:vAlign w:val="center"/>
              </w:tcPr>
            </w:tcPrChange>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w:t>
            </w:r>
          </w:p>
        </w:tc>
        <w:tc>
          <w:tcPr>
            <w:tcW w:w="567" w:type="dxa"/>
            <w:tcBorders>
              <w:top w:val="single" w:color="auto" w:sz="4" w:space="0"/>
              <w:left w:val="nil"/>
              <w:bottom w:val="single" w:color="auto" w:sz="4" w:space="0"/>
              <w:right w:val="single" w:color="auto" w:sz="4" w:space="0"/>
            </w:tcBorders>
            <w:shd w:val="clear" w:color="auto" w:fill="auto"/>
            <w:vAlign w:val="center"/>
            <w:tcPrChange w:id="19" w:author="南乔." w:date="2024-01-18T15:17:40Z">
              <w:tcPr>
                <w:tcW w:w="567" w:type="dxa"/>
                <w:tcBorders>
                  <w:top w:val="single" w:color="auto" w:sz="4" w:space="0"/>
                  <w:left w:val="nil"/>
                  <w:bottom w:val="single" w:color="auto" w:sz="4" w:space="0"/>
                  <w:right w:val="single" w:color="auto" w:sz="4" w:space="0"/>
                </w:tcBorders>
                <w:vAlign w:val="center"/>
              </w:tcPr>
            </w:tcPrChange>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517" w:type="dxa"/>
            <w:gridSpan w:val="2"/>
            <w:tcBorders>
              <w:top w:val="single" w:color="auto" w:sz="4" w:space="0"/>
              <w:left w:val="nil"/>
              <w:bottom w:val="single" w:color="auto" w:sz="4" w:space="0"/>
              <w:right w:val="single" w:color="auto" w:sz="4" w:space="0"/>
            </w:tcBorders>
            <w:shd w:val="clear" w:color="auto" w:fill="auto"/>
            <w:vAlign w:val="center"/>
            <w:tcPrChange w:id="20" w:author="南乔." w:date="2024-01-18T15:17:40Z">
              <w:tcPr>
                <w:tcW w:w="517" w:type="dxa"/>
                <w:gridSpan w:val="2"/>
                <w:tcBorders>
                  <w:top w:val="single" w:color="auto" w:sz="4" w:space="0"/>
                  <w:left w:val="nil"/>
                  <w:bottom w:val="single" w:color="auto" w:sz="4" w:space="0"/>
                  <w:right w:val="single" w:color="auto" w:sz="4" w:space="0"/>
                </w:tcBorders>
                <w:vAlign w:val="center"/>
              </w:tcPr>
            </w:tcPrChange>
          </w:tcPr>
          <w:p>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Change w:id="21" w:author="南乔." w:date="2024-01-18T15:17:40Z">
              <w:tcPr>
                <w:tcW w:w="1222" w:type="dxa"/>
                <w:gridSpan w:val="2"/>
                <w:tcBorders>
                  <w:top w:val="single" w:color="auto" w:sz="4" w:space="0"/>
                  <w:left w:val="nil"/>
                  <w:bottom w:val="single" w:color="auto" w:sz="4" w:space="0"/>
                  <w:right w:val="single" w:color="auto" w:sz="4" w:space="0"/>
                </w:tcBorders>
                <w:vAlign w:val="center"/>
              </w:tcPr>
            </w:tcPrChange>
          </w:tcPr>
          <w:p>
            <w:pPr>
              <w:widowControl/>
              <w:spacing w:line="240" w:lineRule="exact"/>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1050"/>
        <w:gridCol w:w="567"/>
        <w:gridCol w:w="204"/>
        <w:gridCol w:w="313"/>
        <w:gridCol w:w="523"/>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提前下达通州区2021年中央财政农业生产发展资金-支持新型农业经营主体</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20"/>
                <w:szCs w:val="20"/>
              </w:rPr>
              <w:t>通州区农业农村局</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20"/>
                <w:szCs w:val="20"/>
              </w:rPr>
              <w:t>杨跃方</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20"/>
                <w:szCs w:val="20"/>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26.16009</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26.16009</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25.32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96.79%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26.16009</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26.16009</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25.32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支持家庭农场示范区创建</w:t>
            </w:r>
            <w:r>
              <w:rPr>
                <w:rFonts w:hint="eastAsia" w:ascii="宋体" w:hAnsi="宋体" w:cs="宋体"/>
                <w:color w:val="auto"/>
                <w:kern w:val="0"/>
                <w:sz w:val="18"/>
                <w:szCs w:val="18"/>
                <w:lang w:eastAsia="zh-CN"/>
              </w:rPr>
              <w:t>项目</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lang w:eastAsia="zh-CN"/>
              </w:rPr>
              <w:t>已完成创建家庭农场示范区</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支持家庭农场示范区</w:t>
            </w:r>
            <w:r>
              <w:rPr>
                <w:rFonts w:hint="eastAsia" w:ascii="宋体" w:hAnsi="宋体" w:cs="宋体"/>
                <w:color w:val="auto"/>
                <w:kern w:val="0"/>
                <w:sz w:val="18"/>
                <w:szCs w:val="18"/>
                <w:lang w:eastAsia="zh-CN"/>
              </w:rPr>
              <w:t>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年度农业农村改革发展资金支出进度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项目任务落实进度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项目资金支持标准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通过资金支持，推进新型农业经营主体</w:t>
            </w:r>
            <w:r>
              <w:rPr>
                <w:rFonts w:hint="eastAsia" w:ascii="宋体" w:hAnsi="宋体" w:cs="宋体"/>
                <w:color w:val="auto"/>
                <w:kern w:val="0"/>
                <w:sz w:val="18"/>
                <w:szCs w:val="18"/>
                <w:lang w:val="en-US" w:eastAsia="zh-CN"/>
              </w:rPr>
              <w:t>发展</w:t>
            </w:r>
            <w:r>
              <w:rPr>
                <w:rFonts w:hint="eastAsia" w:ascii="宋体" w:hAnsi="宋体" w:cs="宋体"/>
                <w:color w:val="auto"/>
                <w:kern w:val="0"/>
                <w:sz w:val="18"/>
                <w:szCs w:val="18"/>
              </w:rPr>
              <w:t xml:space="preserve">   </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稳步推进</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稳步推进</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99.9%</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1" w:hRule="exact"/>
          <w:jc w:val="center"/>
        </w:trPr>
        <w:tc>
          <w:tcPr>
            <w:tcW w:w="66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1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99.7</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突发重大动物疫情扑杀经费</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20"/>
                <w:szCs w:val="20"/>
              </w:rPr>
              <w:t>通州区农业农村局</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20"/>
                <w:szCs w:val="20"/>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20"/>
                <w:szCs w:val="20"/>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18</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18</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020"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通过补贴扑杀布病阳性奶牛的养殖场户，防止动物疫病蔓延，减少人畜共患病的发生所带来的经济损失,保护人民身体健康，保障动物源性食品安全。</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通过补贴扑杀布病阳性奶牛的养殖场户，防止动物疫病蔓延，减少人畜共患病的发生所带来的经济损失,保护人民身体健康，保障动物源性食品安全。</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补贴扑杀布病阳性奶牛数量</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≤14头</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属于突发性重大动物疫情保障经费，2023年度未发生突发重大动物疫情，资金已退回财政，自评按满分计算。</w:t>
            </w: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补贴到位率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补贴及时率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后备牛24个月补贴标准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 xml:space="preserve">≤1.3万元 </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经产1胎牛补贴标准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 xml:space="preserve">≤1.3万元 </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经产2胎牛补贴标准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≤1.</w:t>
            </w:r>
            <w:r>
              <w:rPr>
                <w:rFonts w:hint="eastAsia" w:ascii="宋体" w:hAnsi="宋体" w:cs="宋体"/>
                <w:color w:val="auto"/>
                <w:kern w:val="0"/>
                <w:sz w:val="18"/>
                <w:szCs w:val="18"/>
                <w:lang w:val="en-US" w:eastAsia="zh-CN"/>
              </w:rPr>
              <w:t>2</w:t>
            </w:r>
            <w:r>
              <w:rPr>
                <w:rFonts w:hint="eastAsia" w:ascii="宋体" w:hAnsi="宋体" w:eastAsia="宋体" w:cs="宋体"/>
                <w:color w:val="auto"/>
                <w:kern w:val="0"/>
                <w:sz w:val="18"/>
                <w:szCs w:val="18"/>
                <w:lang w:eastAsia="zh-CN"/>
              </w:rPr>
              <w:t xml:space="preserve">万元 </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经济效益指标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减少养殖场户经济损失</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≤18万元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及时扑杀患病动物，保障动物源性食品安全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有效保障</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养殖场户满意度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95</w:t>
            </w:r>
            <w:r>
              <w:rPr>
                <w:rFonts w:hint="eastAsia" w:ascii="宋体" w:hAnsi="宋体" w:cs="宋体"/>
                <w:color w:val="auto"/>
                <w:kern w:val="0"/>
                <w:sz w:val="18"/>
                <w:szCs w:val="18"/>
              </w:rPr>
              <w:t>%</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病死动物无害化处理收集暂存点补助经费</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王连春</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联系电话</w:t>
            </w:r>
          </w:p>
        </w:tc>
        <w:tc>
          <w:tcPr>
            <w:tcW w:w="2306"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13671367693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55</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55</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75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按照政府监管、财政扶持、企业运作的工作原则，构建科学完备、运转高效、环境友好、可持续运行的病死动物无害化处理长效机制，确保无害化处理率达到100%，确保不发生抛弃、出售、屠宰、加工病死动物重大事件，切实保障首都食品安全和生态环境安全。</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政府监管、财政扶持、企业运作的工作原则，构建科学完备、运转高效、环境友好、可持续运行的病死动物无害化处理长效机制，确保无害化处理率达到100%，确保不发生抛弃、出售、屠宰、加工病死动物重大事件，切实保障首都食品安全和生态环境安全。</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指标1：补助病死动物收集暂存点数量</w:t>
            </w:r>
          </w:p>
        </w:tc>
        <w:tc>
          <w:tcPr>
            <w:tcW w:w="938" w:type="dxa"/>
            <w:tcBorders>
              <w:top w:val="nil"/>
              <w:left w:val="nil"/>
              <w:bottom w:val="single" w:color="auto" w:sz="4" w:space="0"/>
              <w:right w:val="single" w:color="auto"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kern w:val="0"/>
                <w:sz w:val="18"/>
                <w:szCs w:val="18"/>
              </w:rPr>
              <w:t>61个</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属于</w:t>
            </w:r>
            <w:r>
              <w:rPr>
                <w:rFonts w:hint="eastAsia" w:ascii="宋体" w:hAnsi="宋体" w:cs="宋体"/>
                <w:color w:val="auto"/>
                <w:kern w:val="0"/>
                <w:sz w:val="18"/>
                <w:szCs w:val="18"/>
              </w:rPr>
              <w:t>病死动物无害化处理收集暂存点补助经费</w:t>
            </w:r>
            <w:r>
              <w:rPr>
                <w:rFonts w:hint="eastAsia" w:ascii="宋体" w:hAnsi="宋体" w:cs="宋体"/>
                <w:color w:val="auto"/>
                <w:kern w:val="0"/>
                <w:sz w:val="18"/>
                <w:szCs w:val="18"/>
                <w:lang w:val="en-US" w:eastAsia="zh-CN"/>
              </w:rPr>
              <w:t>，2023年度未发生突发重大动物疫情，资金已退回财政，自评按满分计算。</w:t>
            </w: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指标1：病死动物无害化处理率</w:t>
            </w:r>
          </w:p>
        </w:tc>
        <w:tc>
          <w:tcPr>
            <w:tcW w:w="938" w:type="dxa"/>
            <w:tcBorders>
              <w:top w:val="nil"/>
              <w:left w:val="nil"/>
              <w:bottom w:val="single" w:color="auto" w:sz="4" w:space="0"/>
              <w:right w:val="single" w:color="auto"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补助发放时间</w:t>
            </w:r>
          </w:p>
        </w:tc>
        <w:tc>
          <w:tcPr>
            <w:tcW w:w="938" w:type="dxa"/>
            <w:tcBorders>
              <w:top w:val="nil"/>
              <w:left w:val="nil"/>
              <w:bottom w:val="single" w:color="auto" w:sz="4" w:space="0"/>
              <w:right w:val="single" w:color="auto" w:sz="4" w:space="0"/>
            </w:tcBorders>
            <w:vAlign w:val="center"/>
          </w:tcPr>
          <w:p>
            <w:pPr>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kern w:val="0"/>
                <w:sz w:val="18"/>
                <w:szCs w:val="18"/>
              </w:rPr>
              <w:t>2023年底前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指标1：预算控制在总成本内</w:t>
            </w:r>
          </w:p>
        </w:tc>
        <w:tc>
          <w:tcPr>
            <w:tcW w:w="938" w:type="dxa"/>
            <w:tcBorders>
              <w:top w:val="nil"/>
              <w:left w:val="nil"/>
              <w:bottom w:val="single" w:color="auto" w:sz="4" w:space="0"/>
              <w:right w:val="single" w:color="auto" w:sz="4" w:space="0"/>
            </w:tcBorders>
            <w:vAlign w:val="center"/>
          </w:tcPr>
          <w:p>
            <w:pPr>
              <w:spacing w:line="240" w:lineRule="exact"/>
              <w:jc w:val="left"/>
              <w:rPr>
                <w:rFonts w:hint="eastAsia" w:ascii="宋体" w:hAnsi="宋体" w:eastAsia="宋体" w:cs="宋体"/>
                <w:color w:val="auto"/>
                <w:kern w:val="0"/>
                <w:sz w:val="18"/>
                <w:szCs w:val="18"/>
                <w:lang w:eastAsia="zh-CN"/>
              </w:rPr>
            </w:pP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0万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指标1：大幅降低抛弃、出售、屠宰、加工病死动物重大事件发生率</w:t>
            </w:r>
          </w:p>
        </w:tc>
        <w:tc>
          <w:tcPr>
            <w:tcW w:w="938" w:type="dxa"/>
            <w:tcBorders>
              <w:top w:val="nil"/>
              <w:left w:val="nil"/>
              <w:bottom w:val="single" w:color="auto" w:sz="4" w:space="0"/>
              <w:right w:val="single" w:color="auto" w:sz="4" w:space="0"/>
            </w:tcBorders>
            <w:vAlign w:val="center"/>
          </w:tcPr>
          <w:p>
            <w:pPr>
              <w:spacing w:line="240" w:lineRule="exact"/>
              <w:jc w:val="left"/>
              <w:rPr>
                <w:rFonts w:hint="eastAsia" w:ascii="宋体" w:hAnsi="宋体" w:cs="宋体"/>
                <w:color w:val="auto"/>
                <w:kern w:val="0"/>
                <w:sz w:val="18"/>
                <w:szCs w:val="18"/>
                <w:lang w:eastAsia="zh-CN"/>
              </w:rPr>
            </w:pPr>
            <w:r>
              <w:rPr>
                <w:rFonts w:hint="eastAsia" w:ascii="宋体" w:hAnsi="宋体" w:cs="宋体"/>
                <w:kern w:val="0"/>
                <w:sz w:val="18"/>
                <w:szCs w:val="18"/>
              </w:rPr>
              <w:t>有效降低</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防止病原体污染水域、土壤及公共环境</w:t>
            </w:r>
          </w:p>
        </w:tc>
        <w:tc>
          <w:tcPr>
            <w:tcW w:w="938" w:type="dxa"/>
            <w:tcBorders>
              <w:top w:val="nil"/>
              <w:left w:val="nil"/>
              <w:bottom w:val="single" w:color="auto" w:sz="4" w:space="0"/>
              <w:right w:val="single" w:color="auto" w:sz="4" w:space="0"/>
            </w:tcBorders>
            <w:vAlign w:val="center"/>
          </w:tcPr>
          <w:p>
            <w:pPr>
              <w:spacing w:line="240" w:lineRule="exact"/>
              <w:jc w:val="left"/>
              <w:rPr>
                <w:rFonts w:hint="eastAsia" w:ascii="宋体" w:hAnsi="宋体" w:cs="宋体"/>
                <w:color w:val="auto"/>
                <w:kern w:val="0"/>
                <w:sz w:val="18"/>
                <w:szCs w:val="18"/>
                <w:lang w:eastAsia="zh-CN"/>
              </w:rPr>
            </w:pPr>
            <w:r>
              <w:rPr>
                <w:rFonts w:hint="eastAsia" w:ascii="宋体" w:hAnsi="宋体" w:cs="宋体"/>
                <w:kern w:val="0"/>
                <w:sz w:val="18"/>
                <w:szCs w:val="18"/>
              </w:rPr>
              <w:t>有效保护环境，防止动物疫病传播。</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24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有效防控动物疫病，促进社会主义新农村建设和畜牧业经济全面、协调和可持续发展</w:t>
            </w:r>
          </w:p>
        </w:tc>
        <w:tc>
          <w:tcPr>
            <w:tcW w:w="938" w:type="dxa"/>
            <w:tcBorders>
              <w:top w:val="nil"/>
              <w:left w:val="nil"/>
              <w:bottom w:val="single" w:color="auto" w:sz="4" w:space="0"/>
              <w:right w:val="single" w:color="auto" w:sz="4" w:space="0"/>
            </w:tcBorders>
            <w:vAlign w:val="center"/>
          </w:tcPr>
          <w:p>
            <w:pPr>
              <w:spacing w:line="240" w:lineRule="exact"/>
              <w:jc w:val="left"/>
              <w:rPr>
                <w:rFonts w:hint="eastAsia" w:ascii="宋体" w:hAnsi="宋体" w:eastAsia="宋体" w:cs="宋体"/>
                <w:color w:val="auto"/>
                <w:kern w:val="0"/>
                <w:sz w:val="18"/>
                <w:szCs w:val="18"/>
                <w:lang w:eastAsia="zh-CN"/>
              </w:rPr>
            </w:pPr>
            <w:r>
              <w:rPr>
                <w:rFonts w:hint="eastAsia" w:ascii="宋体" w:hAnsi="宋体" w:cs="宋体"/>
                <w:kern w:val="0"/>
                <w:sz w:val="18"/>
                <w:szCs w:val="18"/>
              </w:rPr>
              <w:t>有效提升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指标1：补贴对象满意度</w:t>
            </w:r>
          </w:p>
        </w:tc>
        <w:tc>
          <w:tcPr>
            <w:tcW w:w="93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kern w:val="0"/>
                <w:sz w:val="18"/>
                <w:szCs w:val="18"/>
              </w:rPr>
              <w:t>95%以上</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394"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37"/>
        <w:gridCol w:w="113"/>
        <w:gridCol w:w="407"/>
        <w:gridCol w:w="364"/>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b w:val="0"/>
                <w:bCs/>
                <w:sz w:val="21"/>
                <w:szCs w:val="21"/>
              </w:rPr>
              <w:t>通州区畜禽水产养殖主要污染物减排项目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张凤强</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eastAsia="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81584972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提升畜禽养殖场养殖雨污分流处理能力，提高资源化利用水平。</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rPr>
              <w:t>在北京市首农畜牧发展有限公司中以示范牛场改进</w:t>
            </w:r>
            <w:r>
              <w:rPr>
                <w:rFonts w:hint="eastAsia" w:ascii="宋体" w:hAnsi="宋体" w:cs="宋体"/>
                <w:color w:val="auto"/>
                <w:kern w:val="0"/>
                <w:sz w:val="15"/>
                <w:szCs w:val="15"/>
                <w:lang w:eastAsia="zh-CN"/>
              </w:rPr>
              <w:t>了</w:t>
            </w:r>
            <w:r>
              <w:rPr>
                <w:rFonts w:hint="eastAsia" w:ascii="宋体" w:hAnsi="宋体" w:cs="宋体"/>
                <w:color w:val="auto"/>
                <w:kern w:val="0"/>
                <w:sz w:val="15"/>
                <w:szCs w:val="15"/>
              </w:rPr>
              <w:t>节水养殖工艺和设备，完善场内雨污分流系统，建设资源化利用配套设施。</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指标1：畜禽水产养殖场改造数量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1家</w:t>
            </w:r>
          </w:p>
        </w:tc>
        <w:tc>
          <w:tcPr>
            <w:tcW w:w="9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1家</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ab/>
            </w:r>
            <w:r>
              <w:rPr>
                <w:rFonts w:hint="eastAsia" w:ascii="宋体" w:hAnsi="宋体" w:eastAsia="宋体" w:cs="宋体"/>
                <w:i w:val="0"/>
                <w:color w:val="000000"/>
                <w:kern w:val="0"/>
                <w:sz w:val="18"/>
                <w:szCs w:val="18"/>
                <w:u w:val="none"/>
                <w:lang w:val="en-US" w:eastAsia="zh-CN" w:bidi="ar"/>
              </w:rPr>
              <w:t>评审报告份数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1份</w:t>
            </w:r>
          </w:p>
        </w:tc>
        <w:tc>
          <w:tcPr>
            <w:tcW w:w="9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1份</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eastAsia="宋体" w:cs="宋体"/>
                <w:color w:val="000000"/>
                <w:kern w:val="0"/>
                <w:sz w:val="18"/>
                <w:szCs w:val="18"/>
              </w:rPr>
              <w:t>项目竣工验</w:t>
            </w:r>
            <w:r>
              <w:rPr>
                <w:rFonts w:hint="eastAsia" w:ascii="宋体" w:hAnsi="宋体" w:eastAsia="宋体" w:cs="宋体"/>
                <w:color w:val="000000"/>
                <w:kern w:val="0"/>
                <w:sz w:val="20"/>
                <w:szCs w:val="20"/>
              </w:rPr>
              <w:t>收合格率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kern w:val="0"/>
                <w:sz w:val="18"/>
                <w:szCs w:val="18"/>
                <w:u w:val="none"/>
                <w:lang w:val="en-US" w:eastAsia="zh-CN" w:bidi="ar"/>
              </w:rPr>
              <w:t>监理单位遴选工作完成时间</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2023年</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月底完成</w:t>
            </w:r>
          </w:p>
        </w:tc>
        <w:tc>
          <w:tcPr>
            <w:tcW w:w="9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i w:val="0"/>
                <w:color w:val="000000"/>
                <w:kern w:val="0"/>
                <w:sz w:val="18"/>
                <w:szCs w:val="18"/>
                <w:u w:val="none"/>
                <w:lang w:val="en-US" w:eastAsia="zh-CN" w:bidi="ar"/>
              </w:rPr>
              <w:t>2023年</w:t>
            </w:r>
            <w:r>
              <w:rPr>
                <w:rFonts w:hint="eastAsia" w:ascii="宋体" w:hAnsi="宋体" w:cs="宋体"/>
                <w:i w:val="0"/>
                <w:color w:val="000000"/>
                <w:kern w:val="0"/>
                <w:sz w:val="18"/>
                <w:szCs w:val="18"/>
                <w:u w:val="none"/>
                <w:lang w:val="en-US" w:eastAsia="zh-CN" w:bidi="ar"/>
              </w:rPr>
              <w:t>9</w:t>
            </w:r>
            <w:r>
              <w:rPr>
                <w:rFonts w:hint="eastAsia" w:ascii="宋体" w:hAnsi="宋体" w:eastAsia="宋体" w:cs="宋体"/>
                <w:i w:val="0"/>
                <w:color w:val="000000"/>
                <w:kern w:val="0"/>
                <w:sz w:val="18"/>
                <w:szCs w:val="18"/>
                <w:u w:val="none"/>
                <w:lang w:val="en-US" w:eastAsia="zh-CN" w:bidi="ar"/>
              </w:rPr>
              <w:t>月完成</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指标</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：项目验收完成完成时间</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2023年1</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月底完成</w:t>
            </w:r>
          </w:p>
        </w:tc>
        <w:tc>
          <w:tcPr>
            <w:tcW w:w="9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i w:val="0"/>
                <w:color w:val="000000"/>
                <w:kern w:val="0"/>
                <w:sz w:val="18"/>
                <w:szCs w:val="18"/>
                <w:u w:val="none"/>
                <w:lang w:val="en-US" w:eastAsia="zh-CN" w:bidi="ar"/>
              </w:rPr>
              <w:t>2023年12月底完成</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kern w:val="0"/>
                <w:sz w:val="18"/>
                <w:szCs w:val="18"/>
                <w:u w:val="none"/>
                <w:lang w:val="en-US" w:eastAsia="zh-CN" w:bidi="ar"/>
              </w:rPr>
              <w:t>预算控制在成本内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eastAsia="宋体" w:cs="宋体"/>
                <w:i w:val="0"/>
                <w:color w:val="000000"/>
                <w:kern w:val="0"/>
                <w:sz w:val="18"/>
                <w:szCs w:val="18"/>
                <w:u w:val="none"/>
                <w:lang w:val="en-US" w:eastAsia="zh-CN" w:bidi="ar"/>
              </w:rPr>
              <w:t>≤80万</w:t>
            </w:r>
            <w:r>
              <w:rPr>
                <w:rFonts w:hint="eastAsia" w:ascii="宋体" w:hAnsi="宋体" w:cs="宋体"/>
                <w:i w:val="0"/>
                <w:color w:val="000000"/>
                <w:kern w:val="0"/>
                <w:sz w:val="18"/>
                <w:szCs w:val="18"/>
                <w:u w:val="none"/>
                <w:lang w:val="en-US" w:eastAsia="zh-CN" w:bidi="ar"/>
              </w:rPr>
              <w:t>元</w:t>
            </w:r>
          </w:p>
        </w:tc>
        <w:tc>
          <w:tcPr>
            <w:tcW w:w="9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80万元</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0"/>
                <w:sz w:val="24"/>
                <w:szCs w:val="24"/>
                <w:lang w:val="en-US" w:eastAsia="zh-CN" w:bidi="ar-SA"/>
              </w:rPr>
            </w:pPr>
            <w:r>
              <w:rPr>
                <w:rFonts w:hint="eastAsia" w:ascii="宋体" w:hAnsi="宋体" w:cs="宋体"/>
                <w:color w:val="auto"/>
                <w:kern w:val="0"/>
                <w:sz w:val="18"/>
                <w:szCs w:val="18"/>
              </w:rPr>
              <w:t>指标1：</w:t>
            </w:r>
            <w:r>
              <w:rPr>
                <w:rFonts w:hint="eastAsia" w:ascii="宋体" w:hAnsi="宋体" w:eastAsia="宋体" w:cs="宋体"/>
                <w:i w:val="0"/>
                <w:color w:val="000000"/>
                <w:kern w:val="0"/>
                <w:sz w:val="18"/>
                <w:szCs w:val="18"/>
                <w:u w:val="none"/>
                <w:lang w:val="en-US" w:eastAsia="zh-CN" w:bidi="ar"/>
              </w:rPr>
              <w:t>提高治污节水的能力</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有效提高</w:t>
            </w:r>
          </w:p>
        </w:tc>
        <w:tc>
          <w:tcPr>
            <w:tcW w:w="93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有效提高</w:t>
            </w:r>
            <w:r>
              <w:rPr>
                <w:rFonts w:hint="eastAsia" w:ascii="宋体" w:hAnsi="宋体" w:cs="宋体"/>
                <w:color w:val="000000"/>
                <w:kern w:val="0"/>
                <w:sz w:val="18"/>
                <w:szCs w:val="18"/>
              </w:rPr>
              <w:t>　</w:t>
            </w:r>
          </w:p>
        </w:tc>
        <w:tc>
          <w:tcPr>
            <w:tcW w:w="520" w:type="dxa"/>
            <w:gridSpan w:val="2"/>
            <w:tcBorders>
              <w:top w:val="nil"/>
              <w:left w:val="nil"/>
              <w:bottom w:val="single" w:color="auto" w:sz="4" w:space="0"/>
              <w:right w:val="single" w:color="auto" w:sz="4" w:space="0"/>
            </w:tcBorders>
            <w:vAlign w:val="center"/>
          </w:tcPr>
          <w:p>
            <w:pPr>
              <w:jc w:val="center"/>
              <w:rPr>
                <w:rFonts w:hint="default"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20</w:t>
            </w:r>
          </w:p>
        </w:tc>
        <w:tc>
          <w:tcPr>
            <w:tcW w:w="505"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eastAsia="宋体" w:cs="宋体"/>
                <w:i w:val="0"/>
                <w:color w:val="000000"/>
                <w:kern w:val="0"/>
                <w:sz w:val="18"/>
                <w:szCs w:val="18"/>
                <w:u w:val="none"/>
                <w:lang w:val="en-US" w:eastAsia="zh-CN" w:bidi="ar"/>
              </w:rPr>
              <w:t>有效解决畜禽水产养殖业与环境保护之间的矛盾</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效果明显</w:t>
            </w:r>
          </w:p>
        </w:tc>
        <w:tc>
          <w:tcPr>
            <w:tcW w:w="9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效果明显</w:t>
            </w:r>
          </w:p>
        </w:tc>
        <w:tc>
          <w:tcPr>
            <w:tcW w:w="520" w:type="dxa"/>
            <w:gridSpan w:val="2"/>
            <w:tcBorders>
              <w:top w:val="nil"/>
              <w:left w:val="nil"/>
              <w:bottom w:val="single" w:color="auto" w:sz="4" w:space="0"/>
              <w:right w:val="single" w:color="auto" w:sz="4" w:space="0"/>
            </w:tcBorders>
            <w:vAlign w:val="center"/>
          </w:tcPr>
          <w:p>
            <w:pPr>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05" w:type="dxa"/>
            <w:gridSpan w:val="2"/>
            <w:tcBorders>
              <w:top w:val="nil"/>
              <w:left w:val="nil"/>
              <w:bottom w:val="single" w:color="auto" w:sz="4" w:space="0"/>
              <w:right w:val="single" w:color="auto" w:sz="4" w:space="0"/>
            </w:tcBorders>
            <w:vAlign w:val="center"/>
          </w:tcPr>
          <w:p>
            <w:pPr>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0"/>
                <w:sz w:val="24"/>
                <w:szCs w:val="24"/>
                <w:lang w:val="en-US" w:eastAsia="zh-CN" w:bidi="ar-SA"/>
              </w:rPr>
            </w:pPr>
            <w:r>
              <w:rPr>
                <w:rFonts w:hint="eastAsia" w:ascii="宋体" w:hAnsi="宋体" w:eastAsia="宋体" w:cs="宋体"/>
                <w:i w:val="0"/>
                <w:color w:val="000000"/>
                <w:kern w:val="0"/>
                <w:sz w:val="18"/>
                <w:szCs w:val="18"/>
                <w:u w:val="none"/>
                <w:lang w:val="en-US" w:eastAsia="zh-CN" w:bidi="ar"/>
              </w:rPr>
              <w:t>指标1：养殖场满意</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93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52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5</w:t>
            </w:r>
          </w:p>
        </w:tc>
        <w:tc>
          <w:tcPr>
            <w:tcW w:w="50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群众满意度</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93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520"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5</w:t>
            </w:r>
          </w:p>
        </w:tc>
        <w:tc>
          <w:tcPr>
            <w:tcW w:w="50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0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rPr>
      </w:pPr>
      <w:r>
        <w:rPr>
          <w:rFonts w:hint="eastAsia"/>
        </w:rPr>
        <w:br w:type="page"/>
      </w:r>
    </w:p>
    <w:p>
      <w:pPr>
        <w:pStyle w:val="5"/>
        <w:rPr>
          <w:rFonts w:hint="eastAsia"/>
        </w:rPr>
        <w:sectPr>
          <w:headerReference r:id="rId3" w:type="default"/>
          <w:pgSz w:w="11906" w:h="16838"/>
          <w:pgMar w:top="1440" w:right="1800" w:bottom="1440" w:left="1800" w:header="851" w:footer="992" w:gutter="0"/>
          <w:paperSrc/>
          <w:pgBorders>
            <w:top w:val="none" w:sz="0" w:space="0"/>
            <w:left w:val="none" w:sz="0" w:space="0"/>
            <w:bottom w:val="none" w:sz="0" w:space="0"/>
            <w:right w:val="none" w:sz="0" w:space="0"/>
          </w:pgBorders>
          <w:cols w:space="0" w:num="1"/>
          <w:rtlGutter w:val="0"/>
          <w:docGrid w:type="lines" w:linePitch="317" w:charSpace="0"/>
        </w:sectPr>
      </w:pPr>
    </w:p>
    <w:tbl>
      <w:tblPr>
        <w:tblStyle w:val="12"/>
        <w:tblW w:w="918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71"/>
        <w:gridCol w:w="79"/>
        <w:gridCol w:w="615"/>
        <w:gridCol w:w="156"/>
        <w:gridCol w:w="527"/>
        <w:gridCol w:w="309"/>
        <w:gridCol w:w="699"/>
        <w:gridCol w:w="260"/>
      </w:tblGrid>
      <w:tr>
        <w:tblPrEx>
          <w:tblCellMar>
            <w:top w:w="0" w:type="dxa"/>
            <w:left w:w="108" w:type="dxa"/>
            <w:bottom w:w="0" w:type="dxa"/>
            <w:right w:w="108" w:type="dxa"/>
          </w:tblCellMar>
        </w:tblPrEx>
        <w:trPr>
          <w:gridAfter w:val="1"/>
          <w:wAfter w:w="260" w:type="dxa"/>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gridAfter w:val="1"/>
          <w:wAfter w:w="260" w:type="dxa"/>
          <w:trHeight w:val="194" w:hRule="atLeast"/>
          <w:jc w:val="center"/>
        </w:trPr>
        <w:tc>
          <w:tcPr>
            <w:tcW w:w="8928" w:type="dxa"/>
            <w:gridSpan w:val="14"/>
            <w:tcBorders>
              <w:top w:val="nil"/>
              <w:left w:val="nil"/>
              <w:bottom w:val="nil"/>
              <w:right w:val="nil"/>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gridAfter w:val="1"/>
          <w:wAfter w:w="260" w:type="dxa"/>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通州区农业生产项目监管服务</w:t>
            </w:r>
            <w:r>
              <w:rPr>
                <w:rFonts w:hint="eastAsia" w:ascii="宋体" w:hAnsi="宋体" w:cs="宋体"/>
                <w:color w:val="auto"/>
                <w:kern w:val="0"/>
                <w:sz w:val="18"/>
                <w:szCs w:val="18"/>
              </w:rPr>
              <w:t>（政府购买服务）</w:t>
            </w:r>
          </w:p>
        </w:tc>
      </w:tr>
      <w:tr>
        <w:tblPrEx>
          <w:tblCellMar>
            <w:top w:w="0" w:type="dxa"/>
            <w:left w:w="108" w:type="dxa"/>
            <w:bottom w:w="0" w:type="dxa"/>
            <w:right w:w="108" w:type="dxa"/>
          </w:tblCellMar>
        </w:tblPrEx>
        <w:trPr>
          <w:gridAfter w:val="1"/>
          <w:wAfter w:w="260" w:type="dxa"/>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 14001001</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gridAfter w:val="1"/>
          <w:wAfter w:w="260" w:type="dxa"/>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gridAfter w:val="1"/>
          <w:wAfter w:w="260" w:type="dxa"/>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gridAfter w:val="1"/>
          <w:wAfter w:w="260"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94.29</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93.29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98.94%</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r>
      <w:tr>
        <w:tblPrEx>
          <w:tblCellMar>
            <w:top w:w="0" w:type="dxa"/>
            <w:left w:w="108" w:type="dxa"/>
            <w:bottom w:w="0" w:type="dxa"/>
            <w:right w:w="108" w:type="dxa"/>
          </w:tblCellMar>
        </w:tblPrEx>
        <w:trPr>
          <w:gridAfter w:val="1"/>
          <w:wAfter w:w="260"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94.29</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93.29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98.94%</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gridAfter w:val="1"/>
          <w:wAfter w:w="260"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gridAfter w:val="1"/>
          <w:wAfter w:w="260"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gridAfter w:val="1"/>
          <w:wAfter w:w="260" w:type="dxa"/>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gridAfter w:val="1"/>
          <w:wAfter w:w="260" w:type="dxa"/>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通过政府购买服务，采购项目监管服务，</w:t>
            </w:r>
            <w:r>
              <w:rPr>
                <w:rFonts w:hint="eastAsia" w:ascii="宋体" w:hAnsi="宋体" w:cs="宋体"/>
                <w:color w:val="auto"/>
                <w:kern w:val="0"/>
                <w:sz w:val="18"/>
                <w:szCs w:val="18"/>
              </w:rPr>
              <w:t>巩固农安县创建成效</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提升项目管理水平。</w:t>
            </w:r>
          </w:p>
        </w:tc>
        <w:tc>
          <w:tcPr>
            <w:tcW w:w="335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通过采购项目监管服务，进一步了</w:t>
            </w:r>
            <w:r>
              <w:rPr>
                <w:rFonts w:hint="eastAsia" w:ascii="宋体" w:hAnsi="宋体" w:cs="宋体"/>
                <w:color w:val="auto"/>
                <w:kern w:val="0"/>
                <w:sz w:val="18"/>
                <w:szCs w:val="18"/>
              </w:rPr>
              <w:t>巩固农安县创建成效</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有效提升项目管理水平。</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监理报告数量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&gt;</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0份</w:t>
            </w:r>
          </w:p>
        </w:tc>
        <w:tc>
          <w:tcPr>
            <w:tcW w:w="9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6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总报告验收通过率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9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100%</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6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监理报告提交时间</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每月一次</w:t>
            </w:r>
          </w:p>
        </w:tc>
        <w:tc>
          <w:tcPr>
            <w:tcW w:w="9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每月一</w:t>
            </w:r>
            <w:r>
              <w:rPr>
                <w:rFonts w:hint="eastAsia" w:ascii="宋体" w:hAnsi="宋体" w:cs="宋体"/>
                <w:color w:val="auto"/>
                <w:kern w:val="0"/>
                <w:sz w:val="18"/>
                <w:szCs w:val="18"/>
                <w:lang w:eastAsia="zh-CN"/>
              </w:rPr>
              <w:t>次</w:t>
            </w:r>
            <w:r>
              <w:rPr>
                <w:rFonts w:hint="eastAsia" w:ascii="宋体" w:hAnsi="宋体" w:cs="宋体"/>
                <w:color w:val="auto"/>
                <w:kern w:val="0"/>
                <w:sz w:val="18"/>
                <w:szCs w:val="18"/>
              </w:rPr>
              <w:t>次</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肥料样品检测</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≤20万元</w:t>
            </w:r>
          </w:p>
        </w:tc>
        <w:tc>
          <w:tcPr>
            <w:tcW w:w="97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≤20万元</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巩固农安县创建成效，夯实农产品质量安全基石</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有效巩固</w:t>
            </w:r>
          </w:p>
        </w:tc>
        <w:tc>
          <w:tcPr>
            <w:tcW w:w="97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有效巩固</w:t>
            </w:r>
          </w:p>
        </w:tc>
        <w:tc>
          <w:tcPr>
            <w:tcW w:w="69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6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26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9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4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12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农业安全监测监管项目（政府购买检测和印刷服务）</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 14001001</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205.71</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205.71</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205.66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99.97%</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205.71</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205.71</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205.66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99.97%</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开展农产品质量检测工作，确保完成全区农产品质量安全统一监测工作，农产品质量安全检测合格率达98%以上；</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开展农产品质量检测工作，确保完成全区农产品质量安全统一监测工作，农产品质量安全检测合格率达98%以上；</w:t>
            </w:r>
          </w:p>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农产品监督抽检样品数量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≥1000个</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1225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农产品质量安全检测合格率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农产品质量安全监督抽检完成时间</w:t>
            </w:r>
          </w:p>
        </w:tc>
        <w:tc>
          <w:tcPr>
            <w:tcW w:w="938"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12月底前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农产品质量安全监督抽检成本</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≤230万元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149.49万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降低本区内重大农产品安全事故发生风险</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有效降低</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有效降</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低</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7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被抽检主体投诉次数</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0次</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种业园区警务工作站运营与安防监控系统维护项目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52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kern w:val="0"/>
                <w:sz w:val="18"/>
                <w:szCs w:val="18"/>
                <w:u w:val="none"/>
                <w:lang w:val="en-US" w:eastAsia="zh-CN" w:bidi="ar"/>
              </w:rPr>
              <w:t>通过项目实施，确保</w:t>
            </w:r>
            <w:r>
              <w:rPr>
                <w:rFonts w:hint="eastAsia" w:ascii="宋体" w:hAnsi="宋体" w:eastAsia="宋体" w:cs="宋体"/>
                <w:i w:val="0"/>
                <w:color w:val="000000"/>
                <w:kern w:val="0"/>
                <w:sz w:val="18"/>
                <w:szCs w:val="18"/>
                <w:u w:val="none"/>
                <w:lang w:val="en-US" w:eastAsia="zh-CN" w:bidi="ar"/>
              </w:rPr>
              <w:t>警务工作站</w:t>
            </w:r>
            <w:r>
              <w:rPr>
                <w:rFonts w:hint="eastAsia" w:ascii="宋体" w:hAnsi="宋体" w:cs="宋体"/>
                <w:i w:val="0"/>
                <w:color w:val="000000"/>
                <w:kern w:val="0"/>
                <w:sz w:val="18"/>
                <w:szCs w:val="18"/>
                <w:u w:val="none"/>
                <w:lang w:val="en-US" w:eastAsia="zh-CN" w:bidi="ar"/>
              </w:rPr>
              <w:t>正常</w:t>
            </w:r>
            <w:r>
              <w:rPr>
                <w:rFonts w:hint="eastAsia" w:ascii="宋体" w:hAnsi="宋体" w:eastAsia="宋体" w:cs="宋体"/>
                <w:i w:val="0"/>
                <w:color w:val="000000"/>
                <w:kern w:val="0"/>
                <w:sz w:val="18"/>
                <w:szCs w:val="18"/>
                <w:u w:val="none"/>
                <w:lang w:val="en-US" w:eastAsia="zh-CN" w:bidi="ar"/>
              </w:rPr>
              <w:t>运行，安防系统维护</w:t>
            </w:r>
            <w:r>
              <w:rPr>
                <w:rFonts w:hint="eastAsia" w:ascii="宋体" w:hAnsi="宋体" w:cs="宋体"/>
                <w:i w:val="0"/>
                <w:color w:val="000000"/>
                <w:kern w:val="0"/>
                <w:sz w:val="18"/>
                <w:szCs w:val="18"/>
                <w:u w:val="none"/>
                <w:lang w:val="en-US" w:eastAsia="zh-CN" w:bidi="ar"/>
              </w:rPr>
              <w:t>，保障园区运行安全</w:t>
            </w:r>
            <w:r>
              <w:rPr>
                <w:rFonts w:hint="eastAsia" w:ascii="宋体" w:hAnsi="宋体" w:cs="宋体"/>
                <w:color w:val="auto"/>
                <w:kern w:val="0"/>
                <w:sz w:val="18"/>
                <w:szCs w:val="18"/>
              </w:rPr>
              <w:t>。</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i w:val="0"/>
                <w:color w:val="000000"/>
                <w:kern w:val="0"/>
                <w:sz w:val="18"/>
                <w:szCs w:val="18"/>
                <w:u w:val="none"/>
                <w:lang w:val="en-US" w:eastAsia="zh-CN" w:bidi="ar"/>
              </w:rPr>
              <w:t>1座</w:t>
            </w:r>
            <w:r>
              <w:rPr>
                <w:rFonts w:hint="eastAsia" w:ascii="宋体" w:hAnsi="宋体" w:eastAsia="宋体" w:cs="宋体"/>
                <w:i w:val="0"/>
                <w:color w:val="000000"/>
                <w:kern w:val="0"/>
                <w:sz w:val="18"/>
                <w:szCs w:val="18"/>
                <w:u w:val="none"/>
                <w:lang w:val="en-US" w:eastAsia="zh-CN" w:bidi="ar"/>
              </w:rPr>
              <w:t>警务工作站</w:t>
            </w:r>
            <w:r>
              <w:rPr>
                <w:rFonts w:hint="eastAsia" w:ascii="宋体" w:hAnsi="宋体" w:cs="宋体"/>
                <w:i w:val="0"/>
                <w:color w:val="000000"/>
                <w:kern w:val="0"/>
                <w:sz w:val="18"/>
                <w:szCs w:val="18"/>
                <w:u w:val="none"/>
                <w:lang w:val="en-US" w:eastAsia="zh-CN" w:bidi="ar"/>
              </w:rPr>
              <w:t>正常</w:t>
            </w:r>
            <w:r>
              <w:rPr>
                <w:rFonts w:hint="eastAsia" w:ascii="宋体" w:hAnsi="宋体" w:eastAsia="宋体" w:cs="宋体"/>
                <w:i w:val="0"/>
                <w:color w:val="000000"/>
                <w:kern w:val="0"/>
                <w:sz w:val="18"/>
                <w:szCs w:val="18"/>
                <w:u w:val="none"/>
                <w:lang w:val="en-US" w:eastAsia="zh-CN" w:bidi="ar"/>
              </w:rPr>
              <w:t>运行，安防系统</w:t>
            </w:r>
            <w:r>
              <w:rPr>
                <w:rFonts w:hint="eastAsia" w:ascii="宋体" w:hAnsi="宋体" w:cs="宋体"/>
                <w:i w:val="0"/>
                <w:color w:val="000000"/>
                <w:kern w:val="0"/>
                <w:sz w:val="18"/>
                <w:szCs w:val="18"/>
                <w:u w:val="none"/>
                <w:lang w:val="en-US" w:eastAsia="zh-CN" w:bidi="ar"/>
              </w:rPr>
              <w:t>运行正常，确保了园区的运行安全。</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9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警务工作站运行，安防系统维护</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1座</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1座</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保证正常运行，园区事故监测率</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提高安全保证率</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50%以上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50%以上</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项目完成时间</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2023年12月底</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2023年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预算控制</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color w:val="000000"/>
                <w:kern w:val="0"/>
                <w:sz w:val="18"/>
                <w:szCs w:val="18"/>
                <w:u w:val="none"/>
                <w:lang w:val="en-US" w:eastAsia="zh-CN" w:bidi="ar"/>
              </w:rPr>
              <w:t>20</w:t>
            </w:r>
            <w:r>
              <w:rPr>
                <w:rFonts w:hint="eastAsia" w:ascii="宋体" w:hAnsi="宋体" w:eastAsia="宋体" w:cs="宋体"/>
                <w:i w:val="0"/>
                <w:color w:val="000000"/>
                <w:kern w:val="0"/>
                <w:sz w:val="18"/>
                <w:szCs w:val="18"/>
                <w:u w:val="none"/>
                <w:lang w:val="en-US" w:eastAsia="zh-CN" w:bidi="ar"/>
              </w:rPr>
              <w:t>万元以内</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2023年工作已完成，因支付流程问题未能完成拨款，已与区财政沟通，结转至2024年支付</w:t>
            </w:r>
          </w:p>
        </w:tc>
      </w:tr>
      <w:tr>
        <w:tblPrEx>
          <w:tblCellMar>
            <w:top w:w="0" w:type="dxa"/>
            <w:left w:w="108" w:type="dxa"/>
            <w:bottom w:w="0" w:type="dxa"/>
            <w:right w:w="108" w:type="dxa"/>
          </w:tblCellMar>
        </w:tblPrEx>
        <w:trPr>
          <w:trHeight w:val="7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确保园区运行安全</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有效保障</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有效保障</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118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园区入园企业、科研机构及群众满意度</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860"/>
        <w:gridCol w:w="254"/>
        <w:gridCol w:w="1107"/>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（2023年度）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中国农业大学北京通州实验站项目</w:t>
            </w:r>
          </w:p>
        </w:tc>
      </w:tr>
      <w:tr>
        <w:tblPrEx>
          <w:tblCellMar>
            <w:top w:w="0" w:type="dxa"/>
            <w:left w:w="108" w:type="dxa"/>
            <w:bottom w:w="0" w:type="dxa"/>
            <w:right w:w="108" w:type="dxa"/>
          </w:tblCellMar>
        </w:tblPrEx>
        <w:trPr>
          <w:trHeight w:val="48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中国农业大学北京通州实验站</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33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针对北京市都市型现代农业发展的重大需求，以服务集约化农业、制种农业和设施农业为宗旨，重点围绕着农业精量灌溉新技术与新产品研发、特色作物耗水特性监测和高效灌溉制度建立，集科技创新、集成示范、综合培训、科普推广于一体的农业节水科技创新服务平台。</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土地种植租赁</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385亩</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385亩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土地种植面积</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360亩</w:t>
            </w:r>
          </w:p>
        </w:tc>
        <w:tc>
          <w:tcPr>
            <w:tcW w:w="8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360亩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购买有机肥</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38吨</w:t>
            </w:r>
          </w:p>
        </w:tc>
        <w:tc>
          <w:tcPr>
            <w:tcW w:w="8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38吨</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购买化肥及复合肥</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12吨</w:t>
            </w:r>
          </w:p>
        </w:tc>
        <w:tc>
          <w:tcPr>
            <w:tcW w:w="8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12吨</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购买种子</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1.9吨</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1.9吨</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新增介绍展板</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bookmarkStart w:id="65" w:name="OLE_LINK7"/>
            <w:r>
              <w:rPr>
                <w:rFonts w:hint="eastAsia" w:ascii="宋体" w:hAnsi="宋体" w:cs="宋体"/>
                <w:color w:val="000000"/>
                <w:kern w:val="0"/>
                <w:sz w:val="18"/>
                <w:szCs w:val="18"/>
                <w:lang w:bidi="ar"/>
              </w:rPr>
              <w:t>20块</w:t>
            </w:r>
            <w:bookmarkEnd w:id="65"/>
            <w:r>
              <w:rPr>
                <w:rFonts w:hint="eastAsia" w:ascii="宋体" w:hAnsi="宋体" w:cs="宋体"/>
                <w:color w:val="000000"/>
                <w:kern w:val="0"/>
                <w:sz w:val="18"/>
                <w:szCs w:val="18"/>
                <w:lang w:bidi="ar"/>
              </w:rPr>
              <w:t>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22块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温室大棚改造</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9座</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9座</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2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太阳能供电系统改造</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连栋温室供水管路系统更换自动控制设备1套，包含电磁阀及电磁流量计；太阳能供电系统更换性能不达标或已无法使用的太阳能电池板5-10块，更换铅酸蓄电池、稳压电路、充电器等系统设备1套。</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未全部完成</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因安全需要，对连栋温室和生活区电路进行了改造，项目费用不足完成太阳能供电系统改造</w:t>
            </w:r>
          </w:p>
        </w:tc>
      </w:tr>
      <w:tr>
        <w:tblPrEx>
          <w:tblCellMar>
            <w:top w:w="0" w:type="dxa"/>
            <w:left w:w="108" w:type="dxa"/>
            <w:bottom w:w="0" w:type="dxa"/>
            <w:right w:w="108" w:type="dxa"/>
          </w:tblCellMar>
        </w:tblPrEx>
        <w:trPr>
          <w:trHeight w:val="854"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灌溉系统首部过滤系统改造</w:t>
            </w:r>
          </w:p>
        </w:tc>
        <w:tc>
          <w:tcPr>
            <w:tcW w:w="1361"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3套</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3套</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4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叠片过滤器测试平台建设</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1套</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1套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提出典型作物高效节水技术模式</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10套以上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r>
              <w:rPr>
                <w:rFonts w:hint="eastAsia" w:ascii="宋体" w:hAnsi="宋体" w:cs="宋体"/>
                <w:color w:val="000000"/>
                <w:kern w:val="0"/>
                <w:sz w:val="18"/>
                <w:szCs w:val="18"/>
                <w:lang w:bidi="ar"/>
              </w:rPr>
              <w:t>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在站科研项目</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5项以上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8项</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培养研究生</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20人以上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26人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参观次数</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bookmarkStart w:id="66" w:name="OLE_LINK4"/>
            <w:r>
              <w:rPr>
                <w:rFonts w:hint="eastAsia" w:ascii="宋体" w:hAnsi="宋体" w:cs="宋体"/>
                <w:color w:val="000000"/>
                <w:kern w:val="0"/>
                <w:sz w:val="18"/>
                <w:szCs w:val="18"/>
                <w:lang w:bidi="ar"/>
              </w:rPr>
              <w:t>10次</w:t>
            </w:r>
            <w:bookmarkEnd w:id="66"/>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10次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参观人数</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bookmarkStart w:id="67" w:name="OLE_LINK5"/>
            <w:r>
              <w:rPr>
                <w:rFonts w:hint="eastAsia" w:ascii="宋体" w:hAnsi="宋体" w:cs="宋体"/>
                <w:color w:val="000000"/>
                <w:kern w:val="0"/>
                <w:sz w:val="18"/>
                <w:szCs w:val="18"/>
                <w:lang w:bidi="ar"/>
              </w:rPr>
              <w:t>800人</w:t>
            </w:r>
            <w:bookmarkEnd w:id="67"/>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806人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举办培训班</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3次以上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培训基层人员</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bookmarkStart w:id="68" w:name="OLE_LINK6"/>
            <w:r>
              <w:rPr>
                <w:rFonts w:hint="eastAsia" w:ascii="宋体" w:hAnsi="宋体" w:cs="宋体"/>
                <w:color w:val="000000"/>
                <w:kern w:val="0"/>
                <w:sz w:val="18"/>
                <w:szCs w:val="18"/>
                <w:lang w:bidi="ar"/>
              </w:rPr>
              <w:t>300人</w:t>
            </w:r>
            <w:bookmarkEnd w:id="68"/>
            <w:r>
              <w:rPr>
                <w:rFonts w:hint="eastAsia" w:ascii="宋体" w:hAnsi="宋体" w:cs="宋体"/>
                <w:color w:val="000000"/>
                <w:kern w:val="0"/>
                <w:sz w:val="18"/>
                <w:szCs w:val="18"/>
                <w:lang w:bidi="ar"/>
              </w:rPr>
              <w:t>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310人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设施蔬菜产量平均提升</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3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果品质量</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Vc含量提升15%以上，可溶性糖含量提升20%以上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sz w:val="20"/>
                <w:szCs w:val="20"/>
                <w:lang w:val="en-US" w:eastAsia="zh-CN"/>
              </w:rPr>
              <w:t>实际完成低于预期，下一步将进一步提高果品质量。</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培训合格率</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97%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培训完成时间</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2023年12月</w:t>
            </w:r>
          </w:p>
        </w:tc>
        <w:tc>
          <w:tcPr>
            <w:tcW w:w="8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2023年12月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提出高效节水灌溉模式完成时间</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2023年12月</w:t>
            </w:r>
          </w:p>
        </w:tc>
        <w:tc>
          <w:tcPr>
            <w:tcW w:w="8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2023年12月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总成本</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100万以内</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试验区最优技术模式实现增产</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5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对高校学生及农业从业人员进行高效节水灌溉技术培训，并向周边地区及技术适用区推广研究成果，推动研究成果向实际应用转化</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效果显著</w:t>
            </w:r>
          </w:p>
        </w:tc>
        <w:tc>
          <w:tcPr>
            <w:tcW w:w="8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效果显著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31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最大限度的降低水资源使用量，提高水资源利用效率</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有效提高</w:t>
            </w:r>
          </w:p>
        </w:tc>
        <w:tc>
          <w:tcPr>
            <w:tcW w:w="8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有效提高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培训满意度</w:t>
            </w:r>
          </w:p>
        </w:tc>
        <w:tc>
          <w:tcPr>
            <w:tcW w:w="1361"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bookmarkStart w:id="69" w:name="OLE_LINK2"/>
            <w:r>
              <w:rPr>
                <w:rFonts w:hint="eastAsia" w:ascii="宋体" w:hAnsi="宋体" w:cs="宋体"/>
                <w:color w:val="000000"/>
                <w:kern w:val="0"/>
                <w:sz w:val="18"/>
                <w:szCs w:val="18"/>
                <w:lang w:bidi="ar"/>
              </w:rPr>
              <w:t>95%</w:t>
            </w:r>
            <w:bookmarkEnd w:id="69"/>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bookmarkStart w:id="70" w:name="OLE_LINK3"/>
            <w:r>
              <w:rPr>
                <w:rFonts w:hint="eastAsia" w:ascii="宋体" w:hAnsi="宋体" w:cs="宋体"/>
                <w:color w:val="000000"/>
                <w:kern w:val="0"/>
                <w:sz w:val="18"/>
                <w:szCs w:val="18"/>
                <w:lang w:bidi="ar"/>
              </w:rPr>
              <w:t>97%</w:t>
            </w:r>
            <w:bookmarkEnd w:id="70"/>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7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7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参观满意度</w:t>
            </w:r>
          </w:p>
        </w:tc>
        <w:tc>
          <w:tcPr>
            <w:tcW w:w="136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96%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9</w:t>
            </w: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ascii="仿宋" w:hAnsi="仿宋" w:eastAsia="仿宋"/>
          <w:sz w:val="32"/>
          <w:szCs w:val="32"/>
        </w:rPr>
      </w:pPr>
      <w:r>
        <w:rPr>
          <w:rFonts w:ascii="仿宋" w:hAnsi="仿宋" w:eastAsia="仿宋"/>
          <w:sz w:val="32"/>
          <w:szCs w:val="32"/>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33"/>
        <w:gridCol w:w="603"/>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现代种业领域决策咨询机构服务项目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83%</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8.3</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83%</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110"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组建现代种业研究中心、专家咨询委员会和法务顾问，履行区“四个一”工作机制中现代种业领域决策咨询机构职能，开展种业技术合作、政策研究与评估、法务监督及咨询等各项工作，支撑工作专班和招商团队开展工作。</w:t>
            </w:r>
          </w:p>
          <w:p>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召开专家咨询会</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不少于4次</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4次</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6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成立现代种业研究中心</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1个</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1个</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6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成立法律顾问组</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1家</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1家</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6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成立专家咨询委员会</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1个</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1个</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6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种业政策课题研究</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1次</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1次</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6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园区政策、企业入驻专家评估覆盖率</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法律顾问重大合同谈判和签订参与率</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9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现代种业研究中心、专家咨询委员会、法律顾问组成立并正常开展工作</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12月底前</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开展种业技术科研，提出政策建议，有效扩大园区影响力，提升园区政策优势</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有效提升</w:t>
            </w:r>
          </w:p>
        </w:tc>
        <w:tc>
          <w:tcPr>
            <w:tcW w:w="8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有效提升</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15</w:t>
            </w:r>
          </w:p>
        </w:tc>
        <w:tc>
          <w:tcPr>
            <w:tcW w:w="64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15</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24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通过组建现代种业研究中心，推动种业龙头企业与科研机构合作,支撑工作专班和招商团队开展工作</w:t>
            </w:r>
          </w:p>
        </w:tc>
        <w:tc>
          <w:tcPr>
            <w:tcW w:w="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有效支撑</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有效支撑</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6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6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r>
              <w:rPr>
                <w:rFonts w:hint="eastAsia" w:ascii="宋体" w:hAnsi="宋体" w:cs="宋体"/>
                <w:color w:val="auto"/>
                <w:kern w:val="0"/>
                <w:sz w:val="18"/>
                <w:szCs w:val="18"/>
                <w:lang w:val="en-US" w:eastAsia="zh-CN"/>
              </w:rPr>
              <w:t>.3</w:t>
            </w:r>
          </w:p>
        </w:tc>
        <w:tc>
          <w:tcPr>
            <w:tcW w:w="13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74"/>
        <w:gridCol w:w="562"/>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第三十届中国北京种业大会启动资金</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294.4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294.4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0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开展第三十届中国北京种业大会筹备相关工作，策划并筹备好大会开幕式、成果展、会务服务、大会宣传等工作</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举办种业大会开幕式</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1场</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1场</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举办种业振兴成果展</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邀请媒体数量</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≥30家</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50余家</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安排会务接待工作员数量</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≥150人</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194人</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9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会议举办时间</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9月底前</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9月11-14日</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4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现货交易和合作签约总额</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≥8亿元</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8.7亿元</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6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种业园区知名度和影响力</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有效提升</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有效提升</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9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64"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种业大会带动种业招商</w:t>
            </w:r>
          </w:p>
        </w:tc>
        <w:tc>
          <w:tcPr>
            <w:tcW w:w="93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i w:val="0"/>
                <w:color w:val="000000"/>
                <w:kern w:val="0"/>
                <w:sz w:val="18"/>
                <w:szCs w:val="18"/>
                <w:u w:val="none"/>
                <w:lang w:val="en-US" w:eastAsia="zh-CN" w:bidi="ar"/>
              </w:rPr>
              <w:t>持续影响</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持续影响</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9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参展企业及嘉宾满意度</w:t>
            </w:r>
          </w:p>
        </w:tc>
        <w:tc>
          <w:tcPr>
            <w:tcW w:w="93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297"/>
              </w:tabs>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297"/>
              </w:tabs>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99.8</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p>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default" w:ascii="宋体" w:hAnsi="宋体" w:cs="宋体"/>
                <w:color w:val="auto"/>
                <w:kern w:val="0"/>
                <w:sz w:val="18"/>
                <w:szCs w:val="18"/>
                <w:lang w:val="en-US" w:eastAsia="zh-CN"/>
              </w:rPr>
              <w:t>2022</w:t>
            </w:r>
            <w:r>
              <w:rPr>
                <w:rFonts w:hint="eastAsia" w:ascii="宋体" w:hAnsi="宋体" w:cs="宋体"/>
                <w:color w:val="auto"/>
                <w:kern w:val="0"/>
                <w:sz w:val="18"/>
                <w:szCs w:val="18"/>
                <w:lang w:val="en-US" w:eastAsia="zh-CN"/>
              </w:rPr>
              <w:t>年度种芯申请《关于鼓励现代种业发展的十条措施》奖励资金兑现</w:t>
            </w:r>
            <w:r>
              <w:rPr>
                <w:rFonts w:hint="eastAsia" w:ascii="宋体" w:hAnsi="宋体" w:cs="宋体"/>
                <w:color w:val="auto"/>
                <w:kern w:val="0"/>
                <w:sz w:val="18"/>
                <w:szCs w:val="18"/>
              </w:rPr>
              <w:t>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146.28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146.28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146.28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146.28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31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根据《关于鼓励现代种业发展的十条措施》给予种芯（北京）科技有限公司企业入驻、办公用房租赁、实验用地租赁政策兑现</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2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default" w:ascii="宋体" w:hAnsi="宋体" w:cs="宋体"/>
                <w:color w:val="auto"/>
                <w:kern w:val="0"/>
                <w:sz w:val="18"/>
                <w:szCs w:val="18"/>
                <w:lang w:val="en-US" w:eastAsia="zh-CN"/>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政策兑现奖励企业数量</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1</w:t>
            </w:r>
            <w:r>
              <w:rPr>
                <w:rFonts w:hint="eastAsia" w:ascii="宋体" w:hAnsi="宋体" w:cs="宋体"/>
                <w:color w:val="auto"/>
                <w:kern w:val="0"/>
                <w:sz w:val="18"/>
                <w:szCs w:val="18"/>
                <w:lang w:val="en-US" w:eastAsia="zh-CN"/>
              </w:rPr>
              <w:t>家</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default" w:ascii="宋体" w:hAnsi="宋体" w:cs="宋体"/>
                <w:color w:val="auto"/>
                <w:kern w:val="0"/>
                <w:sz w:val="18"/>
                <w:szCs w:val="18"/>
                <w:lang w:val="en-US" w:eastAsia="zh-CN"/>
              </w:rPr>
              <w:t>1</w:t>
            </w:r>
            <w:r>
              <w:rPr>
                <w:rFonts w:hint="eastAsia" w:ascii="宋体" w:hAnsi="宋体" w:cs="宋体"/>
                <w:color w:val="auto"/>
                <w:kern w:val="0"/>
                <w:sz w:val="18"/>
                <w:szCs w:val="18"/>
                <w:lang w:val="en-US" w:eastAsia="zh-CN"/>
              </w:rPr>
              <w:t>家</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资金拨付期限</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11月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p>
        </w:tc>
      </w:tr>
      <w:tr>
        <w:tblPrEx>
          <w:tblCellMar>
            <w:top w:w="0" w:type="dxa"/>
            <w:left w:w="108" w:type="dxa"/>
            <w:bottom w:w="0" w:type="dxa"/>
            <w:right w:w="108" w:type="dxa"/>
          </w:tblCellMar>
        </w:tblPrEx>
        <w:trPr>
          <w:trHeight w:val="6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社会效益</w:t>
            </w:r>
          </w:p>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提升企业入驻积极性</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有效提升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有效提升</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624"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提升种业政策影响力</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有效提升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有效提升</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901"/>
        <w:gridCol w:w="213"/>
        <w:gridCol w:w="1107"/>
        <w:gridCol w:w="1250"/>
        <w:gridCol w:w="517"/>
        <w:gridCol w:w="54"/>
        <w:gridCol w:w="346"/>
        <w:gridCol w:w="490"/>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2023年度漷县镇黄厂铺村家庭农场试点工作</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北京市通州区农业农村局</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杨跃方</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1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pPr>
            <w:r>
              <w:rPr>
                <w:rFonts w:hint="eastAsia" w:ascii="宋体" w:hAnsi="宋体" w:eastAsia="宋体" w:cs="宋体"/>
                <w:color w:val="auto"/>
                <w:kern w:val="0"/>
                <w:sz w:val="18"/>
                <w:szCs w:val="18"/>
              </w:rPr>
              <w:t>实现种植专业化、集约化、标准化生产，土地产出率高于全区平均水平，农民收入大幅提高。</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补贴任务完成。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黄厂铺村试点</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4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年度农业农村改革发展资金支出进度</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符合财政部门规定要求</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项目任务落实进度</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符合市级主管部门指导要求</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项目资金支持标准</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符合市级规定标准要求</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促进家庭农场增收</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稳步提升</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稳步提升</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带动能力得到稳步提升</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稳步提升</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稳步提升</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试点影响力</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提升</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3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w:t>
            </w:r>
            <w:r>
              <w:rPr>
                <w:rFonts w:hint="eastAsia" w:ascii="宋体" w:hAnsi="宋体" w:cs="宋体"/>
                <w:color w:val="auto"/>
                <w:kern w:val="0"/>
                <w:sz w:val="18"/>
                <w:szCs w:val="18"/>
                <w:lang w:val="en-US" w:eastAsia="zh-CN"/>
              </w:rPr>
              <w:t>80%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5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8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4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901"/>
        <w:gridCol w:w="213"/>
        <w:gridCol w:w="1107"/>
        <w:gridCol w:w="1250"/>
        <w:gridCol w:w="517"/>
        <w:gridCol w:w="54"/>
        <w:gridCol w:w="574"/>
        <w:gridCol w:w="262"/>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农业安全监测监管项目（政府购买检测和印刷服务）</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北京市通州区农业农村局</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杨跃方</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1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53"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45.68</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45.68</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45.68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45.68</w:t>
            </w: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45.68</w:t>
            </w:r>
          </w:p>
        </w:tc>
        <w:tc>
          <w:tcPr>
            <w:tcW w:w="1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45.68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lang w:val="en-US" w:eastAsia="zh-CN"/>
              </w:rPr>
            </w:pPr>
            <w:r>
              <w:rPr>
                <w:rFonts w:hint="eastAsia" w:ascii="宋体" w:hAnsi="宋体" w:eastAsia="宋体" w:cs="宋体"/>
                <w:color w:val="auto"/>
                <w:kern w:val="0"/>
                <w:sz w:val="18"/>
                <w:szCs w:val="18"/>
              </w:rPr>
              <w:t>年初设定目标：开展农产品质量检测工作，确保完成全区农产品质量安全统一监测工作，农产品质量安全检测合格率达98%以上</w:t>
            </w:r>
            <w:r>
              <w:rPr>
                <w:rFonts w:hint="eastAsia" w:ascii="宋体" w:hAnsi="宋体" w:eastAsia="宋体" w:cs="宋体"/>
                <w:color w:val="auto"/>
                <w:kern w:val="0"/>
                <w:sz w:val="18"/>
                <w:szCs w:val="18"/>
                <w:lang w:eastAsia="zh-CN"/>
              </w:rPr>
              <w:t>。</w:t>
            </w:r>
          </w:p>
        </w:tc>
        <w:tc>
          <w:tcPr>
            <w:tcW w:w="33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年度总体目标完成情况综述：开展农产品质量检测工作，完成了1293个农产品监督抽检工作，农产品质量安全检测合格率达100%。</w:t>
            </w:r>
          </w:p>
        </w:tc>
      </w:tr>
      <w:tr>
        <w:tblPrEx>
          <w:tblCellMar>
            <w:top w:w="0" w:type="dxa"/>
            <w:left w:w="108" w:type="dxa"/>
            <w:bottom w:w="0" w:type="dxa"/>
            <w:right w:w="108" w:type="dxa"/>
          </w:tblCellMar>
        </w:tblPrEx>
        <w:trPr>
          <w:trHeight w:val="695"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2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9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农产品监督抽检样品数量</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1000个</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1293</w:t>
            </w:r>
            <w:r>
              <w:rPr>
                <w:rFonts w:hint="eastAsia" w:ascii="宋体" w:hAnsi="宋体" w:cs="宋体"/>
                <w:color w:val="auto"/>
                <w:kern w:val="0"/>
                <w:sz w:val="18"/>
                <w:szCs w:val="18"/>
                <w:lang w:val="en-US" w:eastAsia="zh-CN"/>
              </w:rPr>
              <w:t>个</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62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9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农产品质量安全检测合格率</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98%</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62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9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进度指标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农产品质量安全监督抽检完成时间</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12月底前</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12月底</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2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9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6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农产品质量安全监督抽检成本</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eastAsia="zh-CN"/>
              </w:rPr>
              <w:t>≤</w:t>
            </w:r>
            <w:r>
              <w:rPr>
                <w:rFonts w:hint="eastAsia" w:ascii="宋体" w:hAnsi="宋体" w:cs="宋体"/>
                <w:color w:val="auto"/>
                <w:kern w:val="0"/>
                <w:sz w:val="18"/>
                <w:szCs w:val="18"/>
                <w:lang w:val="en-US" w:eastAsia="zh-CN"/>
              </w:rPr>
              <w:t>45.68</w:t>
            </w:r>
            <w:r>
              <w:rPr>
                <w:rFonts w:hint="eastAsia" w:ascii="宋体" w:hAnsi="宋体" w:eastAsia="宋体" w:cs="宋体"/>
                <w:color w:val="auto"/>
                <w:kern w:val="0"/>
                <w:sz w:val="18"/>
                <w:szCs w:val="18"/>
                <w:lang w:val="en-US" w:eastAsia="zh-CN"/>
              </w:rPr>
              <w:t>万</w:t>
            </w:r>
            <w:r>
              <w:rPr>
                <w:rFonts w:hint="eastAsia" w:ascii="宋体" w:hAnsi="宋体" w:cs="宋体"/>
                <w:color w:val="auto"/>
                <w:kern w:val="0"/>
                <w:sz w:val="18"/>
                <w:szCs w:val="18"/>
                <w:lang w:val="en-US" w:eastAsia="zh-CN"/>
              </w:rPr>
              <w:t>元</w:t>
            </w:r>
          </w:p>
        </w:tc>
        <w:tc>
          <w:tcPr>
            <w:tcW w:w="12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45.68</w:t>
            </w:r>
            <w:r>
              <w:rPr>
                <w:rFonts w:hint="eastAsia" w:ascii="宋体" w:hAnsi="宋体" w:eastAsia="宋体" w:cs="宋体"/>
                <w:color w:val="auto"/>
                <w:kern w:val="0"/>
                <w:sz w:val="18"/>
                <w:szCs w:val="18"/>
                <w:lang w:val="en-US" w:eastAsia="zh-CN"/>
              </w:rPr>
              <w:t>万</w:t>
            </w:r>
            <w:r>
              <w:rPr>
                <w:rFonts w:hint="eastAsia" w:ascii="宋体" w:hAnsi="宋体" w:cs="宋体"/>
                <w:color w:val="auto"/>
                <w:kern w:val="0"/>
                <w:sz w:val="18"/>
                <w:szCs w:val="18"/>
                <w:lang w:val="en-US" w:eastAsia="zh-CN"/>
              </w:rPr>
              <w:t>元</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2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9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效益指标</w:t>
            </w:r>
          </w:p>
        </w:tc>
        <w:tc>
          <w:tcPr>
            <w:tcW w:w="161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降低本区内重大农产品安全事故发生风险</w:t>
            </w:r>
          </w:p>
        </w:tc>
        <w:tc>
          <w:tcPr>
            <w:tcW w:w="132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有效降低</w:t>
            </w:r>
          </w:p>
        </w:tc>
        <w:tc>
          <w:tcPr>
            <w:tcW w:w="1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未发生农产品安全事故</w:t>
            </w:r>
          </w:p>
        </w:tc>
        <w:tc>
          <w:tcPr>
            <w:tcW w:w="5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62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9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服务对象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满意度指标</w:t>
            </w:r>
          </w:p>
        </w:tc>
        <w:tc>
          <w:tcPr>
            <w:tcW w:w="161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被抽检主体投诉次数</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≤5次</w:t>
            </w: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无投诉</w:t>
            </w:r>
          </w:p>
        </w:tc>
        <w:tc>
          <w:tcPr>
            <w:tcW w:w="5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2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9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8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2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81"/>
        <w:gridCol w:w="69"/>
        <w:gridCol w:w="501"/>
        <w:gridCol w:w="270"/>
        <w:gridCol w:w="300"/>
        <w:gridCol w:w="536"/>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Theme="majorEastAsia" w:hAnsiTheme="majorEastAsia" w:eastAsiaTheme="majorEastAsia" w:cstheme="majorEastAsia"/>
                <w:b w:val="0"/>
                <w:bCs/>
                <w:sz w:val="21"/>
                <w:szCs w:val="21"/>
                <w:lang w:val="en-US" w:eastAsia="zh-CN"/>
              </w:rPr>
              <w:t>2022年通州区植物检疫抽样检测项目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1.17</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1.17</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1.17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746"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ab/>
            </w:r>
            <w:r>
              <w:rPr>
                <w:rFonts w:hint="eastAsia" w:ascii="宋体" w:hAnsi="宋体" w:eastAsia="宋体" w:cs="宋体"/>
                <w:color w:val="auto"/>
                <w:kern w:val="0"/>
                <w:sz w:val="18"/>
                <w:szCs w:val="18"/>
                <w:lang w:eastAsia="zh-CN"/>
              </w:rPr>
              <w:t>为保障通州区农业安全生产，根据植物条例》、《北京市农业植物检疫办法》要求，需加强农业植物疫情监测、调查、控制、扑灭及其监督管理工作。对市外申请调运和有风险的农作物种子抽样检测，确保种子无检疫性有害生物。</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2022年此项工作由区植保中心负责抽样送样工作，检测工作委托中国检验检疫科学研究院植物检验与检疫研究所承担。2022年植物检疫抽样工作已全部完成，根据工作量，共需支付检测方检测费1.17万元</w:t>
            </w:r>
            <w:r>
              <w:rPr>
                <w:rFonts w:hint="eastAsia" w:ascii="宋体" w:hAnsi="宋体" w:cs="宋体"/>
                <w:color w:val="auto"/>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检测单位</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1家</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1家</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检疫率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2022年全年</w:t>
            </w:r>
          </w:p>
        </w:tc>
        <w:tc>
          <w:tcPr>
            <w:tcW w:w="938"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2022年12月底</w:t>
            </w:r>
          </w:p>
        </w:tc>
        <w:tc>
          <w:tcPr>
            <w:tcW w:w="98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2022年</w:t>
            </w:r>
          </w:p>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12月底</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检疫费用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5万元</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1.17万元</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社会效益指标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控制</w:t>
            </w:r>
            <w:r>
              <w:rPr>
                <w:rFonts w:hint="eastAsia" w:ascii="宋体" w:hAnsi="宋体" w:eastAsia="宋体" w:cs="宋体"/>
                <w:color w:val="auto"/>
                <w:kern w:val="0"/>
                <w:sz w:val="18"/>
                <w:szCs w:val="18"/>
                <w:lang w:eastAsia="zh-CN"/>
              </w:rPr>
              <w:t>种子无检疫性有害生物</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有效控制</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有效控制</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20</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0"/>
                <w:sz w:val="24"/>
                <w:szCs w:val="24"/>
                <w:lang w:val="en-US" w:eastAsia="zh-CN" w:bidi="ar-SA"/>
              </w:rPr>
            </w:pPr>
            <w:r>
              <w:rPr>
                <w:rFonts w:hint="eastAsia" w:ascii="宋体" w:hAnsi="宋体" w:eastAsia="宋体" w:cs="宋体"/>
                <w:color w:val="auto"/>
                <w:kern w:val="0"/>
                <w:sz w:val="18"/>
                <w:szCs w:val="18"/>
                <w:lang w:val="en-US" w:eastAsia="zh-CN"/>
              </w:rPr>
              <w:t>全年投诉次数</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2"/>
                <w:sz w:val="21"/>
                <w:szCs w:val="24"/>
                <w:lang w:val="en-US" w:eastAsia="zh-CN" w:bidi="ar-SA"/>
              </w:rPr>
            </w:pPr>
            <w:r>
              <w:rPr>
                <w:rFonts w:hint="eastAsia" w:ascii="宋体" w:hAnsi="宋体" w:cs="宋体"/>
                <w:color w:val="auto"/>
                <w:kern w:val="0"/>
                <w:sz w:val="18"/>
                <w:szCs w:val="18"/>
              </w:rPr>
              <w:t>≤5次</w:t>
            </w:r>
          </w:p>
        </w:tc>
        <w:tc>
          <w:tcPr>
            <w:tcW w:w="9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24"/>
                <w:szCs w:val="24"/>
                <w:lang w:val="en-US" w:eastAsia="zh-CN" w:bidi="ar-SA"/>
              </w:rPr>
            </w:pPr>
            <w:r>
              <w:rPr>
                <w:rFonts w:hint="eastAsia" w:ascii="宋体" w:hAnsi="宋体" w:cs="宋体"/>
                <w:color w:val="auto"/>
                <w:kern w:val="0"/>
                <w:sz w:val="18"/>
                <w:szCs w:val="18"/>
                <w:lang w:val="en-US" w:eastAsia="zh-CN"/>
              </w:rPr>
              <w:t>0次</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10</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5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81"/>
        <w:gridCol w:w="69"/>
        <w:gridCol w:w="501"/>
        <w:gridCol w:w="270"/>
        <w:gridCol w:w="300"/>
        <w:gridCol w:w="536"/>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b w:val="0"/>
                <w:bCs/>
                <w:sz w:val="21"/>
                <w:szCs w:val="21"/>
                <w:lang w:val="en-US" w:eastAsia="zh-CN"/>
              </w:rPr>
              <w:t>种子执法经费</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w:t>
            </w:r>
            <w:r>
              <w:rPr>
                <w:rFonts w:hint="eastAsia" w:ascii="宋体" w:hAnsi="宋体" w:cs="宋体"/>
                <w:color w:val="auto"/>
                <w:kern w:val="0"/>
                <w:sz w:val="18"/>
                <w:szCs w:val="18"/>
                <w:lang w:val="en-US" w:eastAsia="zh-CN"/>
              </w:rPr>
              <w:t>农业农村</w:t>
            </w:r>
            <w:r>
              <w:rPr>
                <w:rFonts w:hint="eastAsia" w:ascii="宋体" w:hAnsi="宋体" w:cs="宋体"/>
                <w:color w:val="auto"/>
                <w:kern w:val="0"/>
                <w:sz w:val="18"/>
                <w:szCs w:val="18"/>
                <w:lang w:eastAsia="zh-CN"/>
              </w:rPr>
              <w:t>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746"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目标1：加强源头监管确保农作物种子生产经营许可企业依法依规进行生产、加工、包装、销售。</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目标2：宣传种子法律法规，让农作物种子经营者及种子使用者知法懂法守法。</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通过执法检查及普法宣传活动维护我区农作物种子市场秩序，更好的规范区内农作物种子的生产经营行为，杜绝因农作物种子纠纷引发的群诉群访事件，保证我区农业生产用种安全，促进我区种业和谐有序的发展。</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19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农作物种子执法及普法宣传品</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63家经营单位执法检查。组织参与2-5次普法宣传活动</w:t>
            </w:r>
          </w:p>
        </w:tc>
        <w:tc>
          <w:tcPr>
            <w:tcW w:w="9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完成63家农作物种子经营单位的执法检查。完成3次普法宣传活动</w:t>
            </w:r>
          </w:p>
        </w:tc>
        <w:tc>
          <w:tcPr>
            <w:tcW w:w="57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57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3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农作物种子持证企业生产加工场所现场检查、繁种田现场检查</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4-8家农作物种子生产经营企位于外埠的生产加工场所及繁种田进行现场检查</w:t>
            </w:r>
          </w:p>
        </w:tc>
        <w:tc>
          <w:tcPr>
            <w:tcW w:w="9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未完成</w:t>
            </w:r>
          </w:p>
        </w:tc>
        <w:tc>
          <w:tcPr>
            <w:tcW w:w="57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7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因疫情原因不能出京未能对位于外埠的生产加工场所及繁种田进行现场检查</w:t>
            </w: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农作物种子经营单位普法宣传率</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100%</w:t>
            </w:r>
          </w:p>
        </w:tc>
        <w:tc>
          <w:tcPr>
            <w:tcW w:w="9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100%</w:t>
            </w:r>
          </w:p>
        </w:tc>
        <w:tc>
          <w:tcPr>
            <w:tcW w:w="57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57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186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加强源头监管确保生产经营许可单位按照相关要求进行生产、加工、包装、销售现场检查率</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100%</w:t>
            </w:r>
          </w:p>
        </w:tc>
        <w:tc>
          <w:tcPr>
            <w:tcW w:w="9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未完成</w:t>
            </w:r>
          </w:p>
        </w:tc>
        <w:tc>
          <w:tcPr>
            <w:tcW w:w="57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7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因疫情原因不能出京未能对位于外埠的生产加工场所及繁种田进行现场检查</w:t>
            </w:r>
          </w:p>
        </w:tc>
      </w:tr>
      <w:tr>
        <w:tblPrEx>
          <w:tblCellMar>
            <w:top w:w="0" w:type="dxa"/>
            <w:left w:w="108" w:type="dxa"/>
            <w:bottom w:w="0" w:type="dxa"/>
            <w:right w:w="108" w:type="dxa"/>
          </w:tblCellMar>
        </w:tblPrEx>
        <w:trPr>
          <w:trHeight w:val="7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时效</w:t>
            </w: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2022年1月-2022年12月</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2022年12月31日</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2022年12月31日</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19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2022年1月-2022年12月</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2022年12月31日</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未完成</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因疫情原因不能出京未能对位于外埠的生产加工场所及繁种田进行现场检查</w:t>
            </w:r>
          </w:p>
        </w:tc>
      </w:tr>
      <w:tr>
        <w:tblPrEx>
          <w:tblCellMar>
            <w:top w:w="0" w:type="dxa"/>
            <w:left w:w="108" w:type="dxa"/>
            <w:bottom w:w="0" w:type="dxa"/>
            <w:right w:w="108" w:type="dxa"/>
          </w:tblCellMar>
        </w:tblPrEx>
        <w:trPr>
          <w:trHeight w:val="7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农作物种子执法及普法</w:t>
            </w:r>
          </w:p>
        </w:tc>
        <w:tc>
          <w:tcPr>
            <w:tcW w:w="93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6万</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6万</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0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农作物种子持证企业生产加工场所现场检查、繁种田现场检查</w:t>
            </w:r>
          </w:p>
        </w:tc>
        <w:tc>
          <w:tcPr>
            <w:tcW w:w="93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8万</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未完成</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因疫情原因不能出京未能对位于外埠的生产加工场所及繁种田进行现场检查</w:t>
            </w:r>
          </w:p>
        </w:tc>
      </w:tr>
      <w:tr>
        <w:tblPrEx>
          <w:tblCellMar>
            <w:top w:w="0" w:type="dxa"/>
            <w:left w:w="108" w:type="dxa"/>
            <w:bottom w:w="0" w:type="dxa"/>
            <w:right w:w="108" w:type="dxa"/>
          </w:tblCellMar>
        </w:tblPrEx>
        <w:trPr>
          <w:trHeight w:val="7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rPr>
            </w:pP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效益指标</w:t>
            </w:r>
            <w:r>
              <w:rPr>
                <w:rFonts w:hint="eastAsia" w:ascii="宋体" w:hAnsi="宋体" w:cs="宋体"/>
                <w:color w:val="auto"/>
                <w:kern w:val="0"/>
                <w:sz w:val="18"/>
                <w:szCs w:val="18"/>
              </w:rPr>
              <w:br w:type="textWrapping"/>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提高经营者守法经营意识，使服务上升到新的水平。</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有所提升</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有所提升</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17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加强源头监管确保生产经营许可单位按相关要求生产经营农作物种子</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100%</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0</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因疫情原因不能出京未能对位于外埠的生产加工场所及繁种田进行现场检查</w:t>
            </w:r>
          </w:p>
        </w:tc>
      </w:tr>
      <w:tr>
        <w:tblPrEx>
          <w:tblCellMar>
            <w:top w:w="0" w:type="dxa"/>
            <w:left w:w="108" w:type="dxa"/>
            <w:bottom w:w="0" w:type="dxa"/>
            <w:right w:w="108" w:type="dxa"/>
          </w:tblCellMar>
        </w:tblPrEx>
        <w:trPr>
          <w:trHeight w:val="714"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服务对象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满意度指标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执法人员行为规范投诉</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≤1人次</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人次</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20</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20</w:t>
            </w:r>
          </w:p>
        </w:tc>
        <w:tc>
          <w:tcPr>
            <w:tcW w:w="1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91" w:hRule="exact"/>
          <w:jc w:val="center"/>
        </w:trPr>
        <w:tc>
          <w:tcPr>
            <w:tcW w:w="655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2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81"/>
        <w:gridCol w:w="69"/>
        <w:gridCol w:w="501"/>
        <w:gridCol w:w="270"/>
        <w:gridCol w:w="300"/>
        <w:gridCol w:w="536"/>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通州区推广应用有机肥项目监管检测服务（政府购买监管服务）</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93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根据《通州区2022年推广应用有机肥工作方案》和《2022年通州区农膜和农药包装废弃物回收处置工作方案》计划，聘请三方监理对两个项目进行材料检查、实际完成数量核实及实施过程监督，监理费总计30万元。经三家比价，最终确定监理方为北京和平诚信工程建设监理有限公司，并与监理方签订了《2022年通州区推广应用有机肥及农膜和农药包装废弃物回收处置项目委托监理协议》。根据协议规定，项目完成后支付监理费总金额的50%即15万元。</w:t>
            </w:r>
            <w:r>
              <w:rPr>
                <w:rFonts w:hint="eastAsia" w:ascii="宋体" w:hAnsi="宋体" w:cs="宋体"/>
                <w:color w:val="auto"/>
                <w:kern w:val="0"/>
                <w:sz w:val="18"/>
                <w:szCs w:val="18"/>
                <w:lang w:eastAsia="zh-CN"/>
              </w:rPr>
              <w:tab/>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根据《通州区2022年推广应用有机肥工作方案》和《2022年通州区农膜和农药包装废弃物回收处置工作方案》计划，聘请三方监理对两个项目进行材料检查、实际完成数量核实及实施过程监督，监理费总计30万元。经三家比价，最终确定监理方为北京和平诚信工程建设监理有限公司，并与监理方签订了《2022年通州区推广应用有机肥及农膜和农药包装废弃物回收处置项目委托监理协议》。根据协议规定，项目完成后支付监理费总金额的50%即15万元。</w:t>
            </w:r>
            <w:r>
              <w:rPr>
                <w:rFonts w:hint="eastAsia" w:ascii="宋体" w:hAnsi="宋体" w:cs="宋体"/>
                <w:color w:val="auto"/>
                <w:kern w:val="0"/>
                <w:sz w:val="18"/>
                <w:szCs w:val="18"/>
                <w:lang w:eastAsia="zh-CN"/>
              </w:rPr>
              <w:tab/>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监理报告</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&gt;</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0份</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12份</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总报告验收通过率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100%</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监理报告提交时间</w:t>
            </w:r>
          </w:p>
        </w:tc>
        <w:tc>
          <w:tcPr>
            <w:tcW w:w="938"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cs="宋体"/>
                <w:color w:val="auto"/>
                <w:kern w:val="0"/>
                <w:sz w:val="18"/>
                <w:szCs w:val="18"/>
                <w:lang w:val="en-US" w:eastAsia="zh-CN"/>
              </w:rPr>
            </w:pPr>
            <w:r>
              <w:rPr>
                <w:rFonts w:hint="default" w:ascii="宋体" w:hAnsi="宋体" w:eastAsia="宋体" w:cs="宋体"/>
                <w:color w:val="auto"/>
                <w:kern w:val="0"/>
                <w:sz w:val="18"/>
                <w:szCs w:val="18"/>
                <w:lang w:val="en-US" w:eastAsia="zh-CN"/>
              </w:rPr>
              <w:t>每月一次</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每月一</w:t>
            </w:r>
            <w:r>
              <w:rPr>
                <w:rFonts w:hint="eastAsia" w:ascii="宋体" w:hAnsi="宋体" w:cs="宋体"/>
                <w:color w:val="auto"/>
                <w:kern w:val="0"/>
                <w:sz w:val="18"/>
                <w:szCs w:val="18"/>
                <w:lang w:eastAsia="zh-CN"/>
              </w:rPr>
              <w:t>次</w:t>
            </w:r>
            <w:r>
              <w:rPr>
                <w:rFonts w:hint="eastAsia" w:ascii="宋体" w:hAnsi="宋体" w:cs="宋体"/>
                <w:color w:val="auto"/>
                <w:kern w:val="0"/>
                <w:sz w:val="18"/>
                <w:szCs w:val="18"/>
              </w:rPr>
              <w:t>次</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监理费</w:t>
            </w:r>
          </w:p>
        </w:tc>
        <w:tc>
          <w:tcPr>
            <w:tcW w:w="93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≤15万元</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15万元</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4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社会效益指标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通过第三方监理，</w:t>
            </w:r>
            <w:r>
              <w:rPr>
                <w:rFonts w:hint="eastAsia" w:ascii="宋体" w:hAnsi="宋体" w:eastAsia="宋体" w:cs="宋体"/>
                <w:color w:val="auto"/>
                <w:kern w:val="0"/>
                <w:sz w:val="18"/>
                <w:szCs w:val="18"/>
                <w:lang w:val="en-US" w:eastAsia="zh-CN"/>
              </w:rPr>
              <w:t>提高</w:t>
            </w:r>
            <w:r>
              <w:rPr>
                <w:rFonts w:hint="eastAsia" w:ascii="宋体" w:hAnsi="宋体" w:cs="宋体"/>
                <w:color w:val="auto"/>
                <w:kern w:val="0"/>
                <w:sz w:val="18"/>
                <w:szCs w:val="18"/>
                <w:lang w:val="en-US" w:eastAsia="zh-CN"/>
              </w:rPr>
              <w:t>项目管理水平</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有所提高</w:t>
            </w:r>
          </w:p>
        </w:tc>
        <w:tc>
          <w:tcPr>
            <w:tcW w:w="9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有所提高</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20</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4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0"/>
                <w:sz w:val="24"/>
                <w:szCs w:val="24"/>
                <w:lang w:val="en-US" w:eastAsia="zh-CN" w:bidi="ar-SA"/>
              </w:rPr>
            </w:pPr>
            <w:r>
              <w:rPr>
                <w:rFonts w:hint="eastAsia" w:ascii="宋体" w:hAnsi="宋体" w:eastAsia="宋体" w:cs="宋体"/>
                <w:color w:val="auto"/>
                <w:kern w:val="0"/>
                <w:sz w:val="18"/>
                <w:szCs w:val="18"/>
                <w:lang w:val="en-US" w:eastAsia="zh-CN"/>
              </w:rPr>
              <w:t>全年投诉次数</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2"/>
                <w:sz w:val="21"/>
                <w:szCs w:val="24"/>
                <w:lang w:val="en-US" w:eastAsia="zh-CN" w:bidi="ar-SA"/>
              </w:rPr>
            </w:pPr>
            <w:r>
              <w:rPr>
                <w:rFonts w:hint="eastAsia" w:ascii="宋体" w:hAnsi="宋体" w:cs="宋体"/>
                <w:color w:val="auto"/>
                <w:kern w:val="0"/>
                <w:sz w:val="18"/>
                <w:szCs w:val="18"/>
              </w:rPr>
              <w:t>≤5次</w:t>
            </w:r>
          </w:p>
        </w:tc>
        <w:tc>
          <w:tcPr>
            <w:tcW w:w="9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24"/>
                <w:szCs w:val="24"/>
                <w:lang w:val="en-US" w:eastAsia="zh-CN" w:bidi="ar-SA"/>
              </w:rPr>
            </w:pPr>
            <w:r>
              <w:rPr>
                <w:rFonts w:hint="eastAsia" w:ascii="宋体" w:hAnsi="宋体" w:cs="宋体"/>
                <w:color w:val="auto"/>
                <w:kern w:val="0"/>
                <w:sz w:val="18"/>
                <w:szCs w:val="18"/>
                <w:lang w:val="en-US" w:eastAsia="zh-CN"/>
              </w:rPr>
              <w:t>0次</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10</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5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44"/>
        <w:gridCol w:w="592"/>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100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2022年农业农村改革发展资金（实施乡村振兴战略奖励）、</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通州区2020年实施乡村振兴战略奖励资金、</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2023年农业农村改革发展资金（中国北京种业大会及品种展示评价项目）、</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组织第三十届中国北京种业大会</w:t>
            </w:r>
          </w:p>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899.25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899.25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534.72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798.07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798.07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483.52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60.57%</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101.18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101.18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51.2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50.6%</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19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开展第三十届中国北京种业大会筹备相关工作，</w:t>
            </w:r>
            <w:r>
              <w:rPr>
                <w:rFonts w:hint="eastAsia" w:ascii="宋体" w:hAnsi="宋体" w:cs="宋体"/>
                <w:color w:val="auto"/>
                <w:kern w:val="0"/>
                <w:sz w:val="18"/>
                <w:szCs w:val="18"/>
                <w:lang w:eastAsia="zh-CN"/>
              </w:rPr>
              <w:t>按照</w:t>
            </w:r>
            <w:r>
              <w:rPr>
                <w:rFonts w:hint="eastAsia" w:ascii="宋体" w:hAnsi="宋体" w:cs="宋体"/>
                <w:color w:val="auto"/>
                <w:kern w:val="0"/>
                <w:sz w:val="18"/>
                <w:szCs w:val="18"/>
                <w:lang w:val="en-US" w:eastAsia="zh-CN"/>
              </w:rPr>
              <w:t>1+1+6+3+X的办会模式，</w:t>
            </w:r>
            <w:r>
              <w:rPr>
                <w:rFonts w:hint="eastAsia" w:ascii="宋体" w:hAnsi="宋体" w:cs="宋体"/>
                <w:color w:val="auto"/>
                <w:kern w:val="0"/>
                <w:sz w:val="18"/>
                <w:szCs w:val="18"/>
              </w:rPr>
              <w:t>策划并筹备好大会开幕式</w:t>
            </w:r>
            <w:r>
              <w:rPr>
                <w:rFonts w:hint="eastAsia" w:ascii="宋体" w:hAnsi="宋体" w:cs="宋体"/>
                <w:color w:val="auto"/>
                <w:kern w:val="0"/>
                <w:sz w:val="18"/>
                <w:szCs w:val="18"/>
                <w:lang w:eastAsia="zh-CN"/>
              </w:rPr>
              <w:t>、主论坛、专业论坛、展览展示以及多项活动</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举办种业大会开幕式</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1场</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1场</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举办国际种业高峰论坛</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举办种业专业论坛</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6场</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6场</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等线" w:hAnsi="等线" w:eastAsia="等线" w:cs="等线"/>
                <w:i w:val="0"/>
                <w:color w:val="000000"/>
                <w:kern w:val="0"/>
                <w:sz w:val="18"/>
                <w:szCs w:val="18"/>
                <w:u w:val="none"/>
                <w:lang w:val="en-US" w:eastAsia="zh-CN" w:bidi="ar"/>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举办种业地展</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等线" w:hAnsi="等线" w:eastAsia="等线" w:cs="等线"/>
                <w:i w:val="0"/>
                <w:color w:val="000000"/>
                <w:kern w:val="0"/>
                <w:sz w:val="18"/>
                <w:szCs w:val="18"/>
                <w:u w:val="none"/>
                <w:lang w:val="en-US" w:eastAsia="zh-CN" w:bidi="ar"/>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举办种业商业展</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等线" w:hAnsi="等线" w:eastAsia="等线" w:cs="等线"/>
                <w:i w:val="0"/>
                <w:color w:val="000000"/>
                <w:kern w:val="0"/>
                <w:sz w:val="18"/>
                <w:szCs w:val="18"/>
                <w:u w:val="none"/>
                <w:lang w:val="en-US" w:eastAsia="zh-CN" w:bidi="ar"/>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举办种业振兴成果展</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1场</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邀请院士</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lang w:val="en-US"/>
              </w:rPr>
            </w:pPr>
            <w:r>
              <w:rPr>
                <w:rFonts w:hint="eastAsia" w:ascii="宋体" w:hAnsi="宋体" w:eastAsia="宋体" w:cs="宋体"/>
                <w:i w:val="0"/>
                <w:color w:val="000000"/>
                <w:kern w:val="0"/>
                <w:sz w:val="18"/>
                <w:szCs w:val="18"/>
                <w:u w:val="none"/>
                <w:lang w:val="en-US" w:eastAsia="zh-CN" w:bidi="ar"/>
              </w:rPr>
              <w:t>≥10位</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10位</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展示种业成果</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≥300个</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331个</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参展企业</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500家</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503家</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会议举办时间</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9月底前</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9月11-14日</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经济效益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现货交易和合作签约总额</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≥8亿元</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8.7亿元</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种业园区知名度和影响力</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有效提升</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有效提升</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种业大会带动种业招商</w:t>
            </w:r>
          </w:p>
        </w:tc>
        <w:tc>
          <w:tcPr>
            <w:tcW w:w="93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lang w:eastAsia="zh-CN"/>
              </w:rPr>
            </w:pPr>
            <w:r>
              <w:rPr>
                <w:rFonts w:hint="eastAsia" w:ascii="宋体" w:hAnsi="宋体" w:eastAsia="宋体" w:cs="宋体"/>
                <w:i w:val="0"/>
                <w:color w:val="000000"/>
                <w:kern w:val="0"/>
                <w:sz w:val="18"/>
                <w:szCs w:val="18"/>
                <w:u w:val="none"/>
                <w:lang w:val="en-US" w:eastAsia="zh-CN" w:bidi="ar"/>
              </w:rPr>
              <w:t>持续影响</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持续影响</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参展企业及嘉宾满意度</w:t>
            </w:r>
          </w:p>
        </w:tc>
        <w:tc>
          <w:tcPr>
            <w:tcW w:w="93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297"/>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297"/>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6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95.9</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81"/>
        <w:gridCol w:w="69"/>
        <w:gridCol w:w="501"/>
        <w:gridCol w:w="270"/>
        <w:gridCol w:w="300"/>
        <w:gridCol w:w="536"/>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2023年通州区小麦中后期“一喷三防”项目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16.25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16.25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16.25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16.25</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16.25</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16.25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746"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小麦中后期“一喷三防”具有一次施药可以实现防治小麦蚜虫、吸浆虫、白粉病，同时防止小麦早衰等多重作用，是实现减损增产、虫口夺粮保丰收的关键措施之一。可</w:t>
            </w:r>
            <w:r>
              <w:rPr>
                <w:rFonts w:hint="eastAsia" w:ascii="宋体" w:hAnsi="宋体" w:cs="宋体"/>
                <w:color w:val="auto"/>
                <w:kern w:val="0"/>
                <w:sz w:val="18"/>
                <w:szCs w:val="18"/>
              </w:rPr>
              <w:t>有效控制</w:t>
            </w:r>
            <w:r>
              <w:rPr>
                <w:rFonts w:hint="eastAsia" w:ascii="宋体" w:hAnsi="宋体" w:cs="宋体"/>
                <w:color w:val="auto"/>
                <w:kern w:val="0"/>
                <w:sz w:val="18"/>
                <w:szCs w:val="18"/>
                <w:lang w:eastAsia="zh-CN"/>
              </w:rPr>
              <w:t>本区小麦</w:t>
            </w:r>
            <w:r>
              <w:rPr>
                <w:rFonts w:hint="eastAsia" w:ascii="宋体" w:hAnsi="宋体" w:cs="宋体"/>
                <w:color w:val="auto"/>
                <w:kern w:val="0"/>
                <w:sz w:val="18"/>
                <w:szCs w:val="18"/>
              </w:rPr>
              <w:t>病虫害为害，确保今年夏粮丰收</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eastAsia="zh-CN"/>
              </w:rPr>
              <w:tab/>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小麦中后期“一喷三防”具有一次施药可以实现防治小麦蚜虫、吸浆虫、白粉病，同时防止小麦早衰等多重作用，是实现减损增产、虫口夺粮保丰收的关键措施之一。可</w:t>
            </w:r>
            <w:r>
              <w:rPr>
                <w:rFonts w:hint="eastAsia" w:ascii="宋体" w:hAnsi="宋体" w:cs="宋体"/>
                <w:color w:val="auto"/>
                <w:kern w:val="0"/>
                <w:sz w:val="18"/>
                <w:szCs w:val="18"/>
              </w:rPr>
              <w:t>有效控制</w:t>
            </w:r>
            <w:r>
              <w:rPr>
                <w:rFonts w:hint="eastAsia" w:ascii="宋体" w:hAnsi="宋体" w:cs="宋体"/>
                <w:color w:val="auto"/>
                <w:kern w:val="0"/>
                <w:sz w:val="18"/>
                <w:szCs w:val="18"/>
                <w:lang w:eastAsia="zh-CN"/>
              </w:rPr>
              <w:t>本区小麦</w:t>
            </w:r>
            <w:r>
              <w:rPr>
                <w:rFonts w:hint="eastAsia" w:ascii="宋体" w:hAnsi="宋体" w:cs="宋体"/>
                <w:color w:val="auto"/>
                <w:kern w:val="0"/>
                <w:sz w:val="18"/>
                <w:szCs w:val="18"/>
              </w:rPr>
              <w:t>病虫害为害，确保今年夏粮丰收</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eastAsia="zh-CN"/>
              </w:rPr>
              <w:tab/>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供药单位</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1家</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1家</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小麦病虫草害总体危害损失率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5%</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2023年全年</w:t>
            </w:r>
          </w:p>
        </w:tc>
        <w:tc>
          <w:tcPr>
            <w:tcW w:w="938"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2023年12月底</w:t>
            </w:r>
          </w:p>
        </w:tc>
        <w:tc>
          <w:tcPr>
            <w:tcW w:w="98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w:t>
            </w:r>
          </w:p>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12月底</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采购费用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16.25万元</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16.25万元</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社会效益指标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通过项目实施，</w:t>
            </w:r>
            <w:r>
              <w:rPr>
                <w:rFonts w:hint="eastAsia" w:ascii="宋体" w:hAnsi="宋体" w:eastAsia="宋体" w:cs="宋体"/>
                <w:color w:val="auto"/>
                <w:kern w:val="0"/>
                <w:sz w:val="18"/>
                <w:szCs w:val="18"/>
                <w:lang w:val="en-US" w:eastAsia="zh-CN"/>
              </w:rPr>
              <w:t>控制本区小麦病虫害</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有效控制</w:t>
            </w:r>
          </w:p>
        </w:tc>
        <w:tc>
          <w:tcPr>
            <w:tcW w:w="9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有效控制</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20</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0"/>
                <w:sz w:val="24"/>
                <w:szCs w:val="24"/>
                <w:lang w:val="en-US" w:eastAsia="zh-CN" w:bidi="ar-SA"/>
              </w:rPr>
            </w:pPr>
            <w:r>
              <w:rPr>
                <w:rFonts w:hint="eastAsia" w:ascii="宋体" w:hAnsi="宋体" w:eastAsia="宋体" w:cs="宋体"/>
                <w:color w:val="auto"/>
                <w:kern w:val="0"/>
                <w:sz w:val="18"/>
                <w:szCs w:val="18"/>
                <w:lang w:val="en-US" w:eastAsia="zh-CN"/>
              </w:rPr>
              <w:t>全年投诉次数</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2"/>
                <w:sz w:val="21"/>
                <w:szCs w:val="24"/>
                <w:lang w:val="en-US" w:eastAsia="zh-CN" w:bidi="ar-SA"/>
              </w:rPr>
            </w:pPr>
            <w:r>
              <w:rPr>
                <w:rFonts w:hint="eastAsia" w:ascii="宋体" w:hAnsi="宋体" w:cs="宋体"/>
                <w:color w:val="auto"/>
                <w:kern w:val="0"/>
                <w:sz w:val="18"/>
                <w:szCs w:val="18"/>
              </w:rPr>
              <w:t>≤5次</w:t>
            </w:r>
          </w:p>
        </w:tc>
        <w:tc>
          <w:tcPr>
            <w:tcW w:w="9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24"/>
                <w:szCs w:val="24"/>
                <w:lang w:val="en-US" w:eastAsia="zh-CN" w:bidi="ar-SA"/>
              </w:rPr>
            </w:pPr>
            <w:r>
              <w:rPr>
                <w:rFonts w:hint="eastAsia" w:ascii="宋体" w:hAnsi="宋体" w:cs="宋体"/>
                <w:color w:val="auto"/>
                <w:kern w:val="0"/>
                <w:sz w:val="18"/>
                <w:szCs w:val="18"/>
                <w:lang w:val="en-US" w:eastAsia="zh-CN"/>
              </w:rPr>
              <w:t>0次</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10</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5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tabs>
                <w:tab w:val="left" w:pos="2203"/>
              </w:tabs>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kern w:val="0"/>
                <w:sz w:val="18"/>
                <w:szCs w:val="18"/>
                <w:lang w:val="en-US" w:eastAsia="zh-CN"/>
              </w:rPr>
              <w:t>2023年农业经营主体能力提升资金的通知-基层农技推广体系改革与建设</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杨跃方</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81582565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20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1、打造农业科技示范展示平台（农业科技示范基地建设）。</w:t>
            </w:r>
          </w:p>
          <w:p>
            <w:pPr>
              <w:widowControl/>
              <w:rPr>
                <w:rFonts w:hint="eastAsia"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基层</w:t>
            </w:r>
            <w:r>
              <w:rPr>
                <w:rFonts w:hint="eastAsia" w:ascii="宋体" w:hAnsi="宋体" w:cs="宋体"/>
                <w:color w:val="000000"/>
                <w:kern w:val="0"/>
                <w:sz w:val="18"/>
                <w:szCs w:val="18"/>
              </w:rPr>
              <w:t>农技推广</w:t>
            </w:r>
            <w:r>
              <w:rPr>
                <w:rFonts w:hint="eastAsia" w:ascii="宋体" w:hAnsi="宋体" w:cs="宋体"/>
                <w:color w:val="000000"/>
                <w:kern w:val="0"/>
                <w:sz w:val="18"/>
                <w:szCs w:val="18"/>
                <w:lang w:eastAsia="zh-CN"/>
              </w:rPr>
              <w:t>人员</w:t>
            </w:r>
            <w:r>
              <w:rPr>
                <w:rFonts w:hint="eastAsia" w:ascii="宋体" w:hAnsi="宋体" w:cs="宋体"/>
                <w:color w:val="000000"/>
                <w:kern w:val="0"/>
                <w:sz w:val="18"/>
                <w:szCs w:val="18"/>
              </w:rPr>
              <w:t>能力</w:t>
            </w:r>
            <w:r>
              <w:rPr>
                <w:rFonts w:hint="eastAsia" w:ascii="宋体" w:hAnsi="宋体" w:cs="宋体"/>
                <w:color w:val="000000"/>
                <w:kern w:val="0"/>
                <w:sz w:val="18"/>
                <w:szCs w:val="18"/>
                <w:lang w:eastAsia="zh-CN"/>
              </w:rPr>
              <w:t>提升</w:t>
            </w:r>
            <w:r>
              <w:rPr>
                <w:rFonts w:hint="eastAsia" w:ascii="宋体" w:hAnsi="宋体" w:cs="宋体"/>
                <w:color w:val="000000"/>
                <w:kern w:val="0"/>
                <w:sz w:val="18"/>
                <w:szCs w:val="18"/>
              </w:rPr>
              <w:t>培训</w:t>
            </w:r>
            <w:r>
              <w:rPr>
                <w:rFonts w:hint="eastAsia" w:ascii="宋体" w:hAnsi="宋体" w:cs="宋体"/>
                <w:color w:val="000000"/>
                <w:kern w:val="0"/>
                <w:sz w:val="18"/>
                <w:szCs w:val="18"/>
                <w:lang w:val="en-US" w:eastAsia="zh-CN"/>
              </w:rPr>
              <w:t>70</w:t>
            </w:r>
            <w:r>
              <w:rPr>
                <w:rFonts w:hint="eastAsia" w:ascii="宋体" w:hAnsi="宋体" w:cs="宋体"/>
                <w:color w:val="000000"/>
                <w:kern w:val="0"/>
                <w:sz w:val="18"/>
                <w:szCs w:val="18"/>
              </w:rPr>
              <w:t>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2天理论培训，3天基地实训</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p>
          <w:p>
            <w:pPr>
              <w:widowControl/>
              <w:tabs>
                <w:tab w:val="left" w:pos="916"/>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eastAsia="zh-CN"/>
              </w:rPr>
              <w:t>、农业主推技术到位率</w:t>
            </w:r>
            <w:r>
              <w:rPr>
                <w:rFonts w:hint="default" w:ascii="Arial" w:hAnsi="Arial" w:cs="Arial"/>
                <w:color w:val="000000"/>
                <w:kern w:val="0"/>
                <w:sz w:val="18"/>
                <w:szCs w:val="18"/>
                <w:lang w:eastAsia="zh-CN"/>
              </w:rPr>
              <w:t>≥</w:t>
            </w:r>
            <w:r>
              <w:rPr>
                <w:rFonts w:hint="eastAsia" w:ascii="宋体" w:hAnsi="宋体" w:cs="宋体"/>
                <w:color w:val="000000"/>
                <w:kern w:val="0"/>
                <w:sz w:val="18"/>
                <w:szCs w:val="18"/>
                <w:lang w:val="en-US" w:eastAsia="zh-CN"/>
              </w:rPr>
              <w:t>95%</w:t>
            </w:r>
            <w:r>
              <w:rPr>
                <w:rFonts w:hint="eastAsia" w:ascii="宋体" w:hAnsi="宋体" w:cs="宋体"/>
                <w:color w:val="000000"/>
                <w:kern w:val="0"/>
                <w:sz w:val="18"/>
                <w:szCs w:val="18"/>
              </w:rPr>
              <w:t>。</w:t>
            </w:r>
          </w:p>
        </w:tc>
        <w:tc>
          <w:tcPr>
            <w:tcW w:w="3356" w:type="dxa"/>
            <w:gridSpan w:val="7"/>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1、打造</w:t>
            </w:r>
            <w:r>
              <w:rPr>
                <w:rFonts w:hint="eastAsia" w:ascii="宋体" w:hAnsi="宋体" w:cs="宋体"/>
                <w:color w:val="000000"/>
                <w:kern w:val="0"/>
                <w:sz w:val="18"/>
                <w:szCs w:val="18"/>
                <w:lang w:val="en-US" w:eastAsia="zh-CN"/>
              </w:rPr>
              <w:t>3个</w:t>
            </w:r>
            <w:r>
              <w:rPr>
                <w:rFonts w:hint="eastAsia" w:ascii="宋体" w:hAnsi="宋体" w:cs="宋体"/>
                <w:color w:val="000000"/>
                <w:kern w:val="0"/>
                <w:sz w:val="18"/>
                <w:szCs w:val="18"/>
              </w:rPr>
              <w:t>农业科技示范展示平台（农业科技示范基地建设）。</w:t>
            </w:r>
          </w:p>
          <w:p>
            <w:pPr>
              <w:widowControl/>
              <w:rPr>
                <w:rFonts w:hint="eastAsia"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组织基层</w:t>
            </w:r>
            <w:r>
              <w:rPr>
                <w:rFonts w:hint="eastAsia" w:ascii="宋体" w:hAnsi="宋体" w:cs="宋体"/>
                <w:color w:val="000000"/>
                <w:kern w:val="0"/>
                <w:sz w:val="18"/>
                <w:szCs w:val="18"/>
              </w:rPr>
              <w:t>农技推广</w:t>
            </w:r>
            <w:r>
              <w:rPr>
                <w:rFonts w:hint="eastAsia" w:ascii="宋体" w:hAnsi="宋体" w:cs="宋体"/>
                <w:color w:val="000000"/>
                <w:kern w:val="0"/>
                <w:sz w:val="18"/>
                <w:szCs w:val="18"/>
                <w:lang w:eastAsia="zh-CN"/>
              </w:rPr>
              <w:t>人员</w:t>
            </w:r>
            <w:r>
              <w:rPr>
                <w:rFonts w:hint="eastAsia" w:ascii="宋体" w:hAnsi="宋体" w:cs="宋体"/>
                <w:color w:val="000000"/>
                <w:kern w:val="0"/>
                <w:sz w:val="18"/>
                <w:szCs w:val="18"/>
              </w:rPr>
              <w:t>能力</w:t>
            </w:r>
            <w:r>
              <w:rPr>
                <w:rFonts w:hint="eastAsia" w:ascii="宋体" w:hAnsi="宋体" w:cs="宋体"/>
                <w:color w:val="000000"/>
                <w:kern w:val="0"/>
                <w:sz w:val="18"/>
                <w:szCs w:val="18"/>
                <w:lang w:eastAsia="zh-CN"/>
              </w:rPr>
              <w:t>提升</w:t>
            </w:r>
            <w:r>
              <w:rPr>
                <w:rFonts w:hint="eastAsia" w:ascii="宋体" w:hAnsi="宋体" w:cs="宋体"/>
                <w:color w:val="000000"/>
                <w:kern w:val="0"/>
                <w:sz w:val="18"/>
                <w:szCs w:val="18"/>
              </w:rPr>
              <w:t>培训</w:t>
            </w:r>
            <w:r>
              <w:rPr>
                <w:rFonts w:hint="eastAsia" w:ascii="宋体" w:hAnsi="宋体" w:cs="宋体"/>
                <w:color w:val="000000"/>
                <w:kern w:val="0"/>
                <w:sz w:val="18"/>
                <w:szCs w:val="18"/>
                <w:lang w:val="en-US" w:eastAsia="zh-CN"/>
              </w:rPr>
              <w:t>70</w:t>
            </w:r>
            <w:r>
              <w:rPr>
                <w:rFonts w:hint="eastAsia" w:ascii="宋体" w:hAnsi="宋体" w:cs="宋体"/>
                <w:color w:val="000000"/>
                <w:kern w:val="0"/>
                <w:sz w:val="18"/>
                <w:szCs w:val="18"/>
              </w:rPr>
              <w:t>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2天理论培训，3天基地实训</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p>
          <w:p>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eastAsia="zh-CN"/>
              </w:rPr>
              <w:t>、年度发布</w:t>
            </w:r>
            <w:r>
              <w:rPr>
                <w:rFonts w:hint="eastAsia" w:ascii="宋体" w:hAnsi="宋体" w:cs="宋体"/>
                <w:color w:val="000000"/>
                <w:kern w:val="0"/>
                <w:sz w:val="18"/>
                <w:szCs w:val="18"/>
                <w:lang w:val="en-US" w:eastAsia="zh-CN"/>
              </w:rPr>
              <w:t>2项农业主推技术，</w:t>
            </w:r>
            <w:r>
              <w:rPr>
                <w:rFonts w:hint="eastAsia" w:ascii="宋体" w:hAnsi="宋体" w:cs="宋体"/>
                <w:color w:val="000000"/>
                <w:kern w:val="0"/>
                <w:sz w:val="18"/>
                <w:szCs w:val="18"/>
                <w:lang w:eastAsia="zh-CN"/>
              </w:rPr>
              <w:t>农业主推技术到位率</w:t>
            </w:r>
            <w:r>
              <w:rPr>
                <w:rFonts w:hint="eastAsia" w:ascii="宋体" w:hAnsi="宋体" w:cs="宋体"/>
                <w:color w:val="000000"/>
                <w:kern w:val="0"/>
                <w:sz w:val="18"/>
                <w:szCs w:val="18"/>
                <w:lang w:val="en-US" w:eastAsia="zh-CN"/>
              </w:rPr>
              <w:t>95%</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2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基层农技人员培训数量（人）</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农业科技示范基地数量（</w:t>
            </w:r>
            <w:r>
              <w:rPr>
                <w:rFonts w:hint="eastAsia" w:ascii="宋体" w:hAnsi="宋体" w:cs="宋体"/>
                <w:color w:val="auto"/>
                <w:kern w:val="0"/>
                <w:sz w:val="18"/>
                <w:szCs w:val="18"/>
                <w:lang w:val="en-US" w:eastAsia="zh-CN"/>
              </w:rPr>
              <w:t>个</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农业主推技术到位率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Arial" w:hAnsi="Arial" w:cs="Arial"/>
                <w:color w:val="auto"/>
                <w:kern w:val="0"/>
                <w:sz w:val="18"/>
                <w:szCs w:val="18"/>
              </w:rPr>
              <w:t>≥</w:t>
            </w:r>
            <w:r>
              <w:rPr>
                <w:rFonts w:hint="eastAsia" w:ascii="宋体" w:hAnsi="宋体" w:cs="宋体"/>
                <w:color w:val="auto"/>
                <w:kern w:val="0"/>
                <w:sz w:val="18"/>
                <w:szCs w:val="18"/>
                <w:lang w:val="en-US" w:eastAsia="zh-CN"/>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提高农技人员履职能力</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良好</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良好</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参加培训的农技人员满意度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2021年农机购置补贴（市级）</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市农业农村局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w:t>
            </w:r>
            <w:r>
              <w:rPr>
                <w:rFonts w:ascii="宋体" w:hAnsi="宋体" w:eastAsia="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张凤强</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ascii="宋体" w:hAnsi="宋体" w:eastAsia="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81584972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9.006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9.006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9.006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9.006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9.006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9.006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298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按照市、区两级2021-2023年农机购置补贴实施方案（细则）的要求，完成农机补贴各项任务指标。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实际完成了</w:t>
            </w:r>
            <w:r>
              <w:rPr>
                <w:rFonts w:hint="eastAsia" w:ascii="宋体" w:hAnsi="宋体" w:cs="宋体"/>
                <w:color w:val="000000"/>
                <w:kern w:val="0"/>
                <w:sz w:val="20"/>
                <w:szCs w:val="20"/>
                <w:lang w:bidi="ar"/>
              </w:rPr>
              <w:t>补贴农业机械</w:t>
            </w:r>
            <w:r>
              <w:rPr>
                <w:rFonts w:hint="eastAsia" w:ascii="宋体" w:hAnsi="宋体" w:cs="宋体"/>
                <w:color w:val="000000"/>
                <w:sz w:val="20"/>
                <w:szCs w:val="20"/>
              </w:rPr>
              <w:t>全年实际完成补贴农业机械</w:t>
            </w:r>
            <w:r>
              <w:rPr>
                <w:rFonts w:hint="eastAsia" w:ascii="宋体" w:hAnsi="宋体" w:cs="宋体"/>
                <w:color w:val="000000"/>
                <w:sz w:val="20"/>
                <w:szCs w:val="20"/>
                <w:lang w:val="en-US" w:eastAsia="zh-CN"/>
              </w:rPr>
              <w:t>3652</w:t>
            </w:r>
            <w:r>
              <w:rPr>
                <w:rFonts w:hint="eastAsia" w:ascii="宋体" w:hAnsi="宋体" w:cs="宋体"/>
                <w:color w:val="000000"/>
                <w:sz w:val="20"/>
                <w:szCs w:val="20"/>
              </w:rPr>
              <w:t>（台套），其中包括：畜牧用消毒车辆设备中防臭、湿帘设备308套；风机569台套；环境监控系统26套、饮水设备2749台套等；补</w:t>
            </w:r>
            <w:r>
              <w:rPr>
                <w:rFonts w:hint="eastAsia" w:ascii="宋体" w:hAnsi="宋体" w:cs="宋体"/>
                <w:color w:val="000000"/>
                <w:kern w:val="0"/>
                <w:sz w:val="20"/>
                <w:szCs w:val="20"/>
                <w:lang w:bidi="ar"/>
              </w:rPr>
              <w:t>贴政策公开率100%；资金支出进度符合财政部门规定要求；项目落实进度符合市级主管部门指导要求；补贴资金标准符合制度文件要求；无资金使用重大违规违纪问题；服务对象满意度100%。</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67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指标1：补贴农业机械（台套）</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指标1：补贴政策公开率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符合财政部门规定要求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符合财政部门规定要求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指标2：项目落实进度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符合市级主管部门指导要求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符合市级主管部门指导要求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1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指标1：补贴资金标准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符合制度文件要求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符合制度文件要求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61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both"/>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指标1：资金使用重大违规违纪问题</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无</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无</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auto"/>
                <w:kern w:val="0"/>
                <w:sz w:val="18"/>
                <w:szCs w:val="18"/>
                <w:lang w:val="en-US" w:eastAsia="zh-CN"/>
              </w:rPr>
              <w:t>奖补对象</w:t>
            </w:r>
            <w:r>
              <w:rPr>
                <w:rFonts w:hint="eastAsia" w:ascii="宋体" w:hAnsi="宋体" w:eastAsia="宋体" w:cs="宋体"/>
                <w:color w:val="auto"/>
                <w:kern w:val="0"/>
                <w:sz w:val="18"/>
                <w:szCs w:val="18"/>
              </w:rPr>
              <w:t>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2022年农业农村改革发展资金（小麦一次性补贴）</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康营</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60558538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151.4027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151.4027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151.4027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151.4027</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151.4027</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151.4027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9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cs="宋体"/>
                <w:color w:val="000000"/>
                <w:sz w:val="18"/>
                <w:szCs w:val="18"/>
                <w:lang w:eastAsia="zh-CN"/>
              </w:rPr>
              <w:t>完成</w:t>
            </w:r>
            <w:r>
              <w:rPr>
                <w:rFonts w:hint="eastAsia" w:ascii="宋体" w:cs="宋体"/>
                <w:color w:val="000000"/>
                <w:sz w:val="18"/>
                <w:szCs w:val="18"/>
                <w:lang w:val="en-US" w:eastAsia="zh-CN"/>
              </w:rPr>
              <w:t>2022年通州区小麦一次性补贴工作</w:t>
            </w:r>
          </w:p>
        </w:tc>
        <w:tc>
          <w:tcPr>
            <w:tcW w:w="3356" w:type="dxa"/>
            <w:gridSpan w:val="7"/>
            <w:tcBorders>
              <w:top w:val="single" w:color="auto" w:sz="4" w:space="0"/>
              <w:left w:val="nil"/>
              <w:bottom w:val="single" w:color="auto" w:sz="4" w:space="0"/>
              <w:right w:val="single" w:color="auto" w:sz="4" w:space="0"/>
            </w:tcBorders>
            <w:vAlign w:val="center"/>
          </w:tcPr>
          <w:p>
            <w:pPr>
              <w:jc w:val="center"/>
              <w:rPr>
                <w:rFonts w:hint="eastAsia" w:ascii="宋体" w:cs="宋体"/>
                <w:color w:val="000000"/>
                <w:sz w:val="18"/>
                <w:szCs w:val="18"/>
                <w:lang w:val="en-US" w:eastAsia="zh-CN"/>
              </w:rPr>
            </w:pPr>
            <w:r>
              <w:rPr>
                <w:rFonts w:hint="eastAsia" w:ascii="宋体" w:cs="宋体"/>
                <w:color w:val="000000"/>
                <w:sz w:val="18"/>
                <w:szCs w:val="18"/>
                <w:lang w:val="en-US" w:eastAsia="zh-CN"/>
              </w:rPr>
              <w:t>全区补贴面积小计15140.27亩，补贴资金总额1514027元。共涉及9个乡镇101个村，共1508户次农民受益。</w:t>
            </w:r>
          </w:p>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1：补贴主体数量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1508户</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1508户</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按方案规定时间完成</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提高农户种植积极性</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明显提高</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明显提高</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p>
      <w:pPr>
        <w:spacing w:line="560" w:lineRule="exact"/>
        <w:rPr>
          <w:rFonts w:hint="default" w:ascii="仿宋_GB2312" w:eastAsia="仿宋_GB2312"/>
          <w:color w:val="auto"/>
          <w:sz w:val="32"/>
          <w:szCs w:val="32"/>
          <w:lang w:val="en-US"/>
        </w:rPr>
      </w:pP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79"/>
        <w:gridCol w:w="71"/>
        <w:gridCol w:w="439"/>
        <w:gridCol w:w="332"/>
        <w:gridCol w:w="208"/>
        <w:gridCol w:w="628"/>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农业农村改革发展资金（菜田补贴等）-菜田补贴（京财农指〔2023〕1639号）</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w:t>
            </w:r>
            <w:r>
              <w:rPr>
                <w:rFonts w:hint="eastAsia" w:ascii="宋体" w:hAnsi="宋体" w:cs="宋体"/>
                <w:color w:val="auto"/>
                <w:kern w:val="0"/>
                <w:sz w:val="18"/>
                <w:szCs w:val="18"/>
                <w:lang w:val="en-US" w:eastAsia="zh-CN"/>
              </w:rPr>
              <w:t>农业农村</w:t>
            </w:r>
            <w:r>
              <w:rPr>
                <w:rFonts w:hint="eastAsia" w:ascii="宋体" w:hAnsi="宋体" w:cs="宋体"/>
                <w:color w:val="auto"/>
                <w:kern w:val="0"/>
                <w:sz w:val="18"/>
                <w:szCs w:val="18"/>
                <w:lang w:eastAsia="zh-CN"/>
              </w:rPr>
              <w:t>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张万福</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60552883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2773.2948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2773.2948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2773.2948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2773.2948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2773.2948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2773.2948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07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cs="宋体"/>
                <w:color w:val="auto"/>
                <w:kern w:val="0"/>
                <w:sz w:val="18"/>
                <w:szCs w:val="18"/>
                <w:lang w:val="en-US"/>
              </w:rPr>
            </w:pPr>
            <w:r>
              <w:rPr>
                <w:rFonts w:hint="eastAsia" w:ascii="宋体" w:hAnsi="宋体" w:eastAsia="宋体" w:cs="宋体"/>
                <w:color w:val="000000"/>
                <w:sz w:val="18"/>
                <w:szCs w:val="18"/>
                <w:lang w:eastAsia="zh-CN"/>
              </w:rPr>
              <w:t>实施菜田补贴</w:t>
            </w:r>
            <w:r>
              <w:rPr>
                <w:rFonts w:hint="eastAsia" w:ascii="宋体" w:hAnsi="宋体" w:cs="宋体"/>
                <w:color w:val="000000"/>
                <w:sz w:val="18"/>
                <w:szCs w:val="18"/>
                <w:lang w:val="en-US" w:eastAsia="zh-CN"/>
              </w:rPr>
              <w:t>,提高种植主体的积极性。</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000000"/>
                <w:sz w:val="18"/>
                <w:szCs w:val="18"/>
                <w:lang w:eastAsia="zh-CN"/>
              </w:rPr>
              <w:t>经与区财政局及镇（乡）村共同努力</w:t>
            </w:r>
            <w:r>
              <w:rPr>
                <w:rFonts w:hint="eastAsia" w:ascii="宋体" w:hAnsi="宋体" w:eastAsia="宋体" w:cs="宋体"/>
                <w:color w:val="000000"/>
                <w:sz w:val="18"/>
                <w:szCs w:val="18"/>
                <w:lang w:eastAsia="zh-CN"/>
              </w:rPr>
              <w:t>，</w:t>
            </w:r>
            <w:r>
              <w:rPr>
                <w:rFonts w:hint="eastAsia" w:ascii="宋体" w:hAnsi="宋体" w:cs="宋体"/>
                <w:color w:val="000000"/>
                <w:sz w:val="18"/>
                <w:szCs w:val="18"/>
                <w:lang w:eastAsia="zh-CN"/>
              </w:rPr>
              <w:t>顺利完成全区菜田补贴工作，</w:t>
            </w:r>
            <w:r>
              <w:rPr>
                <w:rFonts w:hint="eastAsia" w:ascii="宋体" w:hAnsi="宋体" w:eastAsia="宋体" w:cs="宋体"/>
                <w:color w:val="000000"/>
                <w:sz w:val="18"/>
                <w:szCs w:val="18"/>
                <w:lang w:eastAsia="zh-CN"/>
              </w:rPr>
              <w:t>提高种植主体积极性，</w:t>
            </w:r>
            <w:r>
              <w:rPr>
                <w:rFonts w:hint="eastAsia" w:ascii="宋体" w:hAnsi="宋体" w:eastAsia="宋体" w:cs="宋体"/>
                <w:color w:val="000000"/>
                <w:sz w:val="18"/>
                <w:szCs w:val="18"/>
              </w:rPr>
              <w:t>稳定本</w:t>
            </w:r>
            <w:r>
              <w:rPr>
                <w:rFonts w:hint="eastAsia" w:ascii="宋体" w:hAnsi="宋体" w:eastAsia="宋体" w:cs="宋体"/>
                <w:color w:val="000000"/>
                <w:sz w:val="18"/>
                <w:szCs w:val="18"/>
                <w:lang w:eastAsia="zh-CN"/>
              </w:rPr>
              <w:t>区</w:t>
            </w:r>
            <w:r>
              <w:rPr>
                <w:rFonts w:hint="eastAsia" w:ascii="宋体" w:hAnsi="宋体" w:eastAsia="宋体" w:cs="宋体"/>
                <w:color w:val="000000"/>
                <w:sz w:val="18"/>
                <w:szCs w:val="18"/>
              </w:rPr>
              <w:t>蔬菜生产面积，</w:t>
            </w:r>
            <w:r>
              <w:rPr>
                <w:rFonts w:hint="eastAsia" w:ascii="宋体" w:hAnsi="宋体" w:eastAsia="宋体" w:cs="宋体"/>
                <w:color w:val="000000"/>
                <w:sz w:val="18"/>
                <w:szCs w:val="18"/>
                <w:lang w:eastAsia="zh-CN"/>
              </w:rPr>
              <w:t>支持</w:t>
            </w:r>
            <w:r>
              <w:rPr>
                <w:rFonts w:hint="eastAsia" w:ascii="宋体" w:hAnsi="宋体" w:eastAsia="宋体" w:cs="宋体"/>
                <w:color w:val="000000"/>
                <w:sz w:val="18"/>
                <w:szCs w:val="18"/>
              </w:rPr>
              <w:t>蔬菜产</w:t>
            </w:r>
            <w:r>
              <w:rPr>
                <w:rFonts w:hint="eastAsia" w:ascii="宋体" w:hAnsi="宋体" w:eastAsia="宋体" w:cs="宋体"/>
                <w:color w:val="000000"/>
                <w:sz w:val="18"/>
                <w:szCs w:val="18"/>
                <w:lang w:eastAsia="zh-CN"/>
              </w:rPr>
              <w:t>业健康有序发展</w:t>
            </w:r>
            <w:r>
              <w:rPr>
                <w:rFonts w:hint="eastAsia" w:ascii="宋体" w:hAnsi="宋体" w:cs="宋体"/>
                <w:color w:val="00000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蔬菜补贴面积（亩）</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46221.58</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46221.58</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蔬菜播种面积目标任务完成率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100.6%</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蔬菜产量目标任务完成率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108.7%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44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项目资金支持标准</w:t>
            </w:r>
          </w:p>
        </w:tc>
        <w:tc>
          <w:tcPr>
            <w:tcW w:w="938" w:type="dxa"/>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r>
              <w:rPr>
                <w:rFonts w:hint="eastAsia" w:ascii="宋体" w:hAnsi="宋体" w:eastAsia="宋体" w:cs="宋体"/>
                <w:color w:val="000000"/>
                <w:sz w:val="18"/>
                <w:szCs w:val="18"/>
                <w:highlight w:val="none"/>
                <w:lang w:val="en-US" w:eastAsia="zh-CN"/>
              </w:rPr>
              <w:t>市级菜田补贴标准为每年</w:t>
            </w:r>
            <w:r>
              <w:rPr>
                <w:rFonts w:hint="eastAsia" w:ascii="宋体" w:hAnsi="宋体" w:eastAsia="宋体" w:cs="宋体"/>
                <w:color w:val="000000"/>
                <w:sz w:val="18"/>
                <w:szCs w:val="18"/>
                <w:highlight w:val="none"/>
              </w:rPr>
              <w:t>600元/亩</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已经享受过2022年耕地地力保护补贴的地块，不再享受2022度年菜田补贴</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highlight w:val="none"/>
                <w:lang w:val="en-US" w:eastAsia="zh-CN"/>
              </w:rPr>
              <w:t>市级菜田补贴标准为每年</w:t>
            </w:r>
            <w:r>
              <w:rPr>
                <w:rFonts w:hint="eastAsia" w:ascii="宋体" w:hAnsi="宋体" w:eastAsia="宋体" w:cs="宋体"/>
                <w:color w:val="000000"/>
                <w:sz w:val="18"/>
                <w:szCs w:val="18"/>
                <w:highlight w:val="none"/>
              </w:rPr>
              <w:t>600元/亩</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已经享受过2022年耕地地力保护补贴的地块，不再享受2022度年菜田补贴</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蔬菜生产面积（亩）</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有序提升并稳定</w:t>
            </w: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有序提升并稳定</w:t>
            </w:r>
          </w:p>
        </w:tc>
        <w:tc>
          <w:tcPr>
            <w:tcW w:w="51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54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3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80%</w:t>
            </w:r>
          </w:p>
        </w:tc>
        <w:tc>
          <w:tcPr>
            <w:tcW w:w="97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5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56"/>
        <w:gridCol w:w="580"/>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农业农村改革发展资金（菜田补贴等）-农机购置（京财农指〔2023〕1639号）</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市农业农村局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w:t>
            </w:r>
            <w:r>
              <w:rPr>
                <w:rFonts w:ascii="宋体" w:hAnsi="宋体" w:eastAsia="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张凤强</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ascii="宋体" w:hAnsi="宋体" w:eastAsia="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81584972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000000"/>
                <w:sz w:val="20"/>
                <w:szCs w:val="20"/>
                <w:lang w:val="en-US" w:eastAsia="zh-CN"/>
              </w:rPr>
              <w:t>17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000000"/>
                <w:sz w:val="20"/>
                <w:szCs w:val="20"/>
                <w:lang w:val="en-US" w:eastAsia="zh-CN"/>
              </w:rPr>
              <w:t>17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000000"/>
                <w:sz w:val="20"/>
                <w:szCs w:val="20"/>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17</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17</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264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按照市、区两级2021-2023年农机购置补贴实施方案（细则）的要求，完成农机补贴各项任务指标。</w:t>
            </w:r>
          </w:p>
        </w:tc>
        <w:tc>
          <w:tcPr>
            <w:tcW w:w="3356" w:type="dxa"/>
            <w:gridSpan w:val="7"/>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kern w:val="0"/>
                <w:sz w:val="18"/>
                <w:szCs w:val="18"/>
              </w:rPr>
            </w:pPr>
            <w:r>
              <w:rPr>
                <w:rFonts w:hint="eastAsia" w:ascii="宋体" w:hAnsi="宋体" w:cs="宋体"/>
                <w:color w:val="000000"/>
                <w:sz w:val="20"/>
                <w:szCs w:val="20"/>
              </w:rPr>
              <w:t>实际完成了</w:t>
            </w:r>
            <w:r>
              <w:rPr>
                <w:rFonts w:hint="eastAsia" w:ascii="宋体" w:hAnsi="宋体" w:cs="宋体"/>
                <w:color w:val="000000"/>
                <w:kern w:val="0"/>
                <w:sz w:val="20"/>
                <w:szCs w:val="20"/>
                <w:lang w:bidi="ar"/>
              </w:rPr>
              <w:t>补贴农业机械</w:t>
            </w:r>
            <w:r>
              <w:rPr>
                <w:rFonts w:hint="eastAsia" w:ascii="宋体" w:hAnsi="宋体" w:cs="宋体"/>
                <w:color w:val="000000"/>
                <w:sz w:val="20"/>
                <w:szCs w:val="20"/>
              </w:rPr>
              <w:t>全年实际完成补贴农业机械</w:t>
            </w:r>
            <w:r>
              <w:rPr>
                <w:rFonts w:hint="eastAsia" w:ascii="宋体" w:hAnsi="宋体" w:cs="宋体"/>
                <w:color w:val="000000"/>
                <w:sz w:val="20"/>
                <w:szCs w:val="20"/>
                <w:lang w:val="en-US" w:eastAsia="zh-CN"/>
              </w:rPr>
              <w:t>0</w:t>
            </w:r>
            <w:r>
              <w:rPr>
                <w:rFonts w:hint="eastAsia" w:ascii="宋体" w:hAnsi="宋体" w:cs="宋体"/>
                <w:color w:val="000000"/>
                <w:sz w:val="20"/>
                <w:szCs w:val="20"/>
              </w:rPr>
              <w:t>（台套）；补</w:t>
            </w:r>
            <w:r>
              <w:rPr>
                <w:rFonts w:hint="eastAsia" w:ascii="宋体" w:hAnsi="宋体" w:cs="宋体"/>
                <w:color w:val="000000"/>
                <w:kern w:val="0"/>
                <w:sz w:val="20"/>
                <w:szCs w:val="20"/>
                <w:lang w:bidi="ar"/>
              </w:rPr>
              <w:t>贴政策公开率100%；资金支出进度符合财政部门规定要求；项目落实进度符合市级主管部门指导要求；补贴资金标准符合制度文件要求；无资金使用重大违规违纪问题；服务对象满意度100%。</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6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295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20"/>
                <w:szCs w:val="20"/>
                <w:lang w:bidi="ar"/>
              </w:rPr>
              <w:t>补贴农业机械（台套）</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8</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w:t>
            </w:r>
          </w:p>
        </w:tc>
        <w:tc>
          <w:tcPr>
            <w:tcW w:w="1279" w:type="dxa"/>
            <w:gridSpan w:val="2"/>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17万元是2023年10月到区财政，主要用于300台农机作业终端的补贴，由于大部分终端用户还没有申报补贴申请，所以2023年还未支出。</w:t>
            </w:r>
          </w:p>
        </w:tc>
      </w:tr>
      <w:tr>
        <w:tblPrEx>
          <w:tblCellMar>
            <w:top w:w="0" w:type="dxa"/>
            <w:left w:w="108" w:type="dxa"/>
            <w:bottom w:w="0" w:type="dxa"/>
            <w:right w:w="108" w:type="dxa"/>
          </w:tblCellMar>
        </w:tblPrEx>
        <w:trPr>
          <w:trHeight w:val="672"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20"/>
                <w:szCs w:val="20"/>
                <w:lang w:bidi="ar"/>
              </w:rPr>
              <w:t>补贴政策公开率</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100%</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1168"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20"/>
                <w:szCs w:val="20"/>
                <w:lang w:bidi="ar"/>
              </w:rPr>
              <w:t>资金支出进度</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符合财政部门规定要求</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符合财政部门规定要求</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104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r>
              <w:rPr>
                <w:rFonts w:hint="eastAsia" w:ascii="宋体" w:hAnsi="宋体" w:cs="宋体"/>
                <w:color w:val="000000"/>
                <w:kern w:val="0"/>
                <w:sz w:val="20"/>
                <w:szCs w:val="20"/>
                <w:lang w:bidi="ar"/>
              </w:rPr>
              <w:t>项目落实进度</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符合市级主管部门指导要求</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符合市级主管部门指导要求</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86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20"/>
                <w:szCs w:val="20"/>
                <w:lang w:bidi="ar"/>
              </w:rPr>
              <w:t>补贴资金标准</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符合制度文件要求</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符合制度文件要求</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both"/>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指标1：</w:t>
            </w:r>
            <w:r>
              <w:rPr>
                <w:rFonts w:hint="eastAsia" w:ascii="宋体" w:hAnsi="宋体" w:cs="宋体"/>
                <w:color w:val="000000"/>
                <w:kern w:val="0"/>
                <w:sz w:val="20"/>
                <w:szCs w:val="20"/>
                <w:lang w:bidi="ar"/>
              </w:rPr>
              <w:t>资金使用重大违规违纪问题</w:t>
            </w:r>
          </w:p>
        </w:tc>
        <w:tc>
          <w:tcPr>
            <w:tcW w:w="93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20"/>
                <w:szCs w:val="20"/>
                <w:lang w:bidi="ar"/>
              </w:rPr>
              <w:t>无</w:t>
            </w:r>
          </w:p>
        </w:tc>
        <w:tc>
          <w:tcPr>
            <w:tcW w:w="84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20"/>
                <w:szCs w:val="20"/>
                <w:lang w:bidi="ar"/>
              </w:rPr>
              <w:t>无</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672"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67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20"/>
                <w:szCs w:val="20"/>
                <w:lang w:bidi="ar"/>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≥80%</w:t>
            </w:r>
          </w:p>
        </w:tc>
        <w:tc>
          <w:tcPr>
            <w:tcW w:w="84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kern w:val="0"/>
                <w:sz w:val="18"/>
                <w:szCs w:val="18"/>
              </w:rPr>
            </w:pPr>
            <w:r>
              <w:rPr>
                <w:rFonts w:hint="eastAsia" w:ascii="宋体" w:hAnsi="宋体" w:cs="宋体"/>
                <w:color w:val="000000"/>
                <w:sz w:val="20"/>
                <w:szCs w:val="20"/>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33"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56"/>
        <w:gridCol w:w="580"/>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农机购置与应用补贴</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市农业农村局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w:t>
            </w:r>
            <w:r>
              <w:rPr>
                <w:rFonts w:ascii="宋体" w:hAnsi="宋体" w:eastAsia="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张凤强</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ascii="宋体" w:hAnsi="宋体" w:eastAsia="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81584972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21</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21</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5.074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24.2</w:t>
            </w:r>
            <w:r>
              <w:rPr>
                <w:rFonts w:hint="eastAsia" w:ascii="宋体" w:hAnsi="宋体" w:cs="宋体"/>
                <w:color w:val="000000"/>
                <w:sz w:val="20"/>
                <w:szCs w:val="20"/>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2.42</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21</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21</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5.074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24.2</w:t>
            </w:r>
            <w:r>
              <w:rPr>
                <w:rFonts w:hint="eastAsia" w:ascii="宋体" w:hAnsi="宋体" w:cs="宋体"/>
                <w:color w:val="000000"/>
                <w:sz w:val="20"/>
                <w:szCs w:val="20"/>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264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按照市、区两级2021-2023年农机购置补贴实施方案（细则）的要求，完成农机补贴各项任务指标。</w:t>
            </w:r>
          </w:p>
        </w:tc>
        <w:tc>
          <w:tcPr>
            <w:tcW w:w="3356" w:type="dxa"/>
            <w:gridSpan w:val="7"/>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kern w:val="0"/>
                <w:sz w:val="18"/>
                <w:szCs w:val="18"/>
              </w:rPr>
            </w:pPr>
            <w:r>
              <w:rPr>
                <w:rFonts w:hint="eastAsia" w:ascii="宋体" w:hAnsi="宋体" w:cs="宋体"/>
                <w:color w:val="000000"/>
                <w:sz w:val="20"/>
                <w:szCs w:val="20"/>
              </w:rPr>
              <w:t>实际完成了</w:t>
            </w:r>
            <w:r>
              <w:rPr>
                <w:rFonts w:hint="eastAsia" w:ascii="宋体" w:hAnsi="宋体" w:cs="宋体"/>
                <w:color w:val="000000"/>
                <w:kern w:val="0"/>
                <w:sz w:val="20"/>
                <w:szCs w:val="20"/>
                <w:lang w:bidi="ar"/>
              </w:rPr>
              <w:t>补贴农业机械</w:t>
            </w:r>
            <w:r>
              <w:rPr>
                <w:rFonts w:hint="eastAsia" w:ascii="宋体" w:hAnsi="宋体" w:cs="宋体"/>
                <w:color w:val="000000"/>
                <w:sz w:val="20"/>
                <w:szCs w:val="20"/>
              </w:rPr>
              <w:t>全年实际完成补贴农业机械</w:t>
            </w:r>
            <w:r>
              <w:rPr>
                <w:rFonts w:hint="eastAsia" w:ascii="宋体" w:hAnsi="宋体" w:cs="宋体"/>
                <w:color w:val="000000"/>
                <w:sz w:val="20"/>
                <w:szCs w:val="20"/>
                <w:lang w:val="en-US" w:eastAsia="zh-CN"/>
              </w:rPr>
              <w:t>27</w:t>
            </w:r>
            <w:r>
              <w:rPr>
                <w:rFonts w:hint="eastAsia" w:ascii="宋体" w:hAnsi="宋体" w:cs="宋体"/>
                <w:color w:val="000000"/>
                <w:sz w:val="20"/>
                <w:szCs w:val="20"/>
              </w:rPr>
              <w:t>（台套）；补</w:t>
            </w:r>
            <w:r>
              <w:rPr>
                <w:rFonts w:hint="eastAsia" w:ascii="宋体" w:hAnsi="宋体" w:cs="宋体"/>
                <w:color w:val="000000"/>
                <w:kern w:val="0"/>
                <w:sz w:val="20"/>
                <w:szCs w:val="20"/>
                <w:lang w:bidi="ar"/>
              </w:rPr>
              <w:t>贴政策公开率100%；资金支出进度符合财政部门规定要求；项目落实进度符合市级主管部门指导要求；补贴资金标准符合制度文件要求；无资金使用重大违规违纪问题；服务对象满意度100%。</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672"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指标1：补贴农业机械（台套）</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672"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指标1：补贴政策公开率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108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符合财政部门规定要求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符合财政部门规定要求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104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指标2：项目落实进度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符合市级主管部门指导要求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符合市级主管部门指导要求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75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指标1：补贴资金标准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符合制度文件要求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符合制度文件要求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4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both"/>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指标1：资金使用重大违规违纪问题</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无</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无</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672"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指标1：服务对象满意度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33"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92.42</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tabs>
                <w:tab w:val="left" w:pos="2417"/>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ab/>
            </w:r>
            <w:r>
              <w:rPr>
                <w:rFonts w:hint="eastAsia" w:ascii="宋体" w:hAnsi="宋体" w:cs="宋体"/>
                <w:color w:val="auto"/>
                <w:kern w:val="0"/>
                <w:sz w:val="18"/>
                <w:szCs w:val="18"/>
                <w:lang w:eastAsia="zh-CN"/>
              </w:rPr>
              <w:t>动物疫病强制免疫先打后补</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王永利</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81584973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14.64252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14.64252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14.64252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14.64252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14.6425</w:t>
            </w:r>
            <w:r>
              <w:rPr>
                <w:rFonts w:hint="eastAsia" w:ascii="宋体" w:hAnsi="宋体" w:cs="宋体"/>
                <w:color w:val="auto"/>
                <w:kern w:val="0"/>
                <w:sz w:val="18"/>
                <w:szCs w:val="18"/>
                <w:lang w:val="en-US" w:eastAsia="zh-CN"/>
              </w:rPr>
              <w:t>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14.6425</w:t>
            </w:r>
            <w:r>
              <w:rPr>
                <w:rFonts w:hint="eastAsia" w:ascii="宋体" w:hAnsi="宋体" w:cs="宋体"/>
                <w:color w:val="auto"/>
                <w:kern w:val="0"/>
                <w:sz w:val="18"/>
                <w:szCs w:val="18"/>
                <w:lang w:val="en-US" w:eastAsia="zh-CN"/>
              </w:rPr>
              <w:t>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按照相关文件精神，组织开展动物疫病强制免疫“先打后补”工作。及时足额安排资金支出责任，确保免疫工作顺利开展。</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color w:val="auto"/>
                <w:kern w:val="0"/>
                <w:sz w:val="18"/>
                <w:szCs w:val="18"/>
              </w:rPr>
            </w:pPr>
            <w:r>
              <w:rPr>
                <w:rFonts w:hint="default" w:ascii="宋体" w:hAnsi="宋体" w:eastAsia="宋体" w:cs="宋体"/>
                <w:color w:val="auto"/>
                <w:kern w:val="0"/>
                <w:sz w:val="18"/>
                <w:szCs w:val="18"/>
                <w:lang w:val="en-US" w:eastAsia="zh-CN"/>
              </w:rPr>
              <w:t>2023年</w:t>
            </w:r>
            <w:r>
              <w:rPr>
                <w:rFonts w:hint="eastAsia" w:ascii="宋体" w:hAnsi="宋体" w:eastAsia="宋体" w:cs="宋体"/>
                <w:color w:val="auto"/>
                <w:kern w:val="0"/>
                <w:sz w:val="18"/>
                <w:szCs w:val="18"/>
                <w:lang w:val="en-US" w:eastAsia="zh-CN"/>
              </w:rPr>
              <w:t>年底前，资金已经</w:t>
            </w:r>
            <w:r>
              <w:rPr>
                <w:rFonts w:hint="default" w:ascii="宋体" w:hAnsi="宋体" w:eastAsia="宋体" w:cs="宋体"/>
                <w:color w:val="auto"/>
                <w:kern w:val="0"/>
                <w:sz w:val="18"/>
                <w:szCs w:val="18"/>
                <w:lang w:val="en-US" w:eastAsia="zh-CN"/>
              </w:rPr>
              <w:t>足额落实到相关养殖场</w:t>
            </w:r>
            <w:r>
              <w:rPr>
                <w:rFonts w:hint="eastAsia" w:ascii="宋体" w:hAnsi="宋体" w:eastAsia="宋体" w:cs="宋体"/>
                <w:color w:val="auto"/>
                <w:kern w:val="0"/>
                <w:sz w:val="18"/>
                <w:szCs w:val="18"/>
                <w:lang w:val="en-US" w:eastAsia="zh-CN"/>
              </w:rPr>
              <w:t>。已完成预期目标。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先打后补</w:t>
            </w:r>
            <w:r>
              <w:rPr>
                <w:rFonts w:hint="eastAsia" w:ascii="宋体" w:hAnsi="宋体" w:cs="宋体"/>
                <w:color w:val="auto"/>
                <w:kern w:val="0"/>
                <w:sz w:val="18"/>
                <w:szCs w:val="18"/>
                <w:lang w:eastAsia="zh-CN"/>
              </w:rPr>
              <w:t>养殖场</w:t>
            </w:r>
            <w:r>
              <w:rPr>
                <w:rFonts w:hint="eastAsia" w:ascii="宋体" w:hAnsi="宋体" w:cs="宋体"/>
                <w:color w:val="auto"/>
                <w:kern w:val="0"/>
                <w:sz w:val="18"/>
                <w:szCs w:val="18"/>
              </w:rPr>
              <w:t>户</w:t>
            </w:r>
            <w:r>
              <w:rPr>
                <w:rFonts w:hint="eastAsia" w:ascii="宋体" w:hAnsi="宋体" w:cs="宋体"/>
                <w:color w:val="auto"/>
                <w:kern w:val="0"/>
                <w:sz w:val="18"/>
                <w:szCs w:val="18"/>
                <w:lang w:eastAsia="zh-CN"/>
              </w:rPr>
              <w:t>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7户</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7户</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先打后补</w:t>
            </w:r>
            <w:r>
              <w:rPr>
                <w:rFonts w:hint="eastAsia" w:ascii="宋体" w:hAnsi="宋体" w:cs="宋体"/>
                <w:color w:val="auto"/>
                <w:kern w:val="0"/>
                <w:sz w:val="18"/>
                <w:szCs w:val="18"/>
                <w:lang w:eastAsia="zh-CN"/>
              </w:rPr>
              <w:t>场户口蹄疫、高致病性禽流感抗体合格率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≥70%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提升重大动物疫病防控能力</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有所提升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有所提升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养殖场户对项目实施满意度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9163" w:type="dxa"/>
        <w:jc w:val="center"/>
        <w:tblLayout w:type="fixed"/>
        <w:tblCellMar>
          <w:top w:w="0" w:type="dxa"/>
          <w:left w:w="108" w:type="dxa"/>
          <w:bottom w:w="0" w:type="dxa"/>
          <w:right w:w="108" w:type="dxa"/>
        </w:tblCellMar>
      </w:tblPr>
      <w:tblGrid>
        <w:gridCol w:w="578"/>
        <w:gridCol w:w="969"/>
        <w:gridCol w:w="1021"/>
        <w:gridCol w:w="783"/>
        <w:gridCol w:w="1114"/>
        <w:gridCol w:w="403"/>
        <w:gridCol w:w="704"/>
        <w:gridCol w:w="848"/>
        <w:gridCol w:w="202"/>
        <w:gridCol w:w="421"/>
        <w:gridCol w:w="350"/>
        <w:gridCol w:w="280"/>
        <w:gridCol w:w="556"/>
        <w:gridCol w:w="934"/>
      </w:tblGrid>
      <w:tr>
        <w:tblPrEx>
          <w:tblCellMar>
            <w:top w:w="0" w:type="dxa"/>
            <w:left w:w="108" w:type="dxa"/>
            <w:bottom w:w="0" w:type="dxa"/>
            <w:right w:w="108" w:type="dxa"/>
          </w:tblCellMar>
        </w:tblPrEx>
        <w:trPr>
          <w:trHeight w:val="440" w:hRule="exact"/>
          <w:jc w:val="center"/>
        </w:trPr>
        <w:tc>
          <w:tcPr>
            <w:tcW w:w="9163"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163"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1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农产品质量安全监管能力和水平提升</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sz w:val="18"/>
                <w:szCs w:val="18"/>
                <w:lang w:val="en-US" w:eastAsia="zh-CN"/>
              </w:rPr>
              <w:t>徐小会</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81584731</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312"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57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1</w:t>
            </w:r>
            <w:r>
              <w:rPr>
                <w:rFonts w:hint="eastAsia" w:ascii="宋体" w:hAnsi="宋体" w:cs="宋体"/>
                <w:color w:val="auto"/>
                <w:kern w:val="0"/>
                <w:sz w:val="18"/>
                <w:szCs w:val="18"/>
                <w:lang w:val="en-US" w:eastAsia="zh-CN"/>
              </w:rPr>
              <w:t>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38.78%</w:t>
            </w: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147</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147</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38.78%</w:t>
            </w: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59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55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numPr>
                <w:ilvl w:val="0"/>
                <w:numId w:val="0"/>
              </w:numPr>
              <w:spacing w:line="240" w:lineRule="exact"/>
              <w:ind w:leftChars="0"/>
              <w:jc w:val="left"/>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根据北京市农业农村局对服务保障工作的相关要求和部署，由北京二商肉类食品集团有限公司承担2023年北京市“两会”、全国“两会”保障任务。为确保所供应食用农产品质量安全，企业加强自检和委托第三方检测，做到检测覆盖所有批次，保障了供应产品的安全。</w:t>
            </w:r>
          </w:p>
        </w:tc>
        <w:tc>
          <w:tcPr>
            <w:tcW w:w="3591" w:type="dxa"/>
            <w:gridSpan w:val="7"/>
            <w:tcBorders>
              <w:top w:val="single" w:color="auto" w:sz="4" w:space="0"/>
              <w:left w:val="nil"/>
              <w:bottom w:val="single" w:color="auto" w:sz="4" w:space="0"/>
              <w:right w:val="single" w:color="auto" w:sz="4" w:space="0"/>
            </w:tcBorders>
            <w:vAlign w:val="center"/>
          </w:tcPr>
          <w:p>
            <w:pPr>
              <w:widowControl/>
              <w:numPr>
                <w:ilvl w:val="0"/>
                <w:numId w:val="0"/>
              </w:numPr>
              <w:spacing w:line="240" w:lineRule="exact"/>
              <w:jc w:val="left"/>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目前已圆满完成2023年北京市“两会”、全国“两会”的重大活动保障工作。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30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数量指标</w:t>
            </w:r>
          </w:p>
        </w:tc>
        <w:tc>
          <w:tcPr>
            <w:tcW w:w="2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指标1：保障重大活动次数</w:t>
            </w:r>
          </w:p>
        </w:tc>
        <w:tc>
          <w:tcPr>
            <w:tcW w:w="7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≥2次</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2次</w:t>
            </w:r>
          </w:p>
        </w:tc>
        <w:tc>
          <w:tcPr>
            <w:tcW w:w="62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63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4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质量指标</w:t>
            </w:r>
          </w:p>
        </w:tc>
        <w:tc>
          <w:tcPr>
            <w:tcW w:w="2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1：确保重大活动工作正常开展</w:t>
            </w:r>
          </w:p>
        </w:tc>
        <w:tc>
          <w:tcPr>
            <w:tcW w:w="7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有效保障</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有效保障</w:t>
            </w:r>
          </w:p>
        </w:tc>
        <w:tc>
          <w:tcPr>
            <w:tcW w:w="62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63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30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指标1：完成资金拨付</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1：农产品质量安全保障能力和水平逐年提升</w:t>
            </w:r>
          </w:p>
        </w:tc>
        <w:tc>
          <w:tcPr>
            <w:tcW w:w="7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w:t>
            </w:r>
            <w:r>
              <w:rPr>
                <w:rFonts w:hint="eastAsia" w:ascii="宋体" w:hAnsi="宋体" w:cs="宋体"/>
                <w:color w:val="auto"/>
                <w:kern w:val="0"/>
                <w:sz w:val="18"/>
                <w:szCs w:val="18"/>
                <w:lang w:val="en-US" w:eastAsia="zh-CN"/>
              </w:rPr>
              <w:t>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w:t>
            </w:r>
            <w:r>
              <w:rPr>
                <w:rFonts w:hint="eastAsia" w:ascii="宋体" w:hAnsi="宋体" w:cs="宋体"/>
                <w:color w:val="auto"/>
                <w:kern w:val="0"/>
                <w:sz w:val="18"/>
                <w:szCs w:val="18"/>
                <w:lang w:val="en-US" w:eastAsia="zh-CN"/>
              </w:rPr>
              <w:t>提升</w:t>
            </w:r>
          </w:p>
        </w:tc>
        <w:tc>
          <w:tcPr>
            <w:tcW w:w="62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40</w:t>
            </w:r>
          </w:p>
        </w:tc>
        <w:tc>
          <w:tcPr>
            <w:tcW w:w="63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40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58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第三十一届中国北京种业大会及品种展示评价资金</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王永利</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81584973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133.</w:t>
            </w:r>
            <w:r>
              <w:rPr>
                <w:rFonts w:hint="eastAsia" w:ascii="宋体" w:hAnsi="宋体" w:cs="宋体"/>
                <w:color w:val="auto"/>
                <w:kern w:val="0"/>
                <w:sz w:val="18"/>
                <w:szCs w:val="18"/>
                <w:lang w:val="en-US" w:eastAsia="zh-CN"/>
              </w:rPr>
              <w:t>55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89.03%</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133.</w:t>
            </w:r>
            <w:r>
              <w:rPr>
                <w:rFonts w:hint="eastAsia" w:ascii="宋体" w:hAnsi="宋体" w:cs="宋体"/>
                <w:color w:val="auto"/>
                <w:kern w:val="0"/>
                <w:sz w:val="18"/>
                <w:szCs w:val="18"/>
                <w:lang w:val="en-US" w:eastAsia="zh-CN"/>
              </w:rPr>
              <w:t>55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89.03%</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9</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举办第三十一届中国北京种业大会玉米种业峰会和水产种业峰会及开展品种展示评价</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已举办种业大会，包括玉米种业论坛和水产种业论坛，已完成蔬菜新品种展示评价推介活动</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73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第三十一届北京种业大会开展玉米、蔬菜品种田间展示亩数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40亩</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5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第三十一届北京种业大会展示新品种数量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150个</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2000余个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举办玉米种业论坛</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1场</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举办水产种业论坛</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1场</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98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北京种业大会行业峰会行业交流信息效果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峰会线上线下收看人数累计≥</w:t>
            </w:r>
            <w:r>
              <w:rPr>
                <w:rFonts w:hint="eastAsia" w:ascii="宋体" w:hAnsi="宋体" w:cs="宋体"/>
                <w:color w:val="auto"/>
                <w:kern w:val="0"/>
                <w:sz w:val="18"/>
                <w:szCs w:val="18"/>
                <w:lang w:val="en-US" w:eastAsia="zh-CN"/>
              </w:rPr>
              <w:t>1万人</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线下参观人数月</w:t>
            </w:r>
            <w:r>
              <w:rPr>
                <w:rFonts w:hint="eastAsia" w:ascii="宋体" w:hAnsi="宋体" w:cs="宋体"/>
                <w:color w:val="auto"/>
                <w:kern w:val="0"/>
                <w:sz w:val="18"/>
                <w:szCs w:val="18"/>
                <w:lang w:val="en-US" w:eastAsia="zh-CN"/>
              </w:rPr>
              <w:t>7000人，线上关注累计超过1000万人次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种业大会举办时间</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2023年9月11日-14日</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按时举办</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02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总成本</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150万以内</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已支出</w:t>
            </w:r>
            <w:r>
              <w:rPr>
                <w:rFonts w:hint="eastAsia" w:ascii="宋体" w:hAnsi="宋体" w:cs="宋体"/>
                <w:color w:val="auto"/>
                <w:kern w:val="0"/>
                <w:sz w:val="18"/>
                <w:szCs w:val="18"/>
              </w:rPr>
              <w:t>133.</w:t>
            </w:r>
            <w:r>
              <w:rPr>
                <w:rFonts w:hint="eastAsia" w:ascii="宋体" w:hAnsi="宋体" w:cs="宋体"/>
                <w:color w:val="auto"/>
                <w:kern w:val="0"/>
                <w:sz w:val="18"/>
                <w:szCs w:val="18"/>
                <w:lang w:val="en-US" w:eastAsia="zh-CN"/>
              </w:rPr>
              <w:t>55</w:t>
            </w:r>
            <w:r>
              <w:rPr>
                <w:rFonts w:hint="eastAsia" w:ascii="宋体" w:hAnsi="宋体" w:cs="宋体"/>
                <w:color w:val="auto"/>
                <w:kern w:val="0"/>
                <w:sz w:val="18"/>
                <w:szCs w:val="18"/>
                <w:lang w:eastAsia="zh-CN"/>
              </w:rPr>
              <w:t>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种业大会结算工作进行中，后续资金待结算后支出</w:t>
            </w:r>
          </w:p>
        </w:tc>
      </w:tr>
      <w:tr>
        <w:tblPrEx>
          <w:tblCellMar>
            <w:top w:w="0" w:type="dxa"/>
            <w:left w:w="108" w:type="dxa"/>
            <w:bottom w:w="0" w:type="dxa"/>
            <w:right w:w="108" w:type="dxa"/>
          </w:tblCellMar>
        </w:tblPrEx>
        <w:trPr>
          <w:trHeight w:val="56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北京现代种业发展影响力</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提升</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80%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80%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p>
      <w:pPr>
        <w:spacing w:line="560" w:lineRule="exact"/>
        <w:rPr>
          <w:rFonts w:hint="default" w:ascii="仿宋_GB2312" w:eastAsia="黑体"/>
          <w:sz w:val="32"/>
          <w:szCs w:val="32"/>
          <w:lang w:val="en-US" w:eastAsia="zh-CN"/>
        </w:rPr>
      </w:pPr>
    </w:p>
    <w:tbl>
      <w:tblPr>
        <w:tblStyle w:val="12"/>
        <w:tblW w:w="8928" w:type="dxa"/>
        <w:jc w:val="center"/>
        <w:tblLayout w:type="fixed"/>
        <w:tblCellMar>
          <w:top w:w="0" w:type="dxa"/>
          <w:left w:w="108" w:type="dxa"/>
          <w:bottom w:w="0" w:type="dxa"/>
          <w:right w:w="108" w:type="dxa"/>
        </w:tblCellMar>
      </w:tblPr>
      <w:tblGrid>
        <w:gridCol w:w="578"/>
        <w:gridCol w:w="545"/>
        <w:gridCol w:w="1152"/>
        <w:gridCol w:w="1076"/>
        <w:gridCol w:w="1114"/>
        <w:gridCol w:w="169"/>
        <w:gridCol w:w="938"/>
        <w:gridCol w:w="1050"/>
        <w:gridCol w:w="210"/>
        <w:gridCol w:w="567"/>
        <w:gridCol w:w="567"/>
        <w:gridCol w:w="263"/>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kern w:val="0"/>
                <w:sz w:val="22"/>
              </w:rPr>
            </w:pPr>
            <w:r>
              <w:rPr>
                <w:rFonts w:hint="eastAsia" w:ascii="宋体" w:hAnsi="宋体" w:cs="宋体"/>
                <w:kern w:val="0"/>
                <w:sz w:val="22"/>
              </w:rPr>
              <w:t>（2023年度）</w:t>
            </w:r>
          </w:p>
        </w:tc>
      </w:tr>
      <w:tr>
        <w:tblPrEx>
          <w:tblCellMar>
            <w:top w:w="0" w:type="dxa"/>
            <w:left w:w="108" w:type="dxa"/>
            <w:bottom w:w="0" w:type="dxa"/>
            <w:right w:w="108" w:type="dxa"/>
          </w:tblCellMar>
        </w:tblPrEx>
        <w:trPr>
          <w:trHeight w:val="291" w:hRule="exact"/>
          <w:jc w:val="center"/>
        </w:trPr>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05"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2022年北京市玉米良种更换补贴资金</w:t>
            </w:r>
          </w:p>
        </w:tc>
      </w:tr>
      <w:tr>
        <w:tblPrEx>
          <w:tblCellMar>
            <w:top w:w="0" w:type="dxa"/>
            <w:left w:w="108" w:type="dxa"/>
            <w:bottom w:w="0" w:type="dxa"/>
            <w:right w:w="108" w:type="dxa"/>
          </w:tblCellMar>
        </w:tblPrEx>
        <w:trPr>
          <w:trHeight w:val="291" w:hRule="exact"/>
          <w:jc w:val="center"/>
        </w:trPr>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w:t>
            </w:r>
            <w:r>
              <w:rPr>
                <w:rFonts w:hint="eastAsia" w:ascii="宋体" w:hAnsi="宋体" w:cs="宋体"/>
                <w:kern w:val="0"/>
                <w:sz w:val="18"/>
                <w:szCs w:val="18"/>
                <w:lang w:val="en-US" w:eastAsia="zh-CN"/>
              </w:rPr>
              <w:t>农业农村</w:t>
            </w:r>
            <w:r>
              <w:rPr>
                <w:rFonts w:hint="eastAsia" w:ascii="宋体" w:hAnsi="宋体" w:cs="宋体"/>
                <w:kern w:val="0"/>
                <w:sz w:val="18"/>
                <w:szCs w:val="18"/>
              </w:rPr>
              <w:t>局</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44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王黎明</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17310225023</w:t>
            </w:r>
          </w:p>
        </w:tc>
      </w:tr>
      <w:tr>
        <w:tblPrEx>
          <w:tblCellMar>
            <w:top w:w="0" w:type="dxa"/>
            <w:left w:w="108" w:type="dxa"/>
            <w:bottom w:w="0" w:type="dxa"/>
            <w:right w:w="108" w:type="dxa"/>
          </w:tblCellMar>
        </w:tblPrEx>
        <w:trPr>
          <w:trHeight w:val="559" w:hRule="exact"/>
          <w:jc w:val="center"/>
        </w:trPr>
        <w:tc>
          <w:tcPr>
            <w:tcW w:w="112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22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1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2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320.50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320.50</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320.50</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1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2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320.50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320.50</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320.50</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1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2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1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2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24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根据《北京市农业农村局、北京市财政局关于印发&lt;2022年北京市玉米良种更换工作实施方案&gt;的通知》（京政农发[2022]28号）文件精神，完成区内玉米良种更换面积64100.5亩，按照补贴标准补贴320.5025万元。</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按计划完成区内玉米良种更换面积64100.5亩，按照补贴标准补贴320.5025万元。</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5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746"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sz w:val="18"/>
                <w:szCs w:val="18"/>
              </w:rPr>
              <w:t>组织玉米良种更换</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64100.5亩</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sz w:val="18"/>
                <w:szCs w:val="18"/>
              </w:rPr>
              <w:t>64100.5亩</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36"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color w:val="000000"/>
                <w:sz w:val="18"/>
                <w:szCs w:val="18"/>
              </w:rPr>
              <w:t>更换品种《2022年北京市玉米良种更换推介品种名录》中品种</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color w:val="000000"/>
                <w:sz w:val="18"/>
                <w:szCs w:val="18"/>
              </w:rPr>
              <w:t>使用名录中品种</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color w:val="000000"/>
                <w:sz w:val="18"/>
                <w:szCs w:val="18"/>
              </w:rPr>
              <w:t>更换品种均为目录中品种</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536"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18"/>
                <w:szCs w:val="18"/>
              </w:rPr>
              <w:t>按照工作方案中工作进度要求完成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18"/>
                <w:szCs w:val="18"/>
              </w:rPr>
              <w:t>2022年9月中旬前完成</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18"/>
                <w:szCs w:val="18"/>
              </w:rPr>
              <w:t>2022年8月底完成审核上报工作，2023年5月底完成资金拨付工作</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72"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color w:val="000000"/>
                <w:sz w:val="18"/>
                <w:szCs w:val="18"/>
              </w:rPr>
              <w:t>依据补贴标准给予补贴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补贴标准50元/亩</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50元/亩</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2"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3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指标2：各项资金标准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符合制度文件要求</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sz w:val="18"/>
                <w:szCs w:val="18"/>
              </w:rPr>
            </w:pPr>
            <w:r>
              <w:rPr>
                <w:rFonts w:hint="eastAsia" w:ascii="宋体" w:hAnsi="宋体" w:cs="宋体"/>
                <w:color w:val="000000"/>
                <w:sz w:val="18"/>
                <w:szCs w:val="18"/>
              </w:rPr>
              <w:t>符合制度文件要求</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color w:val="000000"/>
                <w:sz w:val="18"/>
                <w:szCs w:val="18"/>
              </w:rPr>
              <w:t>提高玉米良种品质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有效增强</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有效增强</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67"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3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hint="eastAsia" w:ascii="宋体"/>
                <w:color w:val="000000"/>
                <w:sz w:val="18"/>
                <w:szCs w:val="18"/>
              </w:rPr>
              <w:t>种植效益</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有效提高</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有效提高</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919"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18"/>
                <w:szCs w:val="18"/>
              </w:rPr>
              <w:t>种植户对玉米良种更换满意度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≥90%</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291" w:hRule="exact"/>
          <w:jc w:val="center"/>
        </w:trPr>
        <w:tc>
          <w:tcPr>
            <w:tcW w:w="683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ascii="宋体" w:hAnsi="宋体" w:cs="宋体" w:eastAsiaTheme="minorEastAsia"/>
          <w:color w:val="auto"/>
          <w:kern w:val="0"/>
          <w:sz w:val="22"/>
          <w:szCs w:val="24"/>
          <w:lang w:eastAsia="zh-CN"/>
        </w:rPr>
      </w:pPr>
      <w:r>
        <w:rPr>
          <w:rFonts w:hint="eastAsia" w:ascii="宋体" w:hAnsi="宋体" w:cs="宋体" w:eastAsiaTheme="minorEastAsia"/>
          <w:color w:val="auto"/>
          <w:kern w:val="0"/>
          <w:sz w:val="22"/>
          <w:szCs w:val="24"/>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37"/>
        <w:gridCol w:w="113"/>
        <w:gridCol w:w="407"/>
        <w:gridCol w:w="364"/>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b w:val="0"/>
                <w:bCs/>
                <w:sz w:val="18"/>
                <w:szCs w:val="18"/>
              </w:rPr>
              <w:t>2023年北京市特色畜禽、水产种质资源保护资金</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闫怀征</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81584973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实施特色水产种质资源保护</w:t>
            </w:r>
            <w:r>
              <w:rPr>
                <w:rFonts w:hint="eastAsia" w:ascii="宋体" w:hAnsi="宋体" w:cs="宋体"/>
                <w:color w:val="auto"/>
                <w:kern w:val="0"/>
                <w:sz w:val="18"/>
                <w:szCs w:val="18"/>
              </w:rPr>
              <w:t>。</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lang w:eastAsia="zh-CN"/>
              </w:rPr>
              <w:t>完成当年特色水产种质资源保护任务</w:t>
            </w:r>
            <w:r>
              <w:rPr>
                <w:rFonts w:hint="eastAsia" w:ascii="宋体" w:hAnsi="宋体" w:cs="宋体"/>
                <w:color w:val="auto"/>
                <w:kern w:val="0"/>
                <w:sz w:val="15"/>
                <w:szCs w:val="15"/>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宫廷金鱼核心群保护数量</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cs="宋体"/>
                <w:color w:val="auto"/>
                <w:kern w:val="0"/>
                <w:sz w:val="18"/>
                <w:szCs w:val="18"/>
                <w:lang w:val="en-US" w:eastAsia="zh-CN"/>
              </w:rPr>
            </w:pPr>
            <w:r>
              <w:rPr>
                <w:rFonts w:ascii="sans-serif" w:hAnsi="sans-serif" w:eastAsia="宋体" w:cs="sans-serif"/>
                <w:i w:val="0"/>
                <w:caps w:val="0"/>
                <w:color w:val="333333"/>
                <w:spacing w:val="0"/>
                <w:kern w:val="0"/>
                <w:sz w:val="19"/>
                <w:szCs w:val="19"/>
                <w:shd w:val="clear" w:fill="FFFFFF"/>
                <w:lang w:val="en-US" w:eastAsia="zh-CN" w:bidi="ar"/>
              </w:rPr>
              <w:t>≥</w:t>
            </w:r>
            <w:r>
              <w:rPr>
                <w:rFonts w:hint="eastAsia" w:ascii="sans-serif" w:hAnsi="sans-serif" w:eastAsia="宋体" w:cs="sans-serif"/>
                <w:i w:val="0"/>
                <w:caps w:val="0"/>
                <w:color w:val="333333"/>
                <w:spacing w:val="0"/>
                <w:kern w:val="0"/>
                <w:sz w:val="19"/>
                <w:szCs w:val="19"/>
                <w:shd w:val="clear" w:fill="FFFFFF"/>
                <w:lang w:val="en-US" w:eastAsia="zh-CN" w:bidi="ar"/>
              </w:rPr>
              <w:t>500尾</w:t>
            </w:r>
          </w:p>
        </w:tc>
        <w:tc>
          <w:tcPr>
            <w:tcW w:w="9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sans-serif" w:hAnsi="sans-serif" w:eastAsia="宋体" w:cs="sans-serif"/>
                <w:i w:val="0"/>
                <w:caps w:val="0"/>
                <w:color w:val="333333"/>
                <w:spacing w:val="0"/>
                <w:kern w:val="0"/>
                <w:sz w:val="19"/>
                <w:szCs w:val="19"/>
                <w:shd w:val="clear" w:fill="FFFFFF"/>
                <w:lang w:val="en-US" w:eastAsia="zh-CN" w:bidi="ar"/>
              </w:rPr>
              <w:t>500尾</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1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宫廷金鱼保护群体质量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没有混杂，具有三代以上系谱</w:t>
            </w:r>
          </w:p>
        </w:tc>
        <w:tc>
          <w:tcPr>
            <w:tcW w:w="9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没有混杂，具有三代以上系谱</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1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kern w:val="0"/>
                <w:sz w:val="18"/>
                <w:szCs w:val="18"/>
                <w:u w:val="none"/>
                <w:lang w:val="en-US" w:eastAsia="zh-CN" w:bidi="ar"/>
              </w:rPr>
              <w:t>完成时间</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2023年</w:t>
            </w:r>
            <w:r>
              <w:rPr>
                <w:rFonts w:hint="eastAsia" w:ascii="宋体" w:hAnsi="宋体" w:cs="宋体"/>
                <w:i w:val="0"/>
                <w:color w:val="000000"/>
                <w:kern w:val="0"/>
                <w:sz w:val="18"/>
                <w:szCs w:val="18"/>
                <w:u w:val="none"/>
                <w:lang w:val="en-US" w:eastAsia="zh-CN" w:bidi="ar"/>
              </w:rPr>
              <w:t>9</w:t>
            </w:r>
            <w:r>
              <w:rPr>
                <w:rFonts w:hint="eastAsia" w:ascii="宋体" w:hAnsi="宋体" w:eastAsia="宋体" w:cs="宋体"/>
                <w:i w:val="0"/>
                <w:color w:val="000000"/>
                <w:kern w:val="0"/>
                <w:sz w:val="18"/>
                <w:szCs w:val="18"/>
                <w:u w:val="none"/>
                <w:lang w:val="en-US" w:eastAsia="zh-CN" w:bidi="ar"/>
              </w:rPr>
              <w:t>月</w:t>
            </w:r>
            <w:r>
              <w:rPr>
                <w:rFonts w:hint="eastAsia" w:ascii="宋体" w:hAnsi="宋体" w:cs="宋体"/>
                <w:i w:val="0"/>
                <w:color w:val="000000"/>
                <w:kern w:val="0"/>
                <w:sz w:val="18"/>
                <w:szCs w:val="18"/>
                <w:u w:val="none"/>
                <w:lang w:val="en-US" w:eastAsia="zh-CN" w:bidi="ar"/>
              </w:rPr>
              <w:t>23日前</w:t>
            </w:r>
            <w:r>
              <w:rPr>
                <w:rFonts w:hint="eastAsia" w:ascii="宋体" w:hAnsi="宋体" w:eastAsia="宋体" w:cs="宋体"/>
                <w:i w:val="0"/>
                <w:color w:val="000000"/>
                <w:kern w:val="0"/>
                <w:sz w:val="18"/>
                <w:szCs w:val="18"/>
                <w:u w:val="none"/>
                <w:lang w:val="en-US" w:eastAsia="zh-CN" w:bidi="ar"/>
              </w:rPr>
              <w:t>完成</w:t>
            </w:r>
          </w:p>
        </w:tc>
        <w:tc>
          <w:tcPr>
            <w:tcW w:w="9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i w:val="0"/>
                <w:color w:val="000000"/>
                <w:kern w:val="0"/>
                <w:sz w:val="18"/>
                <w:szCs w:val="18"/>
                <w:u w:val="none"/>
                <w:lang w:val="en-US" w:eastAsia="zh-CN" w:bidi="ar"/>
              </w:rPr>
              <w:t>2023年</w:t>
            </w:r>
            <w:r>
              <w:rPr>
                <w:rFonts w:hint="eastAsia" w:ascii="宋体" w:hAnsi="宋体" w:cs="宋体"/>
                <w:i w:val="0"/>
                <w:color w:val="000000"/>
                <w:kern w:val="0"/>
                <w:sz w:val="18"/>
                <w:szCs w:val="18"/>
                <w:u w:val="none"/>
                <w:lang w:val="en-US" w:eastAsia="zh-CN" w:bidi="ar"/>
              </w:rPr>
              <w:t>9</w:t>
            </w:r>
            <w:r>
              <w:rPr>
                <w:rFonts w:hint="eastAsia" w:ascii="宋体" w:hAnsi="宋体" w:eastAsia="宋体" w:cs="宋体"/>
                <w:i w:val="0"/>
                <w:color w:val="000000"/>
                <w:kern w:val="0"/>
                <w:sz w:val="18"/>
                <w:szCs w:val="18"/>
                <w:u w:val="none"/>
                <w:lang w:val="en-US" w:eastAsia="zh-CN" w:bidi="ar"/>
              </w:rPr>
              <w:t>月</w:t>
            </w:r>
            <w:r>
              <w:rPr>
                <w:rFonts w:hint="eastAsia" w:ascii="宋体" w:hAnsi="宋体" w:cs="宋体"/>
                <w:i w:val="0"/>
                <w:color w:val="000000"/>
                <w:kern w:val="0"/>
                <w:sz w:val="18"/>
                <w:szCs w:val="18"/>
                <w:u w:val="none"/>
                <w:lang w:val="en-US" w:eastAsia="zh-CN" w:bidi="ar"/>
              </w:rPr>
              <w:t>23日前</w:t>
            </w:r>
            <w:r>
              <w:rPr>
                <w:rFonts w:hint="eastAsia" w:ascii="宋体" w:hAnsi="宋体" w:eastAsia="宋体" w:cs="宋体"/>
                <w:i w:val="0"/>
                <w:color w:val="000000"/>
                <w:kern w:val="0"/>
                <w:sz w:val="18"/>
                <w:szCs w:val="18"/>
                <w:u w:val="none"/>
                <w:lang w:val="en-US" w:eastAsia="zh-CN" w:bidi="ar"/>
              </w:rPr>
              <w:t>完成</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kern w:val="0"/>
                <w:sz w:val="18"/>
                <w:szCs w:val="18"/>
                <w:u w:val="none"/>
                <w:lang w:val="en-US" w:eastAsia="zh-CN" w:bidi="ar"/>
              </w:rPr>
              <w:t>预算控制在成本内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0万</w:t>
            </w:r>
            <w:r>
              <w:rPr>
                <w:rFonts w:hint="eastAsia" w:ascii="宋体" w:hAnsi="宋体" w:cs="宋体"/>
                <w:i w:val="0"/>
                <w:color w:val="000000"/>
                <w:kern w:val="0"/>
                <w:sz w:val="18"/>
                <w:szCs w:val="18"/>
                <w:u w:val="none"/>
                <w:lang w:val="en-US" w:eastAsia="zh-CN" w:bidi="ar"/>
              </w:rPr>
              <w:t>元</w:t>
            </w:r>
          </w:p>
        </w:tc>
        <w:tc>
          <w:tcPr>
            <w:tcW w:w="9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40万元</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left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0"/>
                <w:sz w:val="24"/>
                <w:szCs w:val="24"/>
                <w:lang w:val="en-US" w:eastAsia="zh-CN" w:bidi="ar-SA"/>
              </w:rPr>
            </w:pPr>
            <w:r>
              <w:rPr>
                <w:rFonts w:hint="eastAsia" w:ascii="宋体" w:hAnsi="宋体" w:eastAsia="宋体" w:cs="宋体"/>
                <w:i w:val="0"/>
                <w:color w:val="000000"/>
                <w:kern w:val="0"/>
                <w:sz w:val="18"/>
                <w:szCs w:val="18"/>
                <w:u w:val="none"/>
                <w:lang w:val="en-US" w:eastAsia="zh-CN" w:bidi="ar"/>
              </w:rPr>
              <w:t>特色种质资源保护水平</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有效保护</w:t>
            </w:r>
          </w:p>
        </w:tc>
        <w:tc>
          <w:tcPr>
            <w:tcW w:w="93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有效保护</w:t>
            </w:r>
            <w:r>
              <w:rPr>
                <w:rFonts w:hint="eastAsia" w:ascii="宋体" w:hAnsi="宋体" w:cs="宋体"/>
                <w:color w:val="000000"/>
                <w:kern w:val="0"/>
                <w:sz w:val="18"/>
                <w:szCs w:val="18"/>
              </w:rPr>
              <w:t>　</w:t>
            </w:r>
          </w:p>
        </w:tc>
        <w:tc>
          <w:tcPr>
            <w:tcW w:w="520" w:type="dxa"/>
            <w:gridSpan w:val="2"/>
            <w:tcBorders>
              <w:top w:val="nil"/>
              <w:left w:val="nil"/>
              <w:bottom w:val="single" w:color="auto" w:sz="4" w:space="0"/>
              <w:right w:val="single" w:color="auto" w:sz="4" w:space="0"/>
            </w:tcBorders>
            <w:vAlign w:val="center"/>
          </w:tcPr>
          <w:p>
            <w:pPr>
              <w:jc w:val="center"/>
              <w:rPr>
                <w:rFonts w:hint="default"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30</w:t>
            </w:r>
          </w:p>
        </w:tc>
        <w:tc>
          <w:tcPr>
            <w:tcW w:w="505" w:type="dxa"/>
            <w:gridSpan w:val="2"/>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8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0"/>
                <w:sz w:val="24"/>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 指标1：养殖场满意</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93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52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10</w:t>
            </w:r>
          </w:p>
        </w:tc>
        <w:tc>
          <w:tcPr>
            <w:tcW w:w="50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0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0</w:t>
            </w:r>
          </w:p>
        </w:tc>
        <w:tc>
          <w:tcPr>
            <w:tcW w:w="5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通州区推广应用有机肥项目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sz w:val="20"/>
                <w:szCs w:val="20"/>
                <w:lang w:eastAsia="zh-CN"/>
              </w:rPr>
              <w:t>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lang w:eastAsia="zh-CN"/>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王爽</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13810301603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718.5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99.79%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720</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720</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718.5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99.79%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40"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全面推广农业应用有机肥，提高农业废弃物综合利用率，减少化肥使用量</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全面推广农业应用有机肥，提高农业废弃物综合利用率，减少化肥使用量</w:t>
            </w:r>
            <w:r>
              <w:rPr>
                <w:rFonts w:hint="eastAsia" w:ascii="宋体" w:hAnsi="宋体" w:cs="宋体"/>
                <w:color w:val="auto"/>
                <w:kern w:val="0"/>
                <w:sz w:val="18"/>
                <w:szCs w:val="18"/>
                <w:lang w:val="en-US"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75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推广应用有机肥覆盖面积</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1.5万亩</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1.5万亩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000000"/>
                <w:sz w:val="18"/>
                <w:szCs w:val="18"/>
                <w:lang w:eastAsia="zh-CN"/>
              </w:rPr>
              <w:t>替代化肥（纯养分）</w:t>
            </w:r>
          </w:p>
        </w:tc>
        <w:tc>
          <w:tcPr>
            <w:tcW w:w="938" w:type="dxa"/>
            <w:tcBorders>
              <w:top w:val="nil"/>
              <w:left w:val="nil"/>
              <w:bottom w:val="single" w:color="auto" w:sz="4" w:space="0"/>
              <w:right w:val="single" w:color="auto" w:sz="4" w:space="0"/>
            </w:tcBorders>
            <w:vAlign w:val="center"/>
          </w:tcPr>
          <w:p>
            <w:pPr>
              <w:jc w:val="center"/>
              <w:rPr>
                <w:rFonts w:ascii="宋体" w:hAnsi="宋体" w:cs="宋体"/>
                <w:color w:val="auto"/>
                <w:kern w:val="0"/>
                <w:sz w:val="18"/>
                <w:szCs w:val="18"/>
              </w:rPr>
            </w:pPr>
            <w:r>
              <w:rPr>
                <w:rFonts w:hint="eastAsia" w:ascii="宋体" w:hAnsi="宋体" w:cs="宋体"/>
                <w:color w:val="000000"/>
                <w:sz w:val="18"/>
                <w:szCs w:val="18"/>
                <w:lang w:eastAsia="zh-CN"/>
              </w:rPr>
              <w:t>≥5公斤</w:t>
            </w:r>
            <w:r>
              <w:rPr>
                <w:rFonts w:hint="eastAsia" w:ascii="宋体" w:hAnsi="宋体" w:cs="宋体"/>
                <w:color w:val="000000"/>
                <w:sz w:val="18"/>
                <w:szCs w:val="18"/>
                <w:lang w:val="en-US" w:eastAsia="zh-CN"/>
              </w:rPr>
              <w:t>/亩</w:t>
            </w:r>
          </w:p>
        </w:tc>
        <w:tc>
          <w:tcPr>
            <w:tcW w:w="848" w:type="dxa"/>
            <w:tcBorders>
              <w:top w:val="nil"/>
              <w:left w:val="nil"/>
              <w:bottom w:val="single" w:color="auto" w:sz="4" w:space="0"/>
              <w:right w:val="single" w:color="auto" w:sz="4" w:space="0"/>
            </w:tcBorders>
            <w:vAlign w:val="center"/>
          </w:tcPr>
          <w:p>
            <w:pPr>
              <w:jc w:val="center"/>
              <w:rPr>
                <w:rFonts w:ascii="宋体" w:hAnsi="宋体" w:cs="宋体"/>
                <w:color w:val="auto"/>
                <w:kern w:val="0"/>
                <w:sz w:val="18"/>
                <w:szCs w:val="18"/>
              </w:rPr>
            </w:pPr>
            <w:r>
              <w:rPr>
                <w:rFonts w:hint="eastAsia" w:ascii="宋体" w:hAnsi="宋体" w:cs="宋体"/>
                <w:color w:val="000000"/>
                <w:sz w:val="18"/>
                <w:szCs w:val="18"/>
                <w:lang w:eastAsia="zh-CN"/>
              </w:rPr>
              <w:t>≥5公斤</w:t>
            </w:r>
            <w:r>
              <w:rPr>
                <w:rFonts w:hint="eastAsia" w:ascii="宋体" w:hAnsi="宋体" w:cs="宋体"/>
                <w:color w:val="000000"/>
                <w:sz w:val="18"/>
                <w:szCs w:val="18"/>
                <w:lang w:val="en-US" w:eastAsia="zh-CN"/>
              </w:rPr>
              <w:t>/亩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jc w:val="left"/>
              <w:rPr>
                <w:rFonts w:ascii="宋体" w:hAnsi="宋体" w:cs="宋体"/>
                <w:color w:val="auto"/>
                <w:kern w:val="0"/>
                <w:sz w:val="18"/>
                <w:szCs w:val="18"/>
              </w:rPr>
            </w:pPr>
            <w:r>
              <w:rPr>
                <w:rFonts w:hint="eastAsia" w:ascii="宋体" w:hAnsi="宋体" w:cs="宋体"/>
                <w:color w:val="000000"/>
                <w:sz w:val="18"/>
                <w:szCs w:val="18"/>
                <w:lang w:eastAsia="zh-CN"/>
              </w:rPr>
              <w:t>土壤肥力</w:t>
            </w:r>
          </w:p>
        </w:tc>
        <w:tc>
          <w:tcPr>
            <w:tcW w:w="938" w:type="dxa"/>
            <w:tcBorders>
              <w:top w:val="nil"/>
              <w:left w:val="nil"/>
              <w:bottom w:val="single" w:color="auto" w:sz="4" w:space="0"/>
              <w:right w:val="single" w:color="auto" w:sz="4" w:space="0"/>
            </w:tcBorders>
            <w:vAlign w:val="center"/>
          </w:tcPr>
          <w:p>
            <w:pPr>
              <w:jc w:val="center"/>
              <w:rPr>
                <w:rFonts w:ascii="宋体" w:hAnsi="宋体" w:cs="宋体"/>
                <w:color w:val="auto"/>
                <w:kern w:val="0"/>
                <w:sz w:val="18"/>
                <w:szCs w:val="18"/>
              </w:rPr>
            </w:pPr>
            <w:r>
              <w:rPr>
                <w:rFonts w:hint="eastAsia" w:ascii="宋体" w:hAnsi="宋体" w:cs="宋体"/>
                <w:color w:val="000000"/>
                <w:sz w:val="18"/>
                <w:szCs w:val="18"/>
                <w:lang w:eastAsia="zh-CN"/>
              </w:rPr>
              <w:t>不降低</w:t>
            </w:r>
          </w:p>
        </w:tc>
        <w:tc>
          <w:tcPr>
            <w:tcW w:w="848" w:type="dxa"/>
            <w:tcBorders>
              <w:top w:val="nil"/>
              <w:left w:val="nil"/>
              <w:bottom w:val="single" w:color="auto" w:sz="4" w:space="0"/>
              <w:right w:val="single" w:color="auto" w:sz="4" w:space="0"/>
            </w:tcBorders>
            <w:vAlign w:val="center"/>
          </w:tcPr>
          <w:p>
            <w:pPr>
              <w:jc w:val="center"/>
              <w:rPr>
                <w:rFonts w:ascii="宋体" w:hAnsi="宋体" w:cs="宋体"/>
                <w:color w:val="auto"/>
                <w:kern w:val="0"/>
                <w:sz w:val="18"/>
                <w:szCs w:val="18"/>
              </w:rPr>
            </w:pPr>
            <w:r>
              <w:rPr>
                <w:rFonts w:hint="eastAsia" w:ascii="宋体" w:hAnsi="宋体" w:cs="宋体"/>
                <w:color w:val="000000"/>
                <w:sz w:val="18"/>
                <w:szCs w:val="18"/>
                <w:lang w:eastAsia="zh-CN"/>
              </w:rPr>
              <w:t>不降低</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000000"/>
                <w:sz w:val="18"/>
                <w:szCs w:val="18"/>
                <w:lang w:eastAsia="zh-CN"/>
              </w:rPr>
              <w:t>推广应用有机肥节本增收</w:t>
            </w:r>
          </w:p>
        </w:tc>
        <w:tc>
          <w:tcPr>
            <w:tcW w:w="938" w:type="dxa"/>
            <w:tcBorders>
              <w:top w:val="nil"/>
              <w:left w:val="nil"/>
              <w:bottom w:val="single" w:color="auto" w:sz="4" w:space="0"/>
              <w:right w:val="single" w:color="auto" w:sz="4" w:space="0"/>
            </w:tcBorders>
            <w:vAlign w:val="center"/>
          </w:tcPr>
          <w:p>
            <w:pPr>
              <w:jc w:val="center"/>
              <w:rPr>
                <w:rFonts w:ascii="宋体" w:hAnsi="宋体" w:cs="宋体"/>
                <w:color w:val="auto"/>
                <w:kern w:val="0"/>
                <w:sz w:val="18"/>
                <w:szCs w:val="18"/>
              </w:rPr>
            </w:pPr>
            <w:r>
              <w:rPr>
                <w:rFonts w:hint="eastAsia" w:ascii="宋体" w:hAnsi="宋体" w:cs="宋体"/>
                <w:color w:val="000000"/>
                <w:sz w:val="18"/>
                <w:szCs w:val="18"/>
                <w:lang w:eastAsia="zh-CN"/>
              </w:rPr>
              <w:t>≥100元</w:t>
            </w:r>
            <w:r>
              <w:rPr>
                <w:rFonts w:hint="eastAsia" w:ascii="宋体" w:hAnsi="宋体" w:cs="宋体"/>
                <w:color w:val="000000"/>
                <w:sz w:val="18"/>
                <w:szCs w:val="18"/>
                <w:lang w:val="en-US" w:eastAsia="zh-CN"/>
              </w:rPr>
              <w:t>/亩</w:t>
            </w:r>
          </w:p>
        </w:tc>
        <w:tc>
          <w:tcPr>
            <w:tcW w:w="8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000000"/>
                <w:sz w:val="18"/>
                <w:szCs w:val="18"/>
                <w:lang w:eastAsia="zh-CN"/>
              </w:rPr>
              <w:t>≥100元</w:t>
            </w:r>
            <w:r>
              <w:rPr>
                <w:rFonts w:hint="eastAsia" w:ascii="宋体" w:hAnsi="宋体" w:cs="宋体"/>
                <w:color w:val="000000"/>
                <w:sz w:val="18"/>
                <w:szCs w:val="18"/>
                <w:lang w:val="en-US" w:eastAsia="zh-CN"/>
              </w:rPr>
              <w:t>/亩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jc w:val="left"/>
              <w:rPr>
                <w:rFonts w:ascii="宋体" w:hAnsi="宋体" w:cs="宋体"/>
                <w:color w:val="auto"/>
                <w:kern w:val="0"/>
                <w:sz w:val="18"/>
                <w:szCs w:val="18"/>
              </w:rPr>
            </w:pPr>
            <w:r>
              <w:rPr>
                <w:rFonts w:hint="eastAsia" w:ascii="宋体" w:hAnsi="宋体" w:cs="宋体"/>
                <w:color w:val="000000"/>
                <w:sz w:val="18"/>
                <w:szCs w:val="18"/>
                <w:lang w:eastAsia="zh-CN"/>
              </w:rPr>
              <w:t>化肥使用量</w:t>
            </w:r>
          </w:p>
        </w:tc>
        <w:tc>
          <w:tcPr>
            <w:tcW w:w="938" w:type="dxa"/>
            <w:tcBorders>
              <w:top w:val="nil"/>
              <w:left w:val="nil"/>
              <w:bottom w:val="single" w:color="auto" w:sz="4" w:space="0"/>
              <w:right w:val="single" w:color="auto" w:sz="4" w:space="0"/>
            </w:tcBorders>
            <w:vAlign w:val="center"/>
          </w:tcPr>
          <w:p>
            <w:pPr>
              <w:jc w:val="left"/>
              <w:rPr>
                <w:rFonts w:ascii="宋体" w:hAnsi="宋体" w:cs="宋体"/>
                <w:color w:val="auto"/>
                <w:kern w:val="0"/>
                <w:sz w:val="18"/>
                <w:szCs w:val="18"/>
              </w:rPr>
            </w:pPr>
            <w:r>
              <w:rPr>
                <w:rFonts w:hint="eastAsia" w:ascii="宋体" w:hAnsi="宋体" w:cs="宋体"/>
                <w:color w:val="000000"/>
                <w:sz w:val="18"/>
                <w:szCs w:val="18"/>
                <w:lang w:eastAsia="zh-CN"/>
              </w:rPr>
              <w:t>持续减少</w:t>
            </w:r>
          </w:p>
        </w:tc>
        <w:tc>
          <w:tcPr>
            <w:tcW w:w="848" w:type="dxa"/>
            <w:tcBorders>
              <w:top w:val="nil"/>
              <w:left w:val="nil"/>
              <w:bottom w:val="single" w:color="auto" w:sz="4" w:space="0"/>
              <w:right w:val="single" w:color="auto" w:sz="4" w:space="0"/>
            </w:tcBorders>
            <w:vAlign w:val="center"/>
          </w:tcPr>
          <w:p>
            <w:pPr>
              <w:jc w:val="left"/>
              <w:rPr>
                <w:rFonts w:ascii="宋体" w:hAnsi="宋体" w:cs="宋体"/>
                <w:color w:val="auto"/>
                <w:kern w:val="0"/>
                <w:sz w:val="18"/>
                <w:szCs w:val="18"/>
              </w:rPr>
            </w:pPr>
            <w:r>
              <w:rPr>
                <w:rFonts w:hint="eastAsia" w:ascii="宋体" w:hAnsi="宋体" w:cs="宋体"/>
                <w:color w:val="000000"/>
                <w:sz w:val="18"/>
                <w:szCs w:val="18"/>
                <w:lang w:eastAsia="zh-CN"/>
              </w:rPr>
              <w:t>持续减少</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lang w:eastAsia="zh-CN"/>
              </w:rPr>
              <w:t>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832"/>
        <w:gridCol w:w="282"/>
        <w:gridCol w:w="969"/>
        <w:gridCol w:w="1177"/>
        <w:gridCol w:w="536"/>
        <w:gridCol w:w="246"/>
        <w:gridCol w:w="256"/>
        <w:gridCol w:w="580"/>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开展季节性裸露农田扬尘抑制关键保护性耕作技术推广</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388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市农业农村局</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1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w:t>
            </w:r>
            <w:r>
              <w:rPr>
                <w:rFonts w:ascii="宋体" w:hAnsi="宋体" w:eastAsia="宋体" w:cs="宋体"/>
                <w:color w:val="auto"/>
                <w:kern w:val="0"/>
                <w:sz w:val="18"/>
                <w:szCs w:val="18"/>
              </w:rPr>
              <w:t>负责人</w:t>
            </w:r>
          </w:p>
        </w:tc>
        <w:tc>
          <w:tcPr>
            <w:tcW w:w="388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张凤强</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ascii="宋体" w:hAnsi="宋体" w:eastAsia="宋体" w:cs="宋体"/>
                <w:color w:val="auto"/>
                <w:kern w:val="0"/>
                <w:sz w:val="18"/>
                <w:szCs w:val="18"/>
              </w:rPr>
              <w:t>联系电话</w:t>
            </w:r>
          </w:p>
        </w:tc>
        <w:tc>
          <w:tcPr>
            <w:tcW w:w="231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81584972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10</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10</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10</w:t>
            </w:r>
          </w:p>
        </w:tc>
        <w:tc>
          <w:tcPr>
            <w:tcW w:w="7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20"/>
                <w:szCs w:val="20"/>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100</w:t>
            </w:r>
            <w:r>
              <w:rPr>
                <w:rStyle w:val="21"/>
                <w:rFonts w:hint="default"/>
                <w:lang w:bidi="ar"/>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10</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10</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10</w:t>
            </w:r>
          </w:p>
        </w:tc>
        <w:tc>
          <w:tcPr>
            <w:tcW w:w="7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100</w:t>
            </w:r>
            <w:r>
              <w:rPr>
                <w:rStyle w:val="21"/>
                <w:rFonts w:hint="default"/>
                <w:lang w:bidi="ar"/>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8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126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48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继续运维三个农田扬尘监测点</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完成三个监测点扬尘监测工作。</w:t>
            </w:r>
          </w:p>
        </w:tc>
        <w:tc>
          <w:tcPr>
            <w:tcW w:w="3494" w:type="dxa"/>
            <w:gridSpan w:val="6"/>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年完成</w:t>
            </w:r>
            <w:r>
              <w:rPr>
                <w:rFonts w:hint="eastAsia" w:ascii="宋体" w:hAnsi="宋体" w:cs="宋体"/>
                <w:color w:val="000000"/>
                <w:kern w:val="0"/>
                <w:sz w:val="20"/>
                <w:szCs w:val="20"/>
                <w:lang w:eastAsia="zh-CN" w:bidi="ar"/>
              </w:rPr>
              <w:t>了</w:t>
            </w:r>
            <w:r>
              <w:rPr>
                <w:rFonts w:hint="eastAsia" w:ascii="宋体" w:hAnsi="宋体" w:cs="宋体"/>
                <w:color w:val="000000"/>
                <w:sz w:val="20"/>
                <w:szCs w:val="20"/>
                <w:lang w:val="en-US" w:eastAsia="zh-CN"/>
              </w:rPr>
              <w:t>2022年</w:t>
            </w:r>
            <w:r>
              <w:rPr>
                <w:rFonts w:hint="eastAsia" w:ascii="宋体" w:hAnsi="宋体" w:cs="宋体"/>
                <w:color w:val="000000"/>
                <w:sz w:val="20"/>
                <w:szCs w:val="20"/>
              </w:rPr>
              <w:t>开展季节性裸露农田扬尘抑制关键保护性耕作技术推广</w:t>
            </w:r>
            <w:r>
              <w:rPr>
                <w:rFonts w:hint="eastAsia" w:ascii="宋体" w:hAnsi="宋体" w:cs="宋体"/>
                <w:color w:val="000000"/>
                <w:kern w:val="0"/>
                <w:sz w:val="20"/>
                <w:szCs w:val="20"/>
                <w:lang w:val="en-US" w:eastAsia="zh-CN" w:bidi="ar"/>
              </w:rPr>
              <w:t>-扬尘监测工作</w:t>
            </w: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继续运维农田扬尘监测点</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bidi="ar"/>
              </w:rPr>
              <w:t>3个</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000000"/>
                <w:kern w:val="0"/>
                <w:sz w:val="18"/>
                <w:szCs w:val="18"/>
                <w:lang w:bidi="ar"/>
              </w:rPr>
              <w:t>3个</w:t>
            </w:r>
          </w:p>
        </w:tc>
        <w:tc>
          <w:tcPr>
            <w:tcW w:w="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eastAsia="zh-CN" w:bidi="ar"/>
              </w:rPr>
              <w:t>出据终期扬尘监测报告</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val="en-US" w:eastAsia="zh-CN" w:bidi="ar"/>
              </w:rPr>
              <w:t>1份</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val="en-US" w:eastAsia="zh-CN" w:bidi="ar"/>
              </w:rPr>
              <w:t>1份</w:t>
            </w:r>
          </w:p>
        </w:tc>
        <w:tc>
          <w:tcPr>
            <w:tcW w:w="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bidi="ar"/>
              </w:rPr>
              <w:t>年度农业农村改革发展资金支出进度</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bidi="ar"/>
              </w:rPr>
              <w:t>符合财政部门规定要求</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bidi="ar"/>
              </w:rPr>
              <w:t>符合财政部门规定要求</w:t>
            </w:r>
          </w:p>
        </w:tc>
        <w:tc>
          <w:tcPr>
            <w:tcW w:w="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bidi="ar"/>
              </w:rPr>
              <w:t>项目任务落实进度</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sz w:val="18"/>
                <w:szCs w:val="18"/>
              </w:rPr>
              <w:t>符合市级主管部门指导要求</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sz w:val="18"/>
                <w:szCs w:val="18"/>
              </w:rPr>
              <w:t>符合市级主管部门指导要求</w:t>
            </w:r>
          </w:p>
        </w:tc>
        <w:tc>
          <w:tcPr>
            <w:tcW w:w="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5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bidi="ar"/>
              </w:rPr>
              <w:t>涉及补贴资金标准</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kern w:val="0"/>
                <w:sz w:val="18"/>
                <w:szCs w:val="18"/>
                <w:lang w:bidi="ar"/>
              </w:rPr>
              <w:t>符合制度文件要求</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cs="宋体"/>
                <w:color w:val="000000" w:themeColor="text1"/>
                <w:kern w:val="0"/>
                <w:sz w:val="18"/>
                <w:szCs w:val="18"/>
                <w:lang w:bidi="ar"/>
                <w14:textFill>
                  <w14:solidFill>
                    <w14:schemeClr w14:val="tx1"/>
                  </w14:solidFill>
                </w14:textFill>
              </w:rPr>
              <w:t>符合《2022年通州区季节性裸露农田扬尘抑制关键保护性耕</w:t>
            </w:r>
            <w:r>
              <w:rPr>
                <w:rFonts w:hint="eastAsia" w:ascii="宋体" w:hAnsi="宋体" w:cs="宋体"/>
                <w:color w:val="000000"/>
                <w:kern w:val="0"/>
                <w:sz w:val="18"/>
                <w:szCs w:val="18"/>
                <w:lang w:bidi="ar"/>
              </w:rPr>
              <w:t>作技术推广作业补贴实施方案》</w:t>
            </w:r>
            <w:r>
              <w:rPr>
                <w:rFonts w:hint="eastAsia" w:ascii="宋体" w:hAnsi="宋体" w:cs="宋体"/>
                <w:color w:val="000000"/>
                <w:kern w:val="0"/>
                <w:sz w:val="18"/>
                <w:szCs w:val="18"/>
                <w:lang w:eastAsia="zh-CN" w:bidi="ar"/>
              </w:rPr>
              <w:t>及</w:t>
            </w:r>
            <w:r>
              <w:rPr>
                <w:rFonts w:hint="eastAsia" w:ascii="宋体" w:hAnsi="宋体" w:cs="宋体"/>
                <w:color w:val="000000"/>
                <w:kern w:val="0"/>
                <w:sz w:val="18"/>
                <w:szCs w:val="18"/>
                <w:lang w:bidi="ar"/>
              </w:rPr>
              <w:t>《2022年保护性耕作扬尘监测点监测技术服务合同》制度文件要求</w:t>
            </w:r>
          </w:p>
        </w:tc>
        <w:tc>
          <w:tcPr>
            <w:tcW w:w="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0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资金使用重大违规违纪问题</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5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5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服务对象满意度</w:t>
            </w:r>
          </w:p>
        </w:tc>
        <w:tc>
          <w:tcPr>
            <w:tcW w:w="125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1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5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33" w:hRule="exact"/>
          <w:jc w:val="center"/>
        </w:trPr>
        <w:tc>
          <w:tcPr>
            <w:tcW w:w="661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2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提升农产品质量安全监管能力和水平</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张凤强</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eastAsia="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81584972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1927</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65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1927</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65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red"/>
                <w:lang w:val="en-US" w:eastAsia="zh-CN"/>
              </w:rPr>
            </w:pPr>
            <w:r>
              <w:rPr>
                <w:rFonts w:hint="eastAsia" w:ascii="宋体" w:hAnsi="宋体" w:cs="宋体"/>
                <w:color w:val="auto"/>
                <w:kern w:val="0"/>
                <w:sz w:val="18"/>
                <w:szCs w:val="18"/>
                <w:highlight w:val="none"/>
                <w:lang w:val="en-US" w:eastAsia="zh-CN"/>
              </w:rPr>
              <w:t>1639.55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85.1%</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1927</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655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1927</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65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1639.55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85.1%</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15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lang w:eastAsia="zh-CN"/>
              </w:rPr>
              <w:t>圆满完成重大活动保障任务；</w:t>
            </w:r>
          </w:p>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lang w:eastAsia="zh-CN"/>
              </w:rPr>
              <w:t>辖区农产品质量安全综合合格率</w:t>
            </w:r>
            <w:r>
              <w:rPr>
                <w:rFonts w:hint="eastAsia" w:ascii="宋体" w:hAnsi="宋体" w:cs="宋体"/>
                <w:color w:val="auto"/>
                <w:kern w:val="0"/>
                <w:sz w:val="18"/>
                <w:szCs w:val="18"/>
                <w:lang w:val="en-US" w:eastAsia="zh-CN"/>
              </w:rPr>
              <w:t>98%以上；</w:t>
            </w:r>
          </w:p>
          <w:p>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lang w:eastAsia="zh-CN"/>
              </w:rPr>
              <w:t>辖区内农产品质量安全保障能力和水品稳步提升；</w:t>
            </w:r>
          </w:p>
          <w:p>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4.全区</w:t>
            </w:r>
            <w:r>
              <w:rPr>
                <w:rFonts w:hint="eastAsia" w:ascii="宋体" w:hAnsi="宋体" w:cs="宋体"/>
                <w:color w:val="auto"/>
                <w:kern w:val="0"/>
                <w:sz w:val="18"/>
                <w:szCs w:val="18"/>
                <w:lang w:eastAsia="zh-CN"/>
              </w:rPr>
              <w:t>不发生重大农产品质量安全事故；</w:t>
            </w:r>
          </w:p>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lang w:eastAsia="zh-CN"/>
              </w:rPr>
              <w:t>基层农产品质量安全监管能力明显提升。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1.圆满完成了北京两会和全国两会的服务保障任务；</w:t>
            </w:r>
          </w:p>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r>
              <w:rPr>
                <w:rFonts w:hint="eastAsia" w:ascii="宋体" w:hAnsi="宋体" w:cs="宋体"/>
                <w:color w:val="auto"/>
                <w:kern w:val="0"/>
                <w:sz w:val="18"/>
                <w:szCs w:val="18"/>
                <w:lang w:eastAsia="zh-CN"/>
              </w:rPr>
              <w:t>辖区农产品质量安全综合合格率</w:t>
            </w:r>
            <w:r>
              <w:rPr>
                <w:rFonts w:hint="eastAsia" w:ascii="宋体" w:hAnsi="宋体" w:eastAsia="宋体" w:cs="宋体"/>
                <w:color w:val="auto"/>
                <w:kern w:val="0"/>
                <w:sz w:val="18"/>
                <w:szCs w:val="18"/>
                <w:lang w:val="en-US" w:eastAsia="zh-CN"/>
              </w:rPr>
              <w:t>99.9%；</w:t>
            </w:r>
          </w:p>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r>
              <w:rPr>
                <w:rFonts w:hint="eastAsia" w:ascii="宋体" w:hAnsi="宋体" w:cs="宋体"/>
                <w:color w:val="auto"/>
                <w:kern w:val="0"/>
                <w:sz w:val="18"/>
                <w:szCs w:val="18"/>
                <w:lang w:eastAsia="zh-CN"/>
              </w:rPr>
              <w:t>辖区内农产品质量安全保障能力和水品稳步提升；</w:t>
            </w:r>
          </w:p>
          <w:p>
            <w:pPr>
              <w:widowControl/>
              <w:spacing w:line="240" w:lineRule="exact"/>
              <w:jc w:val="left"/>
              <w:rPr>
                <w:rFonts w:hint="eastAsia" w:ascii="宋体" w:hAnsi="宋体" w:cs="宋体"/>
                <w:color w:val="auto"/>
                <w:kern w:val="0"/>
                <w:sz w:val="18"/>
                <w:szCs w:val="18"/>
                <w:lang w:eastAsia="zh-CN"/>
              </w:rPr>
            </w:pPr>
            <w:r>
              <w:rPr>
                <w:rFonts w:hint="eastAsia" w:ascii="宋体" w:hAnsi="宋体" w:eastAsia="宋体" w:cs="宋体"/>
                <w:color w:val="auto"/>
                <w:kern w:val="0"/>
                <w:sz w:val="18"/>
                <w:szCs w:val="18"/>
                <w:lang w:val="en-US" w:eastAsia="zh-CN"/>
              </w:rPr>
              <w:t>4.未</w:t>
            </w:r>
            <w:r>
              <w:rPr>
                <w:rFonts w:hint="eastAsia" w:ascii="宋体" w:hAnsi="宋体" w:cs="宋体"/>
                <w:color w:val="auto"/>
                <w:kern w:val="0"/>
                <w:sz w:val="18"/>
                <w:szCs w:val="18"/>
                <w:lang w:eastAsia="zh-CN"/>
              </w:rPr>
              <w:t>发生重大农产品质量安全事故；</w:t>
            </w:r>
          </w:p>
          <w:p>
            <w:pPr>
              <w:widowControl/>
              <w:spacing w:line="240" w:lineRule="exact"/>
              <w:jc w:val="left"/>
              <w:rPr>
                <w:rFonts w:hint="default" w:ascii="宋体" w:hAnsi="宋体" w:cs="宋体"/>
                <w:color w:val="auto"/>
                <w:kern w:val="0"/>
                <w:sz w:val="18"/>
                <w:szCs w:val="18"/>
                <w:lang w:val="en-US"/>
              </w:rPr>
            </w:pPr>
            <w:r>
              <w:rPr>
                <w:rFonts w:hint="eastAsia" w:ascii="宋体" w:hAnsi="宋体" w:eastAsia="宋体" w:cs="宋体"/>
                <w:color w:val="auto"/>
                <w:kern w:val="0"/>
                <w:sz w:val="18"/>
                <w:szCs w:val="18"/>
                <w:lang w:val="en-US" w:eastAsia="zh-CN"/>
              </w:rPr>
              <w:t>5.</w:t>
            </w:r>
            <w:r>
              <w:rPr>
                <w:rFonts w:hint="eastAsia" w:ascii="宋体" w:hAnsi="宋体" w:cs="宋体"/>
                <w:color w:val="auto"/>
                <w:kern w:val="0"/>
                <w:sz w:val="18"/>
                <w:szCs w:val="18"/>
                <w:lang w:eastAsia="zh-CN"/>
              </w:rPr>
              <w:t>基层农产品质量安全监管能力明显提升</w:t>
            </w: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保障重大活动次数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eastAsia="zh-CN"/>
              </w:rPr>
              <w:t>重大活动保障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圆满完成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圆满完成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2.辖区</w:t>
            </w:r>
            <w:r>
              <w:rPr>
                <w:rFonts w:hint="eastAsia" w:ascii="宋体" w:hAnsi="宋体" w:cs="宋体"/>
                <w:color w:val="auto"/>
                <w:kern w:val="0"/>
                <w:sz w:val="18"/>
                <w:szCs w:val="18"/>
                <w:lang w:eastAsia="zh-CN"/>
              </w:rPr>
              <w:t>农产品质量安全综合合格率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98%以上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lang w:eastAsia="zh-CN"/>
              </w:rPr>
              <w:t>辖区内农产品质量安全保障能力和水品</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稳步提升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稳步提升</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lang w:eastAsia="zh-CN"/>
              </w:rPr>
              <w:t>重大农产品质量安全事故</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不发生</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不发生</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8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lang w:eastAsia="zh-CN"/>
              </w:rPr>
              <w:t>基层农产品质量安全监管能力</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明显提升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color w:val="auto"/>
                <w:kern w:val="0"/>
                <w:sz w:val="18"/>
                <w:szCs w:val="18"/>
                <w:lang w:eastAsia="zh-CN"/>
              </w:rPr>
              <w:t>明显提升</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306"/>
        <w:gridCol w:w="530"/>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2023年中央财政农业相关转移支付（农机购置补贴）</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市农业农村局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w:t>
            </w:r>
            <w:r>
              <w:rPr>
                <w:rFonts w:ascii="宋体" w:hAnsi="宋体" w:eastAsia="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张凤强</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ascii="宋体" w:hAnsi="宋体" w:eastAsia="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81584972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197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000000"/>
                <w:sz w:val="20"/>
                <w:szCs w:val="20"/>
                <w:lang w:val="en-US" w:eastAsia="zh-CN"/>
              </w:rPr>
              <w:t>130.816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72.449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55.38</w:t>
            </w:r>
            <w:r>
              <w:rPr>
                <w:rFonts w:hint="eastAsia" w:ascii="宋体" w:hAnsi="宋体" w:cs="宋体"/>
                <w:color w:val="000000"/>
                <w:sz w:val="20"/>
                <w:szCs w:val="20"/>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5.5</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197</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130.816</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72.449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55.38</w:t>
            </w:r>
            <w:r>
              <w:rPr>
                <w:rFonts w:hint="eastAsia" w:ascii="宋体" w:hAnsi="宋体" w:cs="宋体"/>
                <w:color w:val="000000"/>
                <w:sz w:val="20"/>
                <w:szCs w:val="20"/>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208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20"/>
                <w:szCs w:val="20"/>
                <w:lang w:bidi="ar"/>
              </w:rPr>
              <w:t>按照市、区两级2021-2023年农机购置补贴实施方案（细则）的要求，完成农机补贴各项任务指标。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实际完成了</w:t>
            </w:r>
            <w:r>
              <w:rPr>
                <w:rFonts w:hint="eastAsia" w:ascii="宋体" w:hAnsi="宋体" w:cs="宋体"/>
                <w:color w:val="000000"/>
                <w:kern w:val="0"/>
                <w:sz w:val="20"/>
                <w:szCs w:val="20"/>
                <w:lang w:bidi="ar"/>
              </w:rPr>
              <w:t>补贴农业机械</w:t>
            </w:r>
            <w:r>
              <w:rPr>
                <w:rFonts w:hint="eastAsia" w:ascii="宋体" w:hAnsi="宋体" w:cs="宋体"/>
                <w:color w:val="000000"/>
                <w:sz w:val="20"/>
                <w:szCs w:val="20"/>
              </w:rPr>
              <w:t>全年实际完成补贴农业机械</w:t>
            </w:r>
            <w:r>
              <w:rPr>
                <w:rFonts w:hint="eastAsia" w:ascii="宋体" w:hAnsi="宋体" w:cs="宋体"/>
                <w:color w:val="000000"/>
                <w:sz w:val="20"/>
                <w:szCs w:val="20"/>
                <w:lang w:val="en-US" w:eastAsia="zh-CN"/>
              </w:rPr>
              <w:t>28</w:t>
            </w:r>
            <w:r>
              <w:rPr>
                <w:rFonts w:hint="eastAsia" w:ascii="宋体" w:hAnsi="宋体" w:cs="宋体"/>
                <w:color w:val="000000"/>
                <w:sz w:val="20"/>
                <w:szCs w:val="20"/>
              </w:rPr>
              <w:t>（台套）；补</w:t>
            </w:r>
            <w:r>
              <w:rPr>
                <w:rFonts w:hint="eastAsia" w:ascii="宋体" w:hAnsi="宋体" w:cs="宋体"/>
                <w:color w:val="000000"/>
                <w:kern w:val="0"/>
                <w:sz w:val="20"/>
                <w:szCs w:val="20"/>
                <w:lang w:bidi="ar"/>
              </w:rPr>
              <w:t>贴政策公开率100%；资金支出进度符合财政部门规定要求；项目落实进度符合市级主管部门指导要求；补贴资金标准符合制度文件要求；无资金使用重大违规违纪问题；服务对象满意度100%。</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7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2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178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补贴农业机械</w:t>
            </w:r>
          </w:p>
        </w:tc>
        <w:tc>
          <w:tcPr>
            <w:tcW w:w="938"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8台套</w:t>
            </w:r>
          </w:p>
        </w:tc>
        <w:tc>
          <w:tcPr>
            <w:tcW w:w="848"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auto"/>
                <w:kern w:val="0"/>
                <w:sz w:val="18"/>
                <w:szCs w:val="18"/>
                <w:lang w:val="en-US" w:eastAsia="zh-CN"/>
              </w:rPr>
            </w:pPr>
            <w:r>
              <w:rPr>
                <w:rFonts w:hint="eastAsia" w:ascii="宋体" w:hAnsi="宋体" w:cs="宋体"/>
                <w:sz w:val="18"/>
                <w:szCs w:val="18"/>
                <w:lang w:val="en-US" w:eastAsia="zh-CN"/>
              </w:rPr>
              <w:t>28台套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年度指标值设置偏小，后续进一步加强指标设置。</w:t>
            </w:r>
          </w:p>
        </w:tc>
      </w:tr>
      <w:tr>
        <w:tblPrEx>
          <w:tblCellMar>
            <w:top w:w="0" w:type="dxa"/>
            <w:left w:w="108" w:type="dxa"/>
            <w:bottom w:w="0" w:type="dxa"/>
            <w:right w:w="108" w:type="dxa"/>
          </w:tblCellMar>
        </w:tblPrEx>
        <w:trPr>
          <w:trHeight w:val="5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补贴政策公开率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10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符合财政部门规定要求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符合财政部门规定要求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10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r>
              <w:rPr>
                <w:rFonts w:hint="eastAsia" w:ascii="宋体" w:hAnsi="宋体" w:cs="宋体"/>
                <w:color w:val="000000"/>
                <w:kern w:val="0"/>
                <w:sz w:val="18"/>
                <w:szCs w:val="18"/>
                <w:lang w:bidi="ar"/>
              </w:rPr>
              <w:t>项目落实进度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符合市级主管部门指导要求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符合市级主管部门指导要求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补贴资金标准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符合制度文件要求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符合制度文件要求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both"/>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资金使用重大违规违纪问题</w:t>
            </w:r>
          </w:p>
        </w:tc>
        <w:tc>
          <w:tcPr>
            <w:tcW w:w="93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84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722"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12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≥80%</w:t>
            </w:r>
          </w:p>
        </w:tc>
        <w:tc>
          <w:tcPr>
            <w:tcW w:w="84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kern w:val="0"/>
                <w:sz w:val="18"/>
                <w:szCs w:val="18"/>
              </w:rPr>
            </w:pPr>
            <w:r>
              <w:rPr>
                <w:rFonts w:hint="eastAsia" w:ascii="宋体" w:hAnsi="宋体" w:cs="宋体"/>
                <w:color w:val="00000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82"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7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95.5</w:t>
            </w:r>
          </w:p>
        </w:tc>
        <w:tc>
          <w:tcPr>
            <w:tcW w:w="12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50"/>
        <w:gridCol w:w="586"/>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29"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2022年中央财政农业相关转移支付资金-开展农机购置补贴（京财农指【2021】2274号）</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市农业农村局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w:t>
            </w:r>
            <w:r>
              <w:rPr>
                <w:rFonts w:ascii="宋体" w:hAnsi="宋体" w:eastAsia="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张凤强</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ascii="宋体" w:hAnsi="宋体" w:eastAsia="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81584972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000000"/>
                <w:sz w:val="20"/>
                <w:szCs w:val="20"/>
                <w:lang w:val="en-US" w:eastAsia="zh-CN"/>
              </w:rPr>
              <w:t>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21.969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44</w:t>
            </w:r>
            <w:r>
              <w:rPr>
                <w:rFonts w:hint="eastAsia" w:ascii="宋体" w:hAnsi="宋体" w:cs="宋体"/>
                <w:color w:val="000000"/>
                <w:sz w:val="20"/>
                <w:szCs w:val="20"/>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4.4</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000000"/>
                <w:sz w:val="20"/>
                <w:szCs w:val="20"/>
                <w:lang w:val="en-US" w:eastAsia="zh-CN"/>
              </w:rPr>
              <w:t>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21.969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44</w:t>
            </w:r>
            <w:r>
              <w:rPr>
                <w:rFonts w:hint="eastAsia" w:ascii="宋体" w:hAnsi="宋体" w:cs="宋体"/>
                <w:color w:val="000000"/>
                <w:sz w:val="20"/>
                <w:szCs w:val="20"/>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4.4</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175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按照市、区两级2021-2023年农机购置补贴实施方案（细则）的要求，完成农机补贴各项任务指标。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18"/>
                <w:szCs w:val="18"/>
              </w:rPr>
              <w:t>实际完成了</w:t>
            </w:r>
            <w:r>
              <w:rPr>
                <w:rFonts w:hint="eastAsia" w:ascii="宋体" w:hAnsi="宋体" w:cs="宋体"/>
                <w:color w:val="000000"/>
                <w:kern w:val="0"/>
                <w:sz w:val="18"/>
                <w:szCs w:val="18"/>
                <w:lang w:bidi="ar"/>
              </w:rPr>
              <w:t>补贴农业机械</w:t>
            </w:r>
            <w:r>
              <w:rPr>
                <w:rFonts w:hint="eastAsia" w:ascii="宋体" w:hAnsi="宋体" w:cs="宋体"/>
                <w:color w:val="000000"/>
                <w:sz w:val="18"/>
                <w:szCs w:val="18"/>
              </w:rPr>
              <w:t>全年实际完成补贴农业机械</w:t>
            </w:r>
            <w:r>
              <w:rPr>
                <w:rFonts w:hint="eastAsia" w:ascii="宋体" w:hAnsi="宋体" w:cs="宋体"/>
                <w:color w:val="000000"/>
                <w:sz w:val="18"/>
                <w:szCs w:val="18"/>
                <w:lang w:val="en-US" w:eastAsia="zh-CN"/>
              </w:rPr>
              <w:t>22</w:t>
            </w:r>
            <w:r>
              <w:rPr>
                <w:rFonts w:hint="eastAsia" w:ascii="宋体" w:hAnsi="宋体" w:cs="宋体"/>
                <w:color w:val="000000"/>
                <w:sz w:val="18"/>
                <w:szCs w:val="18"/>
              </w:rPr>
              <w:t>（台套）；补</w:t>
            </w:r>
            <w:r>
              <w:rPr>
                <w:rFonts w:hint="eastAsia" w:ascii="宋体" w:hAnsi="宋体" w:cs="宋体"/>
                <w:color w:val="000000"/>
                <w:kern w:val="0"/>
                <w:sz w:val="18"/>
                <w:szCs w:val="18"/>
                <w:lang w:bidi="ar"/>
              </w:rPr>
              <w:t>贴政策公开率100%；资金支出进度符合财政部门规定要求；项目落实进度符合市级主管部门指导要求；补贴资金标准符合制度文件要求；无资金使用重大违规违纪问题；服务对象满意度100%。</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ind w:firstLine="360" w:firstLineChars="20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66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补贴农业机械（台套）</w:t>
            </w:r>
          </w:p>
        </w:tc>
        <w:tc>
          <w:tcPr>
            <w:tcW w:w="938"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848"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auto"/>
                <w:kern w:val="0"/>
                <w:sz w:val="18"/>
                <w:szCs w:val="18"/>
                <w:lang w:val="en-US" w:eastAsia="zh-CN"/>
              </w:rPr>
            </w:pPr>
            <w:r>
              <w:rPr>
                <w:rFonts w:hint="eastAsia" w:ascii="宋体" w:hAnsi="宋体" w:cs="宋体"/>
                <w:sz w:val="18"/>
                <w:szCs w:val="18"/>
                <w:lang w:val="en-US" w:eastAsia="zh-CN"/>
              </w:rPr>
              <w:t>22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补贴政策公开率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96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符合财政部门规定要求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符合财政部门规定要求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96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r>
              <w:rPr>
                <w:rFonts w:hint="eastAsia" w:ascii="宋体" w:hAnsi="宋体" w:cs="宋体"/>
                <w:color w:val="000000"/>
                <w:kern w:val="0"/>
                <w:sz w:val="18"/>
                <w:szCs w:val="18"/>
                <w:lang w:bidi="ar"/>
              </w:rPr>
              <w:t>项目落实进度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符合市级主管部门指导要求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符合市级主管部门指导要求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补贴资金标准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符合制度文件要求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符合制度文件要求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both"/>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资金使用重大违规违纪问题</w:t>
            </w:r>
          </w:p>
        </w:tc>
        <w:tc>
          <w:tcPr>
            <w:tcW w:w="93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84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66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≥80%</w:t>
            </w:r>
          </w:p>
        </w:tc>
        <w:tc>
          <w:tcPr>
            <w:tcW w:w="84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kern w:val="0"/>
                <w:sz w:val="18"/>
                <w:szCs w:val="18"/>
              </w:rPr>
            </w:pPr>
            <w:r>
              <w:rPr>
                <w:rFonts w:hint="eastAsia" w:ascii="宋体" w:hAnsi="宋体" w:cs="宋体"/>
                <w:color w:val="00000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6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66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94.4</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提前下达通州区中央财政农机购置补贴</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市农业农村局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w:t>
            </w:r>
            <w:r>
              <w:rPr>
                <w:rFonts w:ascii="宋体" w:hAnsi="宋体" w:eastAsia="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张凤强</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ascii="宋体" w:hAnsi="宋体" w:eastAsia="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81584972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57.374</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57.374</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57.374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57.374</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57.374</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lang w:val="en-US" w:eastAsia="zh-CN"/>
              </w:rPr>
              <w:t>57.374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209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按照市、区两级2021-2023年农机购置补贴实施方案（细则）的要求，完成农机补贴各项任务指标。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18"/>
                <w:szCs w:val="18"/>
              </w:rPr>
              <w:t>实际完成了</w:t>
            </w:r>
            <w:r>
              <w:rPr>
                <w:rFonts w:hint="eastAsia" w:ascii="宋体" w:hAnsi="宋体" w:cs="宋体"/>
                <w:color w:val="000000"/>
                <w:kern w:val="0"/>
                <w:sz w:val="18"/>
                <w:szCs w:val="18"/>
                <w:lang w:bidi="ar"/>
              </w:rPr>
              <w:t>补贴农业机械</w:t>
            </w:r>
            <w:r>
              <w:rPr>
                <w:rFonts w:hint="eastAsia" w:ascii="宋体" w:hAnsi="宋体" w:cs="宋体"/>
                <w:color w:val="000000"/>
                <w:sz w:val="18"/>
                <w:szCs w:val="18"/>
              </w:rPr>
              <w:t>全年实际完成补贴农业机械</w:t>
            </w:r>
            <w:r>
              <w:rPr>
                <w:rFonts w:hint="eastAsia" w:ascii="宋体" w:hAnsi="宋体" w:cs="宋体"/>
                <w:color w:val="000000"/>
                <w:sz w:val="18"/>
                <w:szCs w:val="18"/>
                <w:lang w:val="en-US" w:eastAsia="zh-CN"/>
              </w:rPr>
              <w:t>63台</w:t>
            </w:r>
            <w:r>
              <w:rPr>
                <w:rFonts w:hint="eastAsia" w:ascii="宋体" w:hAnsi="宋体" w:cs="宋体"/>
                <w:color w:val="000000"/>
                <w:sz w:val="18"/>
                <w:szCs w:val="18"/>
              </w:rPr>
              <w:t>套；补</w:t>
            </w:r>
            <w:r>
              <w:rPr>
                <w:rFonts w:hint="eastAsia" w:ascii="宋体" w:hAnsi="宋体" w:cs="宋体"/>
                <w:color w:val="000000"/>
                <w:kern w:val="0"/>
                <w:sz w:val="18"/>
                <w:szCs w:val="18"/>
                <w:lang w:bidi="ar"/>
              </w:rPr>
              <w:t>贴政策公开率100%；资金支出进度符合财政部门规定要求；项目落实进度符合市级主管部门指导要求；补贴资金标准符合制度文件要求；无资金使用重大违规违纪问题；服务对象满意度100%。</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补贴农业机械（台套）</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补贴政策公开率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9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资金支出进度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符合财政部门规定要求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符合财政部门规定要求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102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r>
              <w:rPr>
                <w:rFonts w:hint="eastAsia" w:ascii="宋体" w:hAnsi="宋体" w:cs="宋体"/>
                <w:color w:val="000000"/>
                <w:kern w:val="0"/>
                <w:sz w:val="18"/>
                <w:szCs w:val="18"/>
                <w:lang w:bidi="ar"/>
              </w:rPr>
              <w:t>项目落实进度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符合市级主管部门指导要求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符合市级主管部门指导要求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补贴资金标准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符合制度文件要求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符合制度文件要求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both"/>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资金使用重大违规违纪问题</w:t>
            </w:r>
          </w:p>
        </w:tc>
        <w:tc>
          <w:tcPr>
            <w:tcW w:w="93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84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67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服务对象满意度</w:t>
            </w:r>
          </w:p>
        </w:tc>
        <w:tc>
          <w:tcPr>
            <w:tcW w:w="93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000000"/>
                <w:kern w:val="0"/>
                <w:sz w:val="18"/>
                <w:szCs w:val="18"/>
                <w:lang w:bidi="ar"/>
              </w:rPr>
              <w:t>≥80%</w:t>
            </w:r>
          </w:p>
        </w:tc>
        <w:tc>
          <w:tcPr>
            <w:tcW w:w="84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kern w:val="0"/>
                <w:sz w:val="18"/>
                <w:szCs w:val="18"/>
              </w:rPr>
            </w:pPr>
            <w:r>
              <w:rPr>
                <w:rFonts w:hint="eastAsia" w:ascii="宋体" w:hAnsi="宋体" w:cs="宋体"/>
                <w:color w:val="00000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1244"/>
        <w:gridCol w:w="675"/>
        <w:gridCol w:w="69"/>
        <w:gridCol w:w="501"/>
        <w:gridCol w:w="270"/>
        <w:gridCol w:w="300"/>
        <w:gridCol w:w="536"/>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通州区2021年中央财政畜禽粪污综合治理补助项目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3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c>
          <w:tcPr>
            <w:tcW w:w="7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33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王爽</w:t>
            </w:r>
          </w:p>
        </w:tc>
        <w:tc>
          <w:tcPr>
            <w:tcW w:w="74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13810301603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41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7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800</w:t>
            </w:r>
          </w:p>
        </w:tc>
        <w:tc>
          <w:tcPr>
            <w:tcW w:w="141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800</w:t>
            </w:r>
          </w:p>
        </w:tc>
        <w:tc>
          <w:tcPr>
            <w:tcW w:w="74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41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4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800</w:t>
            </w:r>
          </w:p>
        </w:tc>
        <w:tc>
          <w:tcPr>
            <w:tcW w:w="14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800</w:t>
            </w:r>
          </w:p>
        </w:tc>
        <w:tc>
          <w:tcPr>
            <w:tcW w:w="74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41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30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0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76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30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为了贯彻落实《农业农村部办公厅  财政部办公厅关于开展绿色种养循环农业试点工作的通知》（农办农﹝2021﹞10号）要求，深化畜禽养殖粪污资源化利用，打通种养循环堵点，持续推进化肥减量增效，促进粪肥还田，助力农业绿色高质量可持续发展，利用中央资金</w:t>
            </w:r>
            <w:r>
              <w:rPr>
                <w:rFonts w:hint="eastAsia" w:ascii="宋体" w:hAnsi="宋体" w:eastAsia="宋体" w:cs="宋体"/>
                <w:color w:val="auto"/>
                <w:kern w:val="0"/>
                <w:sz w:val="18"/>
                <w:szCs w:val="18"/>
                <w:lang w:val="en-US" w:eastAsia="zh-CN"/>
              </w:rPr>
              <w:t>800万元在永乐店镇、漷县镇、西集镇、于家务乡等四个乡镇8万亩地</w:t>
            </w:r>
            <w:r>
              <w:rPr>
                <w:rFonts w:hint="eastAsia" w:ascii="宋体" w:hAnsi="宋体" w:eastAsia="宋体" w:cs="宋体"/>
                <w:color w:val="auto"/>
                <w:kern w:val="0"/>
                <w:sz w:val="18"/>
                <w:szCs w:val="18"/>
                <w:lang w:eastAsia="zh-CN"/>
              </w:rPr>
              <w:t>开展通州区绿色种养循环农业试点项目。</w:t>
            </w:r>
          </w:p>
          <w:p>
            <w:pPr>
              <w:widowControl/>
              <w:spacing w:line="240" w:lineRule="exact"/>
              <w:jc w:val="center"/>
              <w:rPr>
                <w:rFonts w:hint="eastAsia" w:ascii="宋体" w:hAnsi="宋体" w:eastAsia="宋体" w:cs="宋体"/>
                <w:color w:val="auto"/>
                <w:kern w:val="0"/>
                <w:sz w:val="18"/>
                <w:szCs w:val="18"/>
                <w:lang w:eastAsia="zh-CN"/>
              </w:rPr>
            </w:pPr>
          </w:p>
        </w:tc>
        <w:tc>
          <w:tcPr>
            <w:tcW w:w="30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为了贯彻落实《农业农村部办公厅  财政部办公厅关于开展绿色种养循环农业试点工作的通知》（农办农﹝2021﹞10号）要求，深化畜禽养殖粪污资源化利用，打通种养循环堵点，持续推进化肥减量增效，促进粪肥还田，助力农业绿色高质量可持续发展，利用中央资金</w:t>
            </w:r>
            <w:r>
              <w:rPr>
                <w:rFonts w:hint="eastAsia" w:ascii="宋体" w:hAnsi="宋体" w:eastAsia="宋体" w:cs="宋体"/>
                <w:color w:val="auto"/>
                <w:kern w:val="0"/>
                <w:sz w:val="18"/>
                <w:szCs w:val="18"/>
                <w:lang w:val="en-US" w:eastAsia="zh-CN"/>
              </w:rPr>
              <w:t>800万元在永乐店镇、漷县镇、西集镇、于家务乡等四个乡镇8万亩地</w:t>
            </w:r>
            <w:r>
              <w:rPr>
                <w:rFonts w:hint="eastAsia" w:ascii="宋体" w:hAnsi="宋体" w:eastAsia="宋体" w:cs="宋体"/>
                <w:color w:val="auto"/>
                <w:kern w:val="0"/>
                <w:sz w:val="18"/>
                <w:szCs w:val="18"/>
                <w:lang w:eastAsia="zh-CN"/>
              </w:rPr>
              <w:t>开展通州区绿色种养循环农业试点项目。</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ab/>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三级指标</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年度</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指标值</w:t>
            </w:r>
          </w:p>
        </w:tc>
        <w:tc>
          <w:tcPr>
            <w:tcW w:w="67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实际</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完成值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还田亩数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8万亩</w:t>
            </w:r>
          </w:p>
        </w:tc>
        <w:tc>
          <w:tcPr>
            <w:tcW w:w="6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8万亩</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7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60" w:firstLineChars="200"/>
              <w:textAlignment w:val="auto"/>
              <w:rPr>
                <w:rFonts w:hint="eastAsia" w:ascii="宋体" w:hAnsi="宋体" w:eastAsia="宋体" w:cs="宋体"/>
                <w:color w:val="auto"/>
                <w:kern w:val="0"/>
                <w:sz w:val="18"/>
                <w:szCs w:val="18"/>
                <w:lang w:eastAsia="zh-CN"/>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畜禽粪污综合利用率</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w:t>
            </w:r>
          </w:p>
        </w:tc>
        <w:tc>
          <w:tcPr>
            <w:tcW w:w="6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r>
              <w:rPr>
                <w:rFonts w:hint="eastAsia" w:ascii="宋体" w:hAnsi="宋体" w:eastAsia="宋体" w:cs="宋体"/>
                <w:color w:val="auto"/>
                <w:kern w:val="0"/>
                <w:sz w:val="18"/>
                <w:szCs w:val="18"/>
                <w:lang w:val="en-US" w:eastAsia="zh-CN"/>
              </w:rPr>
              <w:t>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60" w:firstLineChars="200"/>
              <w:textAlignment w:val="auto"/>
              <w:rPr>
                <w:rFonts w:hint="eastAsia" w:ascii="宋体" w:hAnsi="宋体" w:eastAsia="宋体" w:cs="宋体"/>
                <w:color w:val="auto"/>
                <w:kern w:val="0"/>
                <w:sz w:val="18"/>
                <w:szCs w:val="18"/>
                <w:lang w:eastAsia="zh-CN"/>
              </w:rPr>
            </w:pPr>
          </w:p>
        </w:tc>
        <w:tc>
          <w:tcPr>
            <w:tcW w:w="108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时效指标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60" w:firstLineChars="200"/>
              <w:jc w:val="both"/>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2023年前完成</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2023年底前</w:t>
            </w:r>
          </w:p>
        </w:tc>
        <w:tc>
          <w:tcPr>
            <w:tcW w:w="6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2023年底前</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粪污处理费用</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800万元</w:t>
            </w:r>
          </w:p>
        </w:tc>
        <w:tc>
          <w:tcPr>
            <w:tcW w:w="6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800万元</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社会效益指标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深化畜禽养殖粪污资源化利用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有效深化</w:t>
            </w:r>
          </w:p>
        </w:tc>
        <w:tc>
          <w:tcPr>
            <w:tcW w:w="6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有效深化</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15</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15</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持续推进化肥减量增效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有所推进</w:t>
            </w:r>
          </w:p>
        </w:tc>
        <w:tc>
          <w:tcPr>
            <w:tcW w:w="6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有所推进</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15</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15</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0"/>
                <w:sz w:val="24"/>
                <w:szCs w:val="24"/>
                <w:lang w:val="en-US" w:eastAsia="zh-CN" w:bidi="ar-SA"/>
              </w:rPr>
            </w:pPr>
            <w:r>
              <w:rPr>
                <w:rFonts w:hint="eastAsia" w:ascii="宋体" w:hAnsi="宋体" w:eastAsia="宋体" w:cs="宋体"/>
                <w:color w:val="auto"/>
                <w:kern w:val="0"/>
                <w:sz w:val="18"/>
                <w:szCs w:val="18"/>
                <w:lang w:val="en-US" w:eastAsia="zh-CN"/>
              </w:rPr>
              <w:t>全年投诉次数</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2"/>
                <w:sz w:val="21"/>
                <w:szCs w:val="24"/>
                <w:lang w:val="en-US" w:eastAsia="zh-CN" w:bidi="ar-SA"/>
              </w:rPr>
            </w:pPr>
            <w:r>
              <w:rPr>
                <w:rFonts w:hint="eastAsia" w:ascii="宋体" w:hAnsi="宋体" w:cs="宋体"/>
                <w:color w:val="auto"/>
                <w:kern w:val="0"/>
                <w:sz w:val="18"/>
                <w:szCs w:val="18"/>
              </w:rPr>
              <w:t>≤5次</w:t>
            </w:r>
          </w:p>
        </w:tc>
        <w:tc>
          <w:tcPr>
            <w:tcW w:w="6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24"/>
                <w:szCs w:val="24"/>
                <w:lang w:val="en-US" w:eastAsia="zh-CN" w:bidi="ar-SA"/>
              </w:rPr>
            </w:pPr>
            <w:r>
              <w:rPr>
                <w:rFonts w:hint="eastAsia" w:ascii="宋体" w:hAnsi="宋体" w:cs="宋体"/>
                <w:color w:val="auto"/>
                <w:kern w:val="0"/>
                <w:sz w:val="18"/>
                <w:szCs w:val="18"/>
                <w:lang w:val="en-US" w:eastAsia="zh-CN"/>
              </w:rPr>
              <w:t>0次</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 w:val="18"/>
                <w:szCs w:val="18"/>
                <w:lang w:val="en-US" w:eastAsia="zh-CN" w:bidi="ar-SA"/>
              </w:rPr>
            </w:pPr>
            <w:r>
              <w:rPr>
                <w:rFonts w:hint="eastAsia" w:ascii="宋体" w:hAnsi="宋体" w:cs="宋体" w:eastAsiaTheme="minorEastAsia"/>
                <w:color w:val="000000"/>
                <w:kern w:val="0"/>
                <w:sz w:val="18"/>
                <w:szCs w:val="18"/>
                <w:lang w:val="en-US" w:eastAsia="zh-CN" w:bidi="ar-SA"/>
              </w:rPr>
              <w:t>10</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5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7"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中央财政农业生产发展资金（京财农指【2022】1566号）-农产品产地冷藏保鲜设施建设</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北京市通州区</w:t>
            </w:r>
            <w:r>
              <w:rPr>
                <w:rFonts w:hint="eastAsia" w:ascii="宋体" w:hAnsi="宋体" w:cs="宋体"/>
                <w:color w:val="000000"/>
                <w:sz w:val="20"/>
                <w:szCs w:val="20"/>
                <w:lang w:val="en-US" w:eastAsia="zh-CN"/>
              </w:rPr>
              <w:t>农业农村</w:t>
            </w:r>
            <w:r>
              <w:rPr>
                <w:rFonts w:hint="eastAsia" w:ascii="宋体" w:hAnsi="宋体" w:cs="宋体"/>
                <w:color w:val="000000"/>
                <w:sz w:val="20"/>
                <w:szCs w:val="20"/>
              </w:rPr>
              <w:t>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w:t>
            </w:r>
            <w:r>
              <w:rPr>
                <w:rFonts w:ascii="宋体" w:hAnsi="宋体" w:eastAsia="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张万福</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60552883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000000"/>
                <w:sz w:val="20"/>
                <w:szCs w:val="20"/>
                <w:lang w:val="en-US" w:eastAsia="zh-CN"/>
              </w:rPr>
              <w:t>100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000000"/>
                <w:sz w:val="20"/>
                <w:szCs w:val="20"/>
                <w:lang w:val="en-US" w:eastAsia="zh-CN"/>
              </w:rPr>
              <w:t>100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000000"/>
                <w:sz w:val="20"/>
                <w:szCs w:val="20"/>
                <w:lang w:val="en-US" w:eastAsia="zh-CN"/>
              </w:rPr>
              <w:t>100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100</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100</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000000"/>
                <w:sz w:val="20"/>
                <w:szCs w:val="20"/>
                <w:lang w:val="en-US" w:eastAsia="zh-CN"/>
              </w:rPr>
              <w:t>100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20"/>
                <w:szCs w:val="20"/>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209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000000"/>
                <w:kern w:val="0"/>
                <w:sz w:val="18"/>
                <w:szCs w:val="18"/>
                <w:lang w:bidi="ar"/>
              </w:rPr>
              <w:t>建设农产品产地冷藏保鲜设施1个</w:t>
            </w:r>
            <w:r>
              <w:rPr>
                <w:rFonts w:hint="eastAsia" w:ascii="宋体" w:hAnsi="宋体" w:cs="宋体"/>
                <w:color w:val="000000"/>
                <w:kern w:val="0"/>
                <w:sz w:val="18"/>
                <w:szCs w:val="18"/>
                <w:lang w:eastAsia="zh-CN" w:bidi="ar"/>
              </w:rPr>
              <w:t>。</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000000"/>
                <w:sz w:val="18"/>
                <w:szCs w:val="18"/>
              </w:rPr>
              <w:t>经与区财政局、镇（乡）及相关企业共同努力，顺利完成农产品产地冷藏保鲜设施建设工作</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8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eastAsia="zh-CN"/>
              </w:rPr>
              <w:t>农产品产地冷藏保鲜设施建设数量</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个</w:t>
            </w:r>
          </w:p>
        </w:tc>
        <w:tc>
          <w:tcPr>
            <w:tcW w:w="848"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lang w:val="en-US" w:eastAsia="zh-CN"/>
              </w:rPr>
              <w:t>个</w:t>
            </w:r>
          </w:p>
        </w:tc>
        <w:tc>
          <w:tcPr>
            <w:tcW w:w="557" w:type="dxa"/>
            <w:gridSpan w:val="2"/>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50</w:t>
            </w:r>
          </w:p>
        </w:tc>
        <w:tc>
          <w:tcPr>
            <w:tcW w:w="557" w:type="dxa"/>
            <w:gridSpan w:val="2"/>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both"/>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指标1：</w:t>
            </w:r>
            <w:r>
              <w:rPr>
                <w:rFonts w:hint="eastAsia" w:ascii="宋体" w:hAnsi="宋体" w:cs="宋体"/>
                <w:color w:val="000000"/>
                <w:kern w:val="0"/>
                <w:sz w:val="18"/>
                <w:szCs w:val="18"/>
                <w:lang w:bidi="ar"/>
              </w:rPr>
              <w:t>资金使用重大违规违纪问题</w:t>
            </w:r>
          </w:p>
        </w:tc>
        <w:tc>
          <w:tcPr>
            <w:tcW w:w="93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84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bidi="ar"/>
              </w:rPr>
              <w:t>无</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67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新型经营主体对农业生产发展资金项目实施的满意度</w:t>
            </w:r>
          </w:p>
        </w:tc>
        <w:tc>
          <w:tcPr>
            <w:tcW w:w="9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80</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通州区平房地区“煤改电”低谷电价补贴清算工作</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北京市通州区农业农村局 </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郭磊</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sz w:val="20"/>
                <w:szCs w:val="20"/>
                <w:lang w:val="en-US" w:eastAsia="zh-CN"/>
              </w:rPr>
              <w:t>15811159582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72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全面做好通州区平房住户“煤改电”低谷电价电费补贴清算工作，确保长期发挥“煤改电”减排成果，防止冬季燃煤取暖现象反弹。</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300" w:firstLineChars="200"/>
              <w:jc w:val="left"/>
              <w:rPr>
                <w:rFonts w:ascii="宋体" w:hAnsi="宋体" w:cs="宋体"/>
                <w:color w:val="auto"/>
                <w:kern w:val="0"/>
                <w:sz w:val="15"/>
                <w:szCs w:val="15"/>
              </w:rPr>
            </w:pPr>
            <w:r>
              <w:rPr>
                <w:rFonts w:hint="eastAsia" w:ascii="宋体" w:hAnsi="宋体" w:cs="宋体"/>
                <w:color w:val="000000"/>
                <w:kern w:val="0"/>
                <w:sz w:val="15"/>
                <w:szCs w:val="15"/>
              </w:rPr>
              <w:t>“煤改电”实施改造后，取暖成本与燃煤取暖费用基本持平，不会更多的增加百姓负担；而且电力价格相对稳定，降低了燃料价格波动风险，而且更低的低谷电量来降低生产成本。极大地提升了农村电力基础设施水平，改善了农村住户的生活质量。有效的改善大气污染，空气质量得到明显改善。</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享</w:t>
            </w:r>
            <w:r>
              <w:rPr>
                <w:rFonts w:hint="eastAsia" w:ascii="宋体" w:hAnsi="宋体" w:eastAsia="宋体" w:cs="宋体"/>
                <w:kern w:val="0"/>
                <w:sz w:val="18"/>
                <w:szCs w:val="18"/>
                <w:lang w:val="en-US" w:eastAsia="zh-CN"/>
              </w:rPr>
              <w:t>受低谷电价政策户数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12.8万户</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12.8万户</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享受“煤改电”低谷电价电费补贴用户覆盖率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7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电费补贴清算时间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2023年12月底</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rPr>
            </w:pPr>
            <w:r>
              <w:rPr>
                <w:rFonts w:hint="eastAsia" w:ascii="宋体" w:hAnsi="宋体" w:eastAsia="宋体" w:cs="宋体"/>
                <w:kern w:val="0"/>
                <w:sz w:val="18"/>
                <w:szCs w:val="18"/>
                <w:lang w:val="en-US" w:eastAsia="zh-CN"/>
              </w:rPr>
              <w:t>2023年12月底</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33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预算控制在总成本内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lang w:val="en-US" w:eastAsia="zh-CN"/>
              </w:rPr>
              <w:t>1000万元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rPr>
            </w:pPr>
            <w:r>
              <w:rPr>
                <w:rFonts w:hint="eastAsia" w:ascii="宋体" w:hAnsi="宋体" w:cs="宋体"/>
                <w:kern w:val="0"/>
                <w:sz w:val="18"/>
                <w:szCs w:val="18"/>
                <w:lang w:val="en-US" w:eastAsia="zh-CN"/>
              </w:rPr>
              <w:t>预计需支出</w:t>
            </w:r>
            <w:r>
              <w:rPr>
                <w:rFonts w:hint="eastAsia" w:ascii="宋体" w:hAnsi="宋体" w:eastAsia="宋体" w:cs="宋体"/>
                <w:kern w:val="0"/>
                <w:sz w:val="18"/>
                <w:szCs w:val="18"/>
                <w:lang w:val="en-US" w:eastAsia="zh-CN"/>
              </w:rPr>
              <w:t>4908.63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区财政局对年初预算进行了压减。目前正在申请追加区级资金</w:t>
            </w:r>
          </w:p>
        </w:tc>
      </w:tr>
      <w:tr>
        <w:tblPrEx>
          <w:tblCellMar>
            <w:top w:w="0" w:type="dxa"/>
            <w:left w:w="108" w:type="dxa"/>
            <w:bottom w:w="0" w:type="dxa"/>
            <w:right w:w="108" w:type="dxa"/>
          </w:tblCellMar>
        </w:tblPrEx>
        <w:trPr>
          <w:trHeight w:val="7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i w:val="0"/>
                <w:color w:val="000000"/>
                <w:sz w:val="18"/>
                <w:szCs w:val="18"/>
                <w:u w:val="none"/>
              </w:rPr>
              <w:t>有效降低了平房住户冬季使用电取暖负担电费的资金压力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明显减少</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仿宋_GB2312" w:hAnsi="仿宋_GB2312" w:eastAsia="仿宋_GB2312" w:cs="仿宋_GB2312"/>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改善了农村住户的生活质量，冬季取暖更加节能、安全、卫生、便捷。</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有效改善</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有效改善</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减煤量和对应的污染物排放量</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有效的改善大气污染。</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有效减少</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“煤改电”低谷电价用户</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 xml:space="preserve">  96%</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75"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p>
      <w:pPr>
        <w:spacing w:line="560" w:lineRule="exact"/>
        <w:rPr>
          <w:rFonts w:hint="default" w:ascii="仿宋_GB2312" w:eastAsia="仿宋_GB2312"/>
          <w:color w:val="auto"/>
          <w:sz w:val="32"/>
          <w:szCs w:val="32"/>
          <w:lang w:val="en-US"/>
        </w:rPr>
      </w:pP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美丽乡村建设项目</w:t>
            </w:r>
            <w:r>
              <w:rPr>
                <w:rFonts w:hint="eastAsia" w:ascii="宋体" w:hAnsi="宋体" w:cs="宋体"/>
                <w:color w:val="auto"/>
                <w:kern w:val="0"/>
                <w:sz w:val="18"/>
                <w:szCs w:val="18"/>
                <w:lang w:val="en-US" w:eastAsia="zh-CN"/>
              </w:rPr>
              <w:t>债券</w:t>
            </w:r>
            <w:r>
              <w:rPr>
                <w:rFonts w:hint="eastAsia" w:ascii="宋体" w:hAnsi="宋体" w:cs="宋体"/>
                <w:color w:val="auto"/>
                <w:kern w:val="0"/>
                <w:sz w:val="18"/>
                <w:szCs w:val="18"/>
              </w:rPr>
              <w:t>资金-京财</w:t>
            </w:r>
            <w:r>
              <w:rPr>
                <w:rFonts w:hint="eastAsia" w:ascii="宋体" w:hAnsi="宋体" w:cs="宋体"/>
                <w:color w:val="auto"/>
                <w:kern w:val="0"/>
                <w:sz w:val="18"/>
                <w:szCs w:val="18"/>
                <w:lang w:val="en-US" w:eastAsia="zh-CN"/>
              </w:rPr>
              <w:t>债</w:t>
            </w:r>
            <w:r>
              <w:rPr>
                <w:rFonts w:hint="eastAsia" w:ascii="宋体" w:hAnsi="宋体" w:cs="宋体"/>
                <w:color w:val="auto"/>
                <w:kern w:val="0"/>
                <w:sz w:val="18"/>
                <w:szCs w:val="18"/>
              </w:rPr>
              <w:t>指[2023]1009</w:t>
            </w:r>
            <w:r>
              <w:rPr>
                <w:rFonts w:hint="eastAsia" w:ascii="宋体" w:hAnsi="宋体" w:cs="宋体"/>
                <w:color w:val="auto"/>
                <w:kern w:val="0"/>
                <w:sz w:val="18"/>
                <w:szCs w:val="18"/>
                <w:lang w:val="en-US" w:eastAsia="zh-CN"/>
              </w:rPr>
              <w:t>号</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刘利</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15110167490</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8400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8400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8400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8400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8400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8400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2023年底前分批压茬、基本完成333个村庄的美丽乡村建设任务。</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按预期工作进度要求，基本完成333个村庄建设任务。</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指标1：启动建设村庄数量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333个</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333个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指标1：监理覆盖率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指标2：工程建设符合</w:t>
            </w:r>
            <w:r>
              <w:rPr>
                <w:rFonts w:hint="eastAsia" w:ascii="宋体" w:hAnsi="宋体" w:cs="宋体"/>
                <w:color w:val="auto"/>
                <w:kern w:val="0"/>
                <w:sz w:val="18"/>
                <w:szCs w:val="18"/>
                <w:lang w:val="en-US" w:eastAsia="zh-CN"/>
              </w:rPr>
              <w:t>相关规范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符合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指标1：基本完成建设任务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指标1：单个村庄建设平均成本</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5.23</w:t>
            </w:r>
            <w:r>
              <w:rPr>
                <w:rFonts w:hint="eastAsia" w:ascii="宋体" w:hAnsi="宋体" w:cs="宋体"/>
                <w:color w:val="auto"/>
                <w:kern w:val="0"/>
                <w:sz w:val="18"/>
                <w:szCs w:val="18"/>
              </w:rPr>
              <w:t>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5.23</w:t>
            </w:r>
            <w:r>
              <w:rPr>
                <w:rFonts w:hint="eastAsia" w:ascii="宋体" w:hAnsi="宋体" w:cs="宋体"/>
                <w:color w:val="auto"/>
                <w:kern w:val="0"/>
                <w:sz w:val="18"/>
                <w:szCs w:val="18"/>
              </w:rPr>
              <w:t>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指标1：乡风文明</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有效提升</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农村人居环境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显著提高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显著提高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4"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产业兴旺</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进一步提升</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val="en-US" w:eastAsia="zh-CN"/>
              </w:rPr>
              <w:t>生活富裕</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指标3：农村精细化管理水平</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持续提升</w:t>
            </w: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村民满意度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美丽乡村建设项目</w:t>
            </w:r>
            <w:r>
              <w:rPr>
                <w:rFonts w:hint="eastAsia" w:ascii="宋体" w:hAnsi="宋体" w:cs="宋体"/>
                <w:color w:val="auto"/>
                <w:kern w:val="0"/>
                <w:sz w:val="18"/>
                <w:szCs w:val="18"/>
                <w:lang w:val="en-US" w:eastAsia="zh-CN"/>
              </w:rPr>
              <w:t>债券</w:t>
            </w:r>
            <w:r>
              <w:rPr>
                <w:rFonts w:hint="eastAsia" w:ascii="宋体" w:hAnsi="宋体" w:cs="宋体"/>
                <w:color w:val="auto"/>
                <w:kern w:val="0"/>
                <w:sz w:val="18"/>
                <w:szCs w:val="18"/>
              </w:rPr>
              <w:t>资金-京财</w:t>
            </w:r>
            <w:r>
              <w:rPr>
                <w:rFonts w:hint="eastAsia" w:ascii="宋体" w:hAnsi="宋体" w:cs="宋体"/>
                <w:color w:val="auto"/>
                <w:kern w:val="0"/>
                <w:sz w:val="18"/>
                <w:szCs w:val="18"/>
                <w:lang w:val="en-US" w:eastAsia="zh-CN"/>
              </w:rPr>
              <w:t>债</w:t>
            </w:r>
            <w:r>
              <w:rPr>
                <w:rFonts w:hint="eastAsia" w:ascii="宋体" w:hAnsi="宋体" w:cs="宋体"/>
                <w:color w:val="auto"/>
                <w:kern w:val="0"/>
                <w:sz w:val="18"/>
                <w:szCs w:val="18"/>
              </w:rPr>
              <w:t>指[2023]</w:t>
            </w:r>
            <w:r>
              <w:rPr>
                <w:rFonts w:hint="eastAsia" w:ascii="宋体" w:hAnsi="宋体" w:cs="宋体"/>
                <w:color w:val="auto"/>
                <w:kern w:val="0"/>
                <w:sz w:val="18"/>
                <w:szCs w:val="18"/>
                <w:lang w:val="en-US" w:eastAsia="zh-CN"/>
              </w:rPr>
              <w:t>1202号</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刘利</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15110167490</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2023年底前分批压茬、基本完成333个村庄的美丽乡村建设任务。</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按预期工作进度要求，基本完成333个村庄建设任务。</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指标1：启动建设村庄数量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333个</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333个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指标1：监理覆盖率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指标2：工程建设符合</w:t>
            </w:r>
            <w:r>
              <w:rPr>
                <w:rFonts w:hint="eastAsia" w:ascii="宋体" w:hAnsi="宋体" w:cs="宋体"/>
                <w:color w:val="auto"/>
                <w:kern w:val="0"/>
                <w:sz w:val="18"/>
                <w:szCs w:val="18"/>
                <w:lang w:val="en-US" w:eastAsia="zh-CN"/>
              </w:rPr>
              <w:t>相关规范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符合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指标1：基本完成建设任务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指标1：单个村庄建设平均成本</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r>
              <w:rPr>
                <w:rFonts w:hint="eastAsia" w:ascii="宋体" w:hAnsi="宋体" w:cs="宋体"/>
                <w:color w:val="auto"/>
                <w:kern w:val="0"/>
                <w:sz w:val="18"/>
                <w:szCs w:val="18"/>
              </w:rPr>
              <w:t>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r>
              <w:rPr>
                <w:rFonts w:hint="eastAsia" w:ascii="宋体" w:hAnsi="宋体" w:cs="宋体"/>
                <w:color w:val="auto"/>
                <w:kern w:val="0"/>
                <w:sz w:val="18"/>
                <w:szCs w:val="18"/>
              </w:rPr>
              <w:t>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指标1：乡风文明</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有效提升</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农村人居环境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显著提高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显著提高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产业兴旺</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进一步提升</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val="en-US" w:eastAsia="zh-CN"/>
              </w:rPr>
              <w:t>生活富裕</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指标3：农村精细化管理水平</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持续提升</w:t>
            </w: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村民满意度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美丽乡村建设</w:t>
            </w:r>
            <w:r>
              <w:rPr>
                <w:rFonts w:hint="eastAsia" w:ascii="宋体" w:hAnsi="宋体" w:cs="宋体"/>
                <w:color w:val="auto"/>
                <w:kern w:val="0"/>
                <w:sz w:val="18"/>
                <w:szCs w:val="18"/>
                <w:lang w:val="en-US" w:eastAsia="zh-CN"/>
              </w:rPr>
              <w:t>工程项目第一笔</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刘利</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15110167490</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2023年底前分批压茬、基本完成333个村庄的美丽乡村建设任务。</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按预期工作进度要求，基本完成333个村庄建设任务。</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指标1：启动建设村庄数量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333个</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333个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指标1：监理覆盖率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指标2：工程建设符合</w:t>
            </w:r>
            <w:r>
              <w:rPr>
                <w:rFonts w:hint="eastAsia" w:ascii="宋体" w:hAnsi="宋体" w:cs="宋体"/>
                <w:color w:val="auto"/>
                <w:kern w:val="0"/>
                <w:sz w:val="18"/>
                <w:szCs w:val="18"/>
                <w:lang w:val="en-US" w:eastAsia="zh-CN"/>
              </w:rPr>
              <w:t>相关规范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符合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指标1：基本完成建设任务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指标1：单个村庄建设平均成本</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40.54</w:t>
            </w:r>
            <w:r>
              <w:rPr>
                <w:rFonts w:hint="eastAsia" w:ascii="宋体" w:hAnsi="宋体" w:cs="宋体"/>
                <w:color w:val="auto"/>
                <w:kern w:val="0"/>
                <w:sz w:val="18"/>
                <w:szCs w:val="18"/>
              </w:rPr>
              <w:t>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40.54</w:t>
            </w:r>
            <w:r>
              <w:rPr>
                <w:rFonts w:hint="eastAsia" w:ascii="宋体" w:hAnsi="宋体" w:cs="宋体"/>
                <w:color w:val="auto"/>
                <w:kern w:val="0"/>
                <w:sz w:val="18"/>
                <w:szCs w:val="18"/>
              </w:rPr>
              <w:t>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指标1：乡风文明</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有效提升</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农村人居环境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显著提高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显著提高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产业兴旺</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进一步提升</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val="en-US" w:eastAsia="zh-CN"/>
              </w:rPr>
              <w:t>生活富裕</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指标3：农村精细化管理水平</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持续提升</w:t>
            </w: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村民满意度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美丽乡村建设</w:t>
            </w:r>
            <w:r>
              <w:rPr>
                <w:rFonts w:hint="eastAsia" w:ascii="宋体" w:hAnsi="宋体" w:cs="宋体"/>
                <w:color w:val="auto"/>
                <w:kern w:val="0"/>
                <w:sz w:val="18"/>
                <w:szCs w:val="18"/>
                <w:lang w:val="en-US" w:eastAsia="zh-CN"/>
              </w:rPr>
              <w:t>工程项目第二笔</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刘利</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15110167490</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2023年底前分批压茬、基本完成333个村庄的美丽乡村建设任务。</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按预期工作进度要求，基本完成333个村庄建设任务。</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指标1：启动建设村庄数量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333个</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333个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指标1：监理覆盖率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指标2：工程建设符合</w:t>
            </w:r>
            <w:r>
              <w:rPr>
                <w:rFonts w:hint="eastAsia" w:ascii="宋体" w:hAnsi="宋体" w:cs="宋体"/>
                <w:color w:val="auto"/>
                <w:kern w:val="0"/>
                <w:sz w:val="18"/>
                <w:szCs w:val="18"/>
                <w:lang w:val="en-US" w:eastAsia="zh-CN"/>
              </w:rPr>
              <w:t>相关规范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符合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指标1：基本完成建设任务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指标1：单个村庄建设平均成本</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33</w:t>
            </w:r>
            <w:r>
              <w:rPr>
                <w:rFonts w:hint="eastAsia" w:ascii="宋体" w:hAnsi="宋体" w:cs="宋体"/>
                <w:color w:val="auto"/>
                <w:kern w:val="0"/>
                <w:sz w:val="18"/>
                <w:szCs w:val="18"/>
              </w:rPr>
              <w:t>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33</w:t>
            </w:r>
            <w:r>
              <w:rPr>
                <w:rFonts w:hint="eastAsia" w:ascii="宋体" w:hAnsi="宋体" w:cs="宋体"/>
                <w:color w:val="auto"/>
                <w:kern w:val="0"/>
                <w:sz w:val="18"/>
                <w:szCs w:val="18"/>
              </w:rPr>
              <w:t>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指标1：乡风文明</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有效提升</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有效提升</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农村人居环境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显著提高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显著提高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产业兴旺</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进一步提升</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val="en-US" w:eastAsia="zh-CN"/>
              </w:rPr>
              <w:t>生活富裕</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进一步提升</w:t>
            </w: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指标3：农村精细化管理水平</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持续提升</w:t>
            </w: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村民满意度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p>
      <w:pPr>
        <w:spacing w:line="560" w:lineRule="exact"/>
        <w:rPr>
          <w:rFonts w:hint="default" w:ascii="仿宋_GB2312" w:eastAsia="仿宋_GB2312"/>
          <w:color w:val="auto"/>
          <w:sz w:val="32"/>
          <w:szCs w:val="32"/>
          <w:lang w:val="en-US"/>
        </w:rPr>
      </w:pP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2021-2023年通州区"煤改电"电价电费补贴项目（尾款）</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北京市通州区农业农村局 </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郭磊</w:t>
            </w:r>
          </w:p>
        </w:tc>
        <w:tc>
          <w:tcPr>
            <w:tcW w:w="1050"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1581115952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458.21</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458.21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458.21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458.21</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458.21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458.21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72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全面做好通州区平房住户“煤改电”低谷电价电费补贴清算工作，确保长期发挥“煤改电”减排成果，防止冬季燃煤取暖现象反弹。</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300" w:firstLineChars="200"/>
              <w:jc w:val="left"/>
              <w:rPr>
                <w:rFonts w:ascii="宋体" w:hAnsi="宋体" w:cs="宋体"/>
                <w:color w:val="auto"/>
                <w:kern w:val="0"/>
                <w:sz w:val="15"/>
                <w:szCs w:val="15"/>
              </w:rPr>
            </w:pPr>
            <w:r>
              <w:rPr>
                <w:rFonts w:hint="eastAsia" w:ascii="宋体" w:hAnsi="宋体" w:cs="宋体"/>
                <w:color w:val="000000"/>
                <w:kern w:val="0"/>
                <w:sz w:val="15"/>
                <w:szCs w:val="15"/>
              </w:rPr>
              <w:t>“煤改电”实施改造后，取暖成本与燃煤取暖费用基本持平，不会更多的增加百姓负担；而且电力价格相对稳定，降低了燃料价格波动风险，而且更低的低谷电量来降低生产成本。极大地提升了农村电力基础设施水平，改善了农村住户的生活质量。有效的改善大气污染，空气质量得到明显改善。</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享</w:t>
            </w:r>
            <w:r>
              <w:rPr>
                <w:rFonts w:hint="eastAsia" w:ascii="宋体" w:hAnsi="宋体" w:eastAsia="宋体" w:cs="宋体"/>
                <w:kern w:val="0"/>
                <w:sz w:val="18"/>
                <w:szCs w:val="18"/>
                <w:lang w:val="en-US" w:eastAsia="zh-CN"/>
              </w:rPr>
              <w:t>受低谷电价政策户数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12.8万户</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12.8万户</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5"/>
                <w:szCs w:val="15"/>
                <w:lang w:val="en-US" w:eastAsia="zh-CN" w:bidi="ar-SA"/>
              </w:rPr>
            </w:pPr>
          </w:p>
        </w:tc>
      </w:tr>
      <w:tr>
        <w:tblPrEx>
          <w:tblCellMar>
            <w:top w:w="0" w:type="dxa"/>
            <w:left w:w="108" w:type="dxa"/>
            <w:bottom w:w="0" w:type="dxa"/>
            <w:right w:w="108" w:type="dxa"/>
          </w:tblCellMar>
        </w:tblPrEx>
        <w:trPr>
          <w:trHeight w:val="4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享受“煤改电”低谷电价电费补贴用户覆盖率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60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电费补贴清算时间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2023年12月底</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eastAsia="宋体" w:cs="宋体"/>
                <w:kern w:val="0"/>
                <w:sz w:val="18"/>
                <w:szCs w:val="18"/>
                <w:lang w:val="en-US" w:eastAsia="zh-CN"/>
              </w:rPr>
              <w:t>2023年12月底</w:t>
            </w:r>
            <w:r>
              <w:rPr>
                <w:rFonts w:hint="eastAsia" w:ascii="宋体" w:hAnsi="宋体" w:cs="宋体"/>
                <w:kern w:val="0"/>
                <w:sz w:val="18"/>
                <w:szCs w:val="18"/>
                <w:lang w:val="en-US" w:eastAsia="zh-CN"/>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预算控制在总成本内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458.21291万元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458.21291万元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i w:val="0"/>
                <w:color w:val="000000"/>
                <w:sz w:val="18"/>
                <w:szCs w:val="18"/>
                <w:u w:val="none"/>
              </w:rPr>
              <w:t>有效降低了平房住户冬季使用电取暖负担电费的资金压力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明显减少</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社会效益</w:t>
            </w:r>
          </w:p>
          <w:p>
            <w:pPr>
              <w:widowControl/>
              <w:spacing w:line="240" w:lineRule="exact"/>
              <w:jc w:val="center"/>
              <w:rPr>
                <w:rFonts w:hint="eastAsia" w:ascii="宋体" w:hAnsi="宋体" w:cs="宋体"/>
                <w:color w:val="auto"/>
                <w:kern w:val="0"/>
                <w:sz w:val="18"/>
                <w:szCs w:val="18"/>
              </w:rPr>
            </w:pPr>
            <w:r>
              <w:rPr>
                <w:rFonts w:hint="eastAsia" w:ascii="仿宋_GB2312" w:hAnsi="仿宋_GB2312" w:eastAsia="仿宋_GB2312" w:cs="仿宋_GB2312"/>
                <w:kern w:val="0"/>
                <w:sz w:val="21"/>
                <w:szCs w:val="21"/>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改善了农村住户的生活质量，冬季取暖更加节能、安全、卫生、便捷。</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有效改善</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有效改善</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减煤量和对应的污染物排放量</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有效的改善大气污染。</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有效减少</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“煤改电”低谷电价用户</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 xml:space="preserve">  96%</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75"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2023-2024年通州区"煤改电"电价电费补贴项目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北京市通州区农业农村局 </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郭磊</w:t>
            </w:r>
          </w:p>
        </w:tc>
        <w:tc>
          <w:tcPr>
            <w:tcW w:w="1050"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1581115952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72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全面做好通州区平房住户“煤改电”低谷电价电费补贴清算工作，确保长期发挥“煤改电”减排成果，防止冬季燃煤取暖现象反弹。</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300" w:firstLineChars="200"/>
              <w:jc w:val="left"/>
              <w:rPr>
                <w:rFonts w:ascii="宋体" w:hAnsi="宋体" w:cs="宋体"/>
                <w:color w:val="auto"/>
                <w:kern w:val="0"/>
                <w:sz w:val="15"/>
                <w:szCs w:val="15"/>
              </w:rPr>
            </w:pPr>
            <w:r>
              <w:rPr>
                <w:rFonts w:hint="eastAsia" w:ascii="宋体" w:hAnsi="宋体" w:cs="宋体"/>
                <w:color w:val="000000"/>
                <w:kern w:val="0"/>
                <w:sz w:val="15"/>
                <w:szCs w:val="15"/>
              </w:rPr>
              <w:t>“煤改电”实施改造后，取暖成本与燃煤取暖费用基本持平，不会更多的增加百姓负担；而且电力价格相对稳定，降低了燃料价格波动风险，而且更低的低谷电量来降低生产成本。极大地提升了农村电力基础设施水平，改善了农村住户的生活质量。有效的改善大气污染，空气质量得到明显改善。</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享</w:t>
            </w:r>
            <w:r>
              <w:rPr>
                <w:rFonts w:hint="eastAsia" w:ascii="宋体" w:hAnsi="宋体" w:eastAsia="宋体" w:cs="宋体"/>
                <w:kern w:val="0"/>
                <w:sz w:val="18"/>
                <w:szCs w:val="18"/>
                <w:lang w:val="en-US" w:eastAsia="zh-CN"/>
              </w:rPr>
              <w:t>受低谷电价政策户数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12.8万户</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12.8万户</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5"/>
                <w:szCs w:val="15"/>
                <w:lang w:val="en-US" w:eastAsia="zh-CN" w:bidi="ar-SA"/>
              </w:rPr>
            </w:pPr>
          </w:p>
        </w:tc>
      </w:tr>
      <w:tr>
        <w:tblPrEx>
          <w:tblCellMar>
            <w:top w:w="0" w:type="dxa"/>
            <w:left w:w="108" w:type="dxa"/>
            <w:bottom w:w="0" w:type="dxa"/>
            <w:right w:w="108" w:type="dxa"/>
          </w:tblCellMar>
        </w:tblPrEx>
        <w:trPr>
          <w:trHeight w:val="4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享受“煤改电”低谷电价电费补贴用户覆盖率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7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电费补贴清算时间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2023年12月底</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rPr>
            </w:pPr>
            <w:r>
              <w:rPr>
                <w:rFonts w:hint="eastAsia" w:ascii="宋体" w:hAnsi="宋体" w:eastAsia="宋体" w:cs="宋体"/>
                <w:kern w:val="0"/>
                <w:sz w:val="18"/>
                <w:szCs w:val="18"/>
                <w:lang w:val="en-US" w:eastAsia="zh-CN"/>
              </w:rPr>
              <w:t>2023年12月底</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预算控制在总成本内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4950</w:t>
            </w:r>
            <w:r>
              <w:rPr>
                <w:rFonts w:hint="eastAsia" w:ascii="宋体" w:hAnsi="宋体" w:eastAsia="宋体" w:cs="宋体"/>
                <w:kern w:val="0"/>
                <w:sz w:val="18"/>
                <w:szCs w:val="18"/>
                <w:lang w:val="en-US" w:eastAsia="zh-CN"/>
              </w:rPr>
              <w:t>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eastAsia="宋体" w:cs="宋体"/>
                <w:kern w:val="0"/>
                <w:sz w:val="18"/>
                <w:szCs w:val="18"/>
                <w:lang w:val="en-US" w:eastAsia="zh-CN"/>
              </w:rPr>
              <w:t>4950</w:t>
            </w:r>
            <w:r>
              <w:rPr>
                <w:rFonts w:hint="eastAsia" w:ascii="宋体" w:hAnsi="宋体" w:cs="宋体"/>
                <w:kern w:val="0"/>
                <w:sz w:val="18"/>
                <w:szCs w:val="18"/>
                <w:lang w:val="en-US" w:eastAsia="zh-CN"/>
              </w:rPr>
              <w:t>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i w:val="0"/>
                <w:color w:val="000000"/>
                <w:sz w:val="18"/>
                <w:szCs w:val="18"/>
                <w:u w:val="none"/>
              </w:rPr>
              <w:t>有效降低了平房住户冬季使用电取暖负担电费的资金压力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明显减少</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改善了农村住户的生活质量，冬季取暖更加节能、安全、卫生、便捷。</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有效改善</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有效改善</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减煤量和对应的污染物排放量</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有效的改善大气污染。</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有效减少</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“煤改电”低谷电价用户</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 xml:space="preserve">  95%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75"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通州区“煤改电”第三方长效管护服务及智能化监测系统运维项目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北京市通州区农业农村局 </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郭磊</w:t>
            </w:r>
          </w:p>
        </w:tc>
        <w:tc>
          <w:tcPr>
            <w:tcW w:w="1050"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1581115952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54.73</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54.73</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54.73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54.73</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54.73</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54.73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72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坚持“建管并重、长效运行、安全保障”的工作原则，按照“有制度、有标准、有队伍、有资金、有督查、有考核”的“六有”标准，建立健全区、镇、村、用户四级联动的长效管护机制。全面实现电力、燃气设施维护、户内线路维护、取暖设备维保服务、事故应急保障及智能化监测服务。</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5"/>
                <w:szCs w:val="15"/>
              </w:rPr>
            </w:pPr>
            <w:r>
              <w:rPr>
                <w:rFonts w:hint="eastAsia" w:ascii="宋体" w:hAnsi="宋体" w:eastAsia="宋体" w:cs="宋体"/>
                <w:kern w:val="0"/>
                <w:sz w:val="18"/>
                <w:szCs w:val="18"/>
                <w:lang w:val="en-US" w:eastAsia="zh-CN"/>
              </w:rPr>
              <w:t>已实现预期目标。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享</w:t>
            </w:r>
            <w:r>
              <w:rPr>
                <w:rFonts w:hint="eastAsia" w:ascii="宋体" w:hAnsi="宋体" w:eastAsia="宋体" w:cs="宋体"/>
                <w:kern w:val="0"/>
                <w:sz w:val="18"/>
                <w:szCs w:val="18"/>
                <w:lang w:val="en-US" w:eastAsia="zh-CN"/>
              </w:rPr>
              <w:t>受低谷电价政策户数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12.8万户</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12.8万户</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5"/>
                <w:szCs w:val="15"/>
                <w:lang w:val="en-US" w:eastAsia="zh-CN" w:bidi="ar-SA"/>
              </w:rPr>
            </w:pPr>
          </w:p>
        </w:tc>
      </w:tr>
      <w:tr>
        <w:tblPrEx>
          <w:tblCellMar>
            <w:top w:w="0" w:type="dxa"/>
            <w:left w:w="108" w:type="dxa"/>
            <w:bottom w:w="0" w:type="dxa"/>
            <w:right w:w="108" w:type="dxa"/>
          </w:tblCellMar>
        </w:tblPrEx>
        <w:trPr>
          <w:trHeight w:val="4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享受“煤改电”低谷电价电费补贴用户覆盖率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60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长效管护资金清算时间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2022年12月底</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2023年</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对服务企业进行最终评审</w:t>
            </w:r>
          </w:p>
        </w:tc>
      </w:tr>
      <w:tr>
        <w:tblPrEx>
          <w:tblCellMar>
            <w:top w:w="0" w:type="dxa"/>
            <w:left w:w="108" w:type="dxa"/>
            <w:bottom w:w="0" w:type="dxa"/>
            <w:right w:w="108" w:type="dxa"/>
          </w:tblCellMar>
        </w:tblPrEx>
        <w:trPr>
          <w:trHeight w:val="7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预算控制在总成本内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w:t>
            </w:r>
            <w:r>
              <w:rPr>
                <w:rFonts w:hint="eastAsia" w:ascii="宋体" w:hAnsi="宋体" w:cs="宋体"/>
                <w:color w:val="auto"/>
                <w:kern w:val="0"/>
                <w:sz w:val="18"/>
                <w:szCs w:val="18"/>
                <w:lang w:val="en-US" w:eastAsia="zh-CN"/>
              </w:rPr>
              <w:t>54.73</w:t>
            </w:r>
            <w:r>
              <w:rPr>
                <w:rFonts w:hint="eastAsia" w:ascii="宋体" w:hAnsi="宋体" w:eastAsia="宋体" w:cs="宋体"/>
                <w:kern w:val="0"/>
                <w:sz w:val="18"/>
                <w:szCs w:val="18"/>
                <w:lang w:val="en-US" w:eastAsia="zh-CN"/>
              </w:rPr>
              <w:t>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54.73</w:t>
            </w:r>
            <w:r>
              <w:rPr>
                <w:rFonts w:hint="eastAsia" w:ascii="宋体" w:hAnsi="宋体" w:eastAsia="宋体" w:cs="宋体"/>
                <w:kern w:val="0"/>
                <w:sz w:val="18"/>
                <w:szCs w:val="18"/>
                <w:lang w:val="en-US" w:eastAsia="zh-CN"/>
              </w:rPr>
              <w:t>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i w:val="0"/>
                <w:color w:val="000000"/>
                <w:sz w:val="18"/>
                <w:szCs w:val="18"/>
                <w:u w:val="none"/>
              </w:rPr>
              <w:t>有效降低了平房住户冬季使用电取暖负担电费的资金压力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社会效益</w:t>
            </w:r>
          </w:p>
          <w:p>
            <w:pPr>
              <w:widowControl/>
              <w:spacing w:line="240" w:lineRule="exact"/>
              <w:jc w:val="center"/>
              <w:rPr>
                <w:rFonts w:hint="eastAsia" w:ascii="宋体" w:hAnsi="宋体" w:cs="宋体"/>
                <w:color w:val="auto"/>
                <w:kern w:val="0"/>
                <w:sz w:val="18"/>
                <w:szCs w:val="18"/>
              </w:rPr>
            </w:pPr>
            <w:r>
              <w:rPr>
                <w:rFonts w:hint="eastAsia" w:ascii="仿宋_GB2312" w:hAnsi="仿宋_GB2312" w:eastAsia="仿宋_GB2312" w:cs="仿宋_GB2312"/>
                <w:kern w:val="0"/>
                <w:sz w:val="21"/>
                <w:szCs w:val="21"/>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改善了农村住户的生活质量，冬季取暖更加节能、安全、卫生、便捷。</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有效改善</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减煤量和对应的污染物排放量</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有效的改善大气污染。</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“煤改电”低谷电价用户</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 xml:space="preserve">  93%</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75"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通州区平房地区“煤改电”低谷电价补贴清算工作</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北京市通州区农业农村局 </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郭磊</w:t>
            </w:r>
          </w:p>
        </w:tc>
        <w:tc>
          <w:tcPr>
            <w:tcW w:w="1050"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1581115952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909.03</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909.03</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909.03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909.03</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909.03</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909.03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041"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全面做好通州区平房住户“煤改电”低谷电价电费补贴清算工作，确保长期发挥“煤改电”减排成果，防止冬季燃煤取暖现象反弹。</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000000"/>
                <w:kern w:val="0"/>
                <w:sz w:val="18"/>
                <w:szCs w:val="18"/>
              </w:rPr>
              <w:t>“煤改电”实施改造后，取暖成本与燃煤取暖费用基本持平，不会更多的增加百姓负担；而且电力价格相对稳定，降低了燃料价格波动风险，而且更低的低谷电量来降低生产成本。极大地提升了农村电力基础设施水平，改善了农村住户的生活质量。有效的改善大气污染，空气质量得到明显改善。</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享</w:t>
            </w:r>
            <w:r>
              <w:rPr>
                <w:rFonts w:hint="eastAsia" w:ascii="宋体" w:hAnsi="宋体" w:eastAsia="宋体" w:cs="宋体"/>
                <w:kern w:val="0"/>
                <w:sz w:val="18"/>
                <w:szCs w:val="18"/>
                <w:lang w:val="en-US" w:eastAsia="zh-CN"/>
              </w:rPr>
              <w:t>受低谷电价政策户数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12.8万户</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12.8万户</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享受“煤改电”低谷电价电费补贴用户覆盖率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7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电费补贴清算时间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2023年12月底</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rPr>
            </w:pPr>
            <w:r>
              <w:rPr>
                <w:rFonts w:hint="eastAsia" w:ascii="宋体" w:hAnsi="宋体" w:eastAsia="宋体" w:cs="宋体"/>
                <w:kern w:val="0"/>
                <w:sz w:val="18"/>
                <w:szCs w:val="18"/>
                <w:lang w:val="en-US" w:eastAsia="zh-CN"/>
              </w:rPr>
              <w:t>1000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2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预算控制在总成本内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909.03万元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i w:val="0"/>
                <w:color w:val="000000"/>
                <w:sz w:val="18"/>
                <w:szCs w:val="18"/>
                <w:u w:val="none"/>
                <w:lang w:val="en-US" w:eastAsia="zh-CN"/>
              </w:rPr>
              <w:t>待核算</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需待采暖季结束后，根据实际用电量确认补贴费用</w:t>
            </w:r>
          </w:p>
        </w:tc>
      </w:tr>
      <w:tr>
        <w:tblPrEx>
          <w:tblCellMar>
            <w:top w:w="0" w:type="dxa"/>
            <w:left w:w="108" w:type="dxa"/>
            <w:bottom w:w="0" w:type="dxa"/>
            <w:right w:w="108" w:type="dxa"/>
          </w:tblCellMar>
        </w:tblPrEx>
        <w:trPr>
          <w:trHeight w:val="7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i w:val="0"/>
                <w:color w:val="000000"/>
                <w:sz w:val="18"/>
                <w:szCs w:val="18"/>
                <w:u w:val="none"/>
              </w:rPr>
              <w:t>有效降低了平房住户冬季使用电取暖负担电费的资金压力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明显减少</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改善了农村住户的生活质量，冬季取暖更加节能、安全、卫生、便捷。</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有效改善</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有效改善</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减煤量和对应的污染物排放量</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有效的改善大气污染。</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有效减少</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sz w:val="18"/>
                <w:szCs w:val="18"/>
                <w:u w:val="none"/>
              </w:rPr>
              <w:t>“煤改电”低谷电价用户</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 xml:space="preserve">  96%</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75"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60" w:type="dxa"/>
        <w:jc w:val="center"/>
        <w:tblLayout w:type="fixed"/>
        <w:tblCellMar>
          <w:top w:w="0" w:type="dxa"/>
          <w:left w:w="108" w:type="dxa"/>
          <w:bottom w:w="0" w:type="dxa"/>
          <w:right w:w="108" w:type="dxa"/>
        </w:tblCellMar>
      </w:tblPr>
      <w:tblGrid>
        <w:gridCol w:w="579"/>
        <w:gridCol w:w="973"/>
        <w:gridCol w:w="1089"/>
        <w:gridCol w:w="721"/>
        <w:gridCol w:w="1117"/>
        <w:gridCol w:w="169"/>
        <w:gridCol w:w="943"/>
        <w:gridCol w:w="850"/>
        <w:gridCol w:w="203"/>
        <w:gridCol w:w="355"/>
        <w:gridCol w:w="418"/>
        <w:gridCol w:w="140"/>
        <w:gridCol w:w="698"/>
        <w:gridCol w:w="705"/>
      </w:tblGrid>
      <w:tr>
        <w:tblPrEx>
          <w:tblCellMar>
            <w:top w:w="0" w:type="dxa"/>
            <w:left w:w="108" w:type="dxa"/>
            <w:bottom w:w="0" w:type="dxa"/>
            <w:right w:w="108" w:type="dxa"/>
          </w:tblCellMar>
        </w:tblPrEx>
        <w:trPr>
          <w:trHeight w:val="689" w:hRule="exact"/>
          <w:jc w:val="center"/>
        </w:trPr>
        <w:tc>
          <w:tcPr>
            <w:tcW w:w="8960"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488" w:hRule="atLeast"/>
          <w:jc w:val="center"/>
        </w:trPr>
        <w:tc>
          <w:tcPr>
            <w:tcW w:w="8960"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40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规范提升农民专业合作社项目资金</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w:t>
            </w:r>
            <w:r>
              <w:rPr>
                <w:rFonts w:hint="eastAsia" w:ascii="宋体" w:hAnsi="宋体" w:cs="宋体"/>
                <w:color w:val="auto"/>
                <w:kern w:val="0"/>
                <w:sz w:val="18"/>
                <w:szCs w:val="18"/>
                <w:lang w:val="en-US" w:eastAsia="zh-CN"/>
              </w:rPr>
              <w:t>农业农村</w:t>
            </w:r>
            <w:r>
              <w:rPr>
                <w:rFonts w:hint="eastAsia" w:ascii="宋体" w:hAnsi="宋体" w:cs="宋体"/>
                <w:color w:val="auto"/>
                <w:kern w:val="0"/>
                <w:sz w:val="18"/>
                <w:szCs w:val="18"/>
              </w:rPr>
              <w:t>局</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王子江</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81586569</w:t>
            </w:r>
          </w:p>
        </w:tc>
      </w:tr>
      <w:tr>
        <w:tblPrEx>
          <w:tblCellMar>
            <w:top w:w="0" w:type="dxa"/>
            <w:left w:w="108" w:type="dxa"/>
            <w:bottom w:w="0" w:type="dxa"/>
            <w:right w:w="108" w:type="dxa"/>
          </w:tblCellMar>
        </w:tblPrEx>
        <w:trPr>
          <w:trHeight w:val="876" w:hRule="exact"/>
          <w:jc w:val="center"/>
        </w:trPr>
        <w:tc>
          <w:tcPr>
            <w:tcW w:w="15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rPr>
            </w:pPr>
          </w:p>
        </w:tc>
        <w:tc>
          <w:tcPr>
            <w:tcW w:w="1053" w:type="dxa"/>
            <w:gridSpan w:val="2"/>
            <w:tcBorders>
              <w:top w:val="nil"/>
              <w:left w:val="nil"/>
              <w:bottom w:val="single" w:color="auto" w:sz="4" w:space="0"/>
              <w:right w:val="single" w:color="auto" w:sz="4" w:space="0"/>
            </w:tcBorders>
            <w:noWrap w:val="0"/>
            <w:vAlign w:val="center"/>
          </w:tcPr>
          <w:tbl>
            <w:tblPr>
              <w:tblStyle w:val="12"/>
              <w:tblW w:w="261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10"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93.568279</w:t>
                  </w:r>
                </w:p>
              </w:tc>
            </w:tr>
          </w:tbl>
          <w:p>
            <w:pPr>
              <w:widowControl/>
              <w:spacing w:line="240" w:lineRule="exact"/>
              <w:jc w:val="center"/>
              <w:rPr>
                <w:rFonts w:ascii="宋体" w:hAnsi="宋体" w:cs="宋体"/>
                <w:color w:val="auto"/>
                <w:kern w:val="0"/>
                <w:sz w:val="18"/>
                <w:szCs w:val="18"/>
              </w:rPr>
            </w:pP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5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1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6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351" w:hRule="exac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01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通过对农民专业合作社进行奖励，提升农民合作社规范化建设，推动农民合作社高质量发展</w:t>
            </w:r>
            <w:r>
              <w:rPr>
                <w:rFonts w:hint="eastAsia" w:ascii="宋体" w:hAnsi="宋体" w:cs="宋体"/>
                <w:color w:val="auto"/>
                <w:kern w:val="0"/>
                <w:sz w:val="18"/>
                <w:szCs w:val="18"/>
                <w:lang w:eastAsia="zh-CN"/>
              </w:rPr>
              <w:t>。</w:t>
            </w:r>
          </w:p>
        </w:tc>
        <w:tc>
          <w:tcPr>
            <w:tcW w:w="336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通过对农民专业合作社开展综合考评，并对考核优秀的前11家合作社予以奖励，不断增强农民合作社经济实力、发展活力和带动能力，进而实现项目农民专业合作社规范运行水平明显提高的目标。</w:t>
            </w:r>
          </w:p>
        </w:tc>
      </w:tr>
      <w:tr>
        <w:tblPrEx>
          <w:tblCellMar>
            <w:top w:w="0" w:type="dxa"/>
            <w:left w:w="108" w:type="dxa"/>
            <w:bottom w:w="0" w:type="dxa"/>
            <w:right w:w="108" w:type="dxa"/>
          </w:tblCellMar>
        </w:tblPrEx>
        <w:trPr>
          <w:trHeight w:val="810" w:hRule="exact"/>
          <w:jc w:val="center"/>
        </w:trPr>
        <w:tc>
          <w:tcPr>
            <w:tcW w:w="5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奖励补助合作社数量</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rPr>
              <w:t>≥</w:t>
            </w:r>
            <w:r>
              <w:rPr>
                <w:rFonts w:hint="eastAsia" w:ascii="宋体" w:hAnsi="宋体" w:eastAsia="宋体" w:cs="宋体"/>
                <w:color w:val="auto"/>
                <w:kern w:val="0"/>
                <w:sz w:val="18"/>
                <w:szCs w:val="18"/>
              </w:rPr>
              <w:t>10</w:t>
            </w:r>
            <w:r>
              <w:rPr>
                <w:rFonts w:hint="default" w:ascii="宋体" w:hAnsi="宋体" w:eastAsia="宋体" w:cs="宋体"/>
                <w:color w:val="auto"/>
                <w:kern w:val="0"/>
                <w:sz w:val="18"/>
                <w:szCs w:val="18"/>
              </w:rPr>
              <w:t>个</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rPr>
              <w:t>11个</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农民合作社发展质量</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稳步提高</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稳步提高</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68"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农民合作社经营服务能力</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得到提升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得到提升</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08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农民合作社带动效应</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进一步增强</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进一步增强</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r>
              <w:rPr>
                <w:rFonts w:hint="eastAsia" w:ascii="宋体" w:hAnsi="宋体" w:eastAsia="宋体" w:cs="宋体"/>
                <w:color w:val="auto"/>
                <w:kern w:val="0"/>
                <w:sz w:val="18"/>
                <w:szCs w:val="18"/>
              </w:rPr>
              <w:t>　</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奖励补助合作社满意度</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rPr>
              <w:t>≥</w:t>
            </w:r>
            <w:r>
              <w:rPr>
                <w:rFonts w:hint="eastAsia" w:ascii="宋体" w:hAnsi="宋体" w:eastAsia="宋体" w:cs="宋体"/>
                <w:color w:val="auto"/>
                <w:kern w:val="0"/>
                <w:sz w:val="18"/>
                <w:szCs w:val="18"/>
              </w:rPr>
              <w:t>90%</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r>
              <w:rPr>
                <w:rFonts w:hint="eastAsia" w:ascii="宋体" w:hAnsi="宋体" w:eastAsia="宋体" w:cs="宋体"/>
                <w:color w:val="auto"/>
                <w:kern w:val="0"/>
                <w:sz w:val="18"/>
                <w:szCs w:val="18"/>
              </w:rPr>
              <w:t>　</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83" w:hRule="exact"/>
          <w:jc w:val="center"/>
        </w:trPr>
        <w:tc>
          <w:tcPr>
            <w:tcW w:w="644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60" w:type="dxa"/>
        <w:jc w:val="center"/>
        <w:tblLayout w:type="fixed"/>
        <w:tblCellMar>
          <w:top w:w="0" w:type="dxa"/>
          <w:left w:w="108" w:type="dxa"/>
          <w:bottom w:w="0" w:type="dxa"/>
          <w:right w:w="108" w:type="dxa"/>
        </w:tblCellMar>
      </w:tblPr>
      <w:tblGrid>
        <w:gridCol w:w="579"/>
        <w:gridCol w:w="973"/>
        <w:gridCol w:w="1089"/>
        <w:gridCol w:w="721"/>
        <w:gridCol w:w="1117"/>
        <w:gridCol w:w="169"/>
        <w:gridCol w:w="943"/>
        <w:gridCol w:w="850"/>
        <w:gridCol w:w="203"/>
        <w:gridCol w:w="355"/>
        <w:gridCol w:w="418"/>
        <w:gridCol w:w="247"/>
        <w:gridCol w:w="591"/>
        <w:gridCol w:w="705"/>
      </w:tblGrid>
      <w:tr>
        <w:tblPrEx>
          <w:tblCellMar>
            <w:top w:w="0" w:type="dxa"/>
            <w:left w:w="108" w:type="dxa"/>
            <w:bottom w:w="0" w:type="dxa"/>
            <w:right w:w="108" w:type="dxa"/>
          </w:tblCellMar>
        </w:tblPrEx>
        <w:trPr>
          <w:trHeight w:val="689" w:hRule="exact"/>
          <w:jc w:val="center"/>
        </w:trPr>
        <w:tc>
          <w:tcPr>
            <w:tcW w:w="8960"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488" w:hRule="atLeast"/>
          <w:jc w:val="center"/>
        </w:trPr>
        <w:tc>
          <w:tcPr>
            <w:tcW w:w="8960"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40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扶持壮大村级集体经济项目区级补助资金</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w:t>
            </w:r>
            <w:r>
              <w:rPr>
                <w:rFonts w:hint="eastAsia" w:ascii="宋体" w:hAnsi="宋体" w:cs="宋体"/>
                <w:color w:val="auto"/>
                <w:kern w:val="0"/>
                <w:sz w:val="18"/>
                <w:szCs w:val="18"/>
                <w:lang w:val="en-US" w:eastAsia="zh-CN"/>
              </w:rPr>
              <w:t>农业农村</w:t>
            </w:r>
            <w:r>
              <w:rPr>
                <w:rFonts w:hint="eastAsia" w:ascii="宋体" w:hAnsi="宋体" w:cs="宋体"/>
                <w:color w:val="auto"/>
                <w:kern w:val="0"/>
                <w:sz w:val="18"/>
                <w:szCs w:val="18"/>
              </w:rPr>
              <w:t>局</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王子江</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81586569</w:t>
            </w:r>
          </w:p>
        </w:tc>
      </w:tr>
      <w:tr>
        <w:tblPrEx>
          <w:tblCellMar>
            <w:top w:w="0" w:type="dxa"/>
            <w:left w:w="108" w:type="dxa"/>
            <w:bottom w:w="0" w:type="dxa"/>
            <w:right w:w="108" w:type="dxa"/>
          </w:tblCellMar>
        </w:tblPrEx>
        <w:trPr>
          <w:trHeight w:val="876" w:hRule="exact"/>
          <w:jc w:val="center"/>
        </w:trPr>
        <w:tc>
          <w:tcPr>
            <w:tcW w:w="15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93.63</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93.63</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93.568279</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99.93%</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3" w:type="dxa"/>
            <w:gridSpan w:val="2"/>
            <w:tcBorders>
              <w:top w:val="nil"/>
              <w:left w:val="nil"/>
              <w:bottom w:val="single" w:color="auto" w:sz="4" w:space="0"/>
              <w:right w:val="single" w:color="auto" w:sz="4" w:space="0"/>
            </w:tcBorders>
            <w:noWrap w:val="0"/>
            <w:vAlign w:val="center"/>
          </w:tcPr>
          <w:tbl>
            <w:tblPr>
              <w:tblStyle w:val="12"/>
              <w:tblW w:w="26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10"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93.568279</w:t>
                  </w:r>
                </w:p>
              </w:tc>
            </w:tr>
          </w:tbl>
          <w:p>
            <w:pPr>
              <w:widowControl/>
              <w:spacing w:line="240" w:lineRule="exact"/>
              <w:jc w:val="center"/>
              <w:rPr>
                <w:rFonts w:ascii="宋体" w:hAnsi="宋体" w:cs="宋体"/>
                <w:color w:val="auto"/>
                <w:kern w:val="0"/>
                <w:sz w:val="18"/>
                <w:szCs w:val="18"/>
              </w:rPr>
            </w:pP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93.63</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93.63</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93.568279</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99.93%</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5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1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6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326" w:hRule="exac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01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到 2022 年底前，实现帮扶项目村集体经济组织年集体经营性收入（包括主营业务收入、其他业务收入、投资收益）增长率超过20%。</w:t>
            </w:r>
          </w:p>
        </w:tc>
        <w:tc>
          <w:tcPr>
            <w:tcW w:w="336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2022年扶持7个集体经济相对薄弱村开展光伏发电项目建设，通过产业项目带动，实现</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个项目村集体</w:t>
            </w:r>
            <w:r>
              <w:rPr>
                <w:rFonts w:hint="eastAsia" w:ascii="宋体" w:hAnsi="宋体" w:cs="宋体"/>
                <w:color w:val="auto"/>
                <w:kern w:val="0"/>
                <w:sz w:val="18"/>
                <w:szCs w:val="18"/>
                <w:lang w:eastAsia="zh-CN"/>
              </w:rPr>
              <w:t>经营性</w:t>
            </w:r>
            <w:r>
              <w:rPr>
                <w:rFonts w:hint="eastAsia" w:ascii="宋体" w:hAnsi="宋体" w:cs="宋体"/>
                <w:color w:val="auto"/>
                <w:kern w:val="0"/>
                <w:sz w:val="18"/>
                <w:szCs w:val="18"/>
              </w:rPr>
              <w:t>收入增长</w:t>
            </w:r>
            <w:r>
              <w:rPr>
                <w:rFonts w:hint="eastAsia" w:ascii="宋体" w:hAnsi="宋体" w:cs="宋体"/>
                <w:color w:val="auto"/>
                <w:kern w:val="0"/>
                <w:sz w:val="18"/>
                <w:szCs w:val="18"/>
                <w:lang w:eastAsia="zh-CN"/>
              </w:rPr>
              <w:t>率超过</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810" w:hRule="exact"/>
          <w:jc w:val="center"/>
        </w:trPr>
        <w:tc>
          <w:tcPr>
            <w:tcW w:w="5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扶持集体经济发展村数量</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≥5个</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7</w:t>
            </w:r>
            <w:r>
              <w:rPr>
                <w:rFonts w:hint="eastAsia" w:ascii="宋体" w:hAnsi="宋体" w:cs="宋体"/>
                <w:color w:val="auto"/>
                <w:kern w:val="0"/>
                <w:sz w:val="18"/>
                <w:szCs w:val="18"/>
                <w:lang w:val="en-US" w:eastAsia="zh-CN"/>
              </w:rPr>
              <w:t>个</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2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帮扶项目村的遴选</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符合政策要求</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符合政策要求</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2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832"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项目村年集体经营性收入增长率</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08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实现村集体形成可持续发展产业</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效果显著</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效果显著</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帮扶项目村满意度</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83" w:hRule="exact"/>
          <w:jc w:val="center"/>
        </w:trPr>
        <w:tc>
          <w:tcPr>
            <w:tcW w:w="644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12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60" w:type="dxa"/>
        <w:jc w:val="center"/>
        <w:tblLayout w:type="fixed"/>
        <w:tblCellMar>
          <w:top w:w="0" w:type="dxa"/>
          <w:left w:w="108" w:type="dxa"/>
          <w:bottom w:w="0" w:type="dxa"/>
          <w:right w:w="108" w:type="dxa"/>
        </w:tblCellMar>
      </w:tblPr>
      <w:tblGrid>
        <w:gridCol w:w="579"/>
        <w:gridCol w:w="973"/>
        <w:gridCol w:w="1089"/>
        <w:gridCol w:w="721"/>
        <w:gridCol w:w="1117"/>
        <w:gridCol w:w="169"/>
        <w:gridCol w:w="943"/>
        <w:gridCol w:w="850"/>
        <w:gridCol w:w="203"/>
        <w:gridCol w:w="355"/>
        <w:gridCol w:w="418"/>
        <w:gridCol w:w="140"/>
        <w:gridCol w:w="698"/>
        <w:gridCol w:w="705"/>
      </w:tblGrid>
      <w:tr>
        <w:tblPrEx>
          <w:tblCellMar>
            <w:top w:w="0" w:type="dxa"/>
            <w:left w:w="108" w:type="dxa"/>
            <w:bottom w:w="0" w:type="dxa"/>
            <w:right w:w="108" w:type="dxa"/>
          </w:tblCellMar>
        </w:tblPrEx>
        <w:trPr>
          <w:trHeight w:val="689" w:hRule="exact"/>
          <w:jc w:val="center"/>
        </w:trPr>
        <w:tc>
          <w:tcPr>
            <w:tcW w:w="8960"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488" w:hRule="atLeast"/>
          <w:jc w:val="center"/>
        </w:trPr>
        <w:tc>
          <w:tcPr>
            <w:tcW w:w="8960"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40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农民专业合作社规范提升</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w:t>
            </w:r>
            <w:r>
              <w:rPr>
                <w:rFonts w:hint="eastAsia" w:ascii="宋体" w:hAnsi="宋体" w:cs="宋体"/>
                <w:color w:val="auto"/>
                <w:kern w:val="0"/>
                <w:sz w:val="18"/>
                <w:szCs w:val="18"/>
                <w:lang w:val="en-US" w:eastAsia="zh-CN"/>
              </w:rPr>
              <w:t>农业农村</w:t>
            </w:r>
            <w:r>
              <w:rPr>
                <w:rFonts w:hint="eastAsia" w:ascii="宋体" w:hAnsi="宋体" w:cs="宋体"/>
                <w:color w:val="auto"/>
                <w:kern w:val="0"/>
                <w:sz w:val="18"/>
                <w:szCs w:val="18"/>
              </w:rPr>
              <w:t>局</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王子江</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81586569</w:t>
            </w:r>
          </w:p>
        </w:tc>
      </w:tr>
      <w:tr>
        <w:tblPrEx>
          <w:tblCellMar>
            <w:top w:w="0" w:type="dxa"/>
            <w:left w:w="108" w:type="dxa"/>
            <w:bottom w:w="0" w:type="dxa"/>
            <w:right w:w="108" w:type="dxa"/>
          </w:tblCellMar>
        </w:tblPrEx>
        <w:trPr>
          <w:trHeight w:val="876" w:hRule="exact"/>
          <w:jc w:val="center"/>
        </w:trPr>
        <w:tc>
          <w:tcPr>
            <w:tcW w:w="15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18.1488</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3.63%</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w:t>
            </w:r>
            <w:r>
              <w:rPr>
                <w:rFonts w:hint="eastAsia" w:ascii="宋体" w:hAnsi="宋体" w:cs="宋体"/>
                <w:color w:val="auto"/>
                <w:kern w:val="0"/>
                <w:sz w:val="18"/>
                <w:szCs w:val="18"/>
                <w:lang w:val="en-US" w:eastAsia="zh-CN"/>
              </w:rPr>
              <w:t>4</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500</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500</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18.1488</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3.63%</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5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1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6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351" w:hRule="exac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01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农民专业合作社规范提升。</w:t>
            </w:r>
          </w:p>
        </w:tc>
        <w:tc>
          <w:tcPr>
            <w:tcW w:w="336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eastAsia="宋体" w:cs="宋体"/>
                <w:color w:val="auto"/>
                <w:kern w:val="0"/>
                <w:sz w:val="18"/>
                <w:szCs w:val="18"/>
                <w:lang w:eastAsia="zh-CN"/>
              </w:rPr>
              <w:t>通过开展农民专业合作社培训及材料制发，进一步提升农民专业合作社规范化水平。</w:t>
            </w:r>
          </w:p>
        </w:tc>
      </w:tr>
      <w:tr>
        <w:tblPrEx>
          <w:tblCellMar>
            <w:top w:w="0" w:type="dxa"/>
            <w:left w:w="108" w:type="dxa"/>
            <w:bottom w:w="0" w:type="dxa"/>
            <w:right w:w="108" w:type="dxa"/>
          </w:tblCellMar>
        </w:tblPrEx>
        <w:trPr>
          <w:trHeight w:val="810" w:hRule="exact"/>
          <w:jc w:val="center"/>
        </w:trPr>
        <w:tc>
          <w:tcPr>
            <w:tcW w:w="5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支持农民合作社质量提升整区推进区</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w:t>
            </w:r>
            <w:r>
              <w:rPr>
                <w:rFonts w:hint="default" w:ascii="宋体" w:hAnsi="宋体" w:eastAsia="宋体" w:cs="宋体"/>
                <w:color w:val="auto"/>
                <w:kern w:val="0"/>
                <w:sz w:val="18"/>
                <w:szCs w:val="18"/>
              </w:rPr>
              <w:t>个</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rPr>
              <w:t>1</w:t>
            </w:r>
            <w:r>
              <w:rPr>
                <w:rFonts w:hint="eastAsia" w:ascii="宋体" w:hAnsi="宋体" w:cs="宋体"/>
                <w:color w:val="auto"/>
                <w:kern w:val="0"/>
                <w:sz w:val="18"/>
                <w:szCs w:val="18"/>
                <w:lang w:val="en-US" w:eastAsia="zh-CN"/>
              </w:rPr>
              <w:t>个</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832"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9"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农民合作社生产经营能力和带动能力得到稳定提升</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得到提升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得到提升</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cs="宋体"/>
                <w:color w:val="auto"/>
                <w:kern w:val="0"/>
                <w:sz w:val="18"/>
                <w:szCs w:val="18"/>
              </w:rPr>
              <w:t>服务对象满意度</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w:t>
            </w:r>
            <w:r>
              <w:rPr>
                <w:rFonts w:hint="eastAsia" w:ascii="宋体" w:hAnsi="宋体" w:eastAsia="宋体" w:cs="宋体"/>
                <w:color w:val="auto"/>
                <w:kern w:val="0"/>
                <w:sz w:val="18"/>
                <w:szCs w:val="18"/>
              </w:rPr>
              <w:t>0%</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r>
              <w:rPr>
                <w:rFonts w:hint="eastAsia" w:ascii="宋体" w:hAnsi="宋体" w:eastAsia="宋体" w:cs="宋体"/>
                <w:color w:val="auto"/>
                <w:kern w:val="0"/>
                <w:sz w:val="18"/>
                <w:szCs w:val="18"/>
              </w:rPr>
              <w:t>　</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83" w:hRule="exact"/>
          <w:jc w:val="center"/>
        </w:trPr>
        <w:tc>
          <w:tcPr>
            <w:tcW w:w="644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w:t>
            </w:r>
            <w:r>
              <w:rPr>
                <w:rFonts w:hint="eastAsia" w:ascii="宋体" w:hAnsi="宋体" w:cs="宋体"/>
                <w:color w:val="auto"/>
                <w:kern w:val="0"/>
                <w:sz w:val="18"/>
                <w:szCs w:val="18"/>
                <w:lang w:val="en-US" w:eastAsia="zh-CN"/>
              </w:rPr>
              <w:t>4</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60" w:type="dxa"/>
        <w:jc w:val="center"/>
        <w:tblLayout w:type="fixed"/>
        <w:tblCellMar>
          <w:top w:w="0" w:type="dxa"/>
          <w:left w:w="108" w:type="dxa"/>
          <w:bottom w:w="0" w:type="dxa"/>
          <w:right w:w="108" w:type="dxa"/>
        </w:tblCellMar>
      </w:tblPr>
      <w:tblGrid>
        <w:gridCol w:w="579"/>
        <w:gridCol w:w="973"/>
        <w:gridCol w:w="1089"/>
        <w:gridCol w:w="721"/>
        <w:gridCol w:w="1117"/>
        <w:gridCol w:w="169"/>
        <w:gridCol w:w="943"/>
        <w:gridCol w:w="850"/>
        <w:gridCol w:w="203"/>
        <w:gridCol w:w="355"/>
        <w:gridCol w:w="418"/>
        <w:gridCol w:w="140"/>
        <w:gridCol w:w="698"/>
        <w:gridCol w:w="705"/>
      </w:tblGrid>
      <w:tr>
        <w:tblPrEx>
          <w:tblCellMar>
            <w:top w:w="0" w:type="dxa"/>
            <w:left w:w="108" w:type="dxa"/>
            <w:bottom w:w="0" w:type="dxa"/>
            <w:right w:w="108" w:type="dxa"/>
          </w:tblCellMar>
        </w:tblPrEx>
        <w:trPr>
          <w:trHeight w:val="689" w:hRule="exact"/>
          <w:jc w:val="center"/>
        </w:trPr>
        <w:tc>
          <w:tcPr>
            <w:tcW w:w="8960"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488" w:hRule="atLeast"/>
          <w:jc w:val="center"/>
        </w:trPr>
        <w:tc>
          <w:tcPr>
            <w:tcW w:w="8960"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40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2023年中央财政衔接推进乡村振兴补助（村集体经济）资金</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w:t>
            </w:r>
            <w:r>
              <w:rPr>
                <w:rFonts w:hint="eastAsia" w:ascii="宋体" w:hAnsi="宋体" w:cs="宋体"/>
                <w:color w:val="auto"/>
                <w:kern w:val="0"/>
                <w:sz w:val="18"/>
                <w:szCs w:val="18"/>
                <w:lang w:val="en-US" w:eastAsia="zh-CN"/>
              </w:rPr>
              <w:t>农业农村</w:t>
            </w:r>
            <w:r>
              <w:rPr>
                <w:rFonts w:hint="eastAsia" w:ascii="宋体" w:hAnsi="宋体" w:cs="宋体"/>
                <w:color w:val="auto"/>
                <w:kern w:val="0"/>
                <w:sz w:val="18"/>
                <w:szCs w:val="18"/>
              </w:rPr>
              <w:t>局</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455" w:hRule="exact"/>
          <w:jc w:val="center"/>
        </w:trPr>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王子江</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81586569</w:t>
            </w:r>
          </w:p>
        </w:tc>
      </w:tr>
      <w:tr>
        <w:tblPrEx>
          <w:tblCellMar>
            <w:top w:w="0" w:type="dxa"/>
            <w:left w:w="108" w:type="dxa"/>
            <w:bottom w:w="0" w:type="dxa"/>
            <w:right w:w="108" w:type="dxa"/>
          </w:tblCellMar>
        </w:tblPrEx>
        <w:trPr>
          <w:trHeight w:val="876" w:hRule="exact"/>
          <w:jc w:val="center"/>
        </w:trPr>
        <w:tc>
          <w:tcPr>
            <w:tcW w:w="15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330</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330</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330</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330</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330</w:t>
            </w: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330</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1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455" w:hRule="exact"/>
          <w:jc w:val="center"/>
        </w:trPr>
        <w:tc>
          <w:tcPr>
            <w:tcW w:w="5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1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6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351" w:hRule="exac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01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扶持村不少于</w:t>
            </w:r>
            <w:r>
              <w:rPr>
                <w:rFonts w:hint="eastAsia" w:ascii="宋体" w:hAnsi="宋体" w:eastAsia="宋体" w:cs="宋体"/>
                <w:color w:val="auto"/>
                <w:kern w:val="0"/>
                <w:sz w:val="18"/>
                <w:szCs w:val="18"/>
                <w:lang w:val="en-US" w:eastAsia="zh-CN"/>
              </w:rPr>
              <w:t>11个，扶持村集体经济收入有所增长。</w:t>
            </w:r>
          </w:p>
        </w:tc>
        <w:tc>
          <w:tcPr>
            <w:tcW w:w="336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2023年共</w:t>
            </w:r>
            <w:r>
              <w:rPr>
                <w:rFonts w:hint="eastAsia" w:ascii="宋体" w:hAnsi="宋体" w:eastAsia="宋体" w:cs="宋体"/>
                <w:color w:val="auto"/>
                <w:kern w:val="0"/>
                <w:sz w:val="18"/>
                <w:szCs w:val="18"/>
                <w:lang w:eastAsia="zh-CN"/>
              </w:rPr>
              <w:t>扶持</w:t>
            </w:r>
            <w:r>
              <w:rPr>
                <w:rFonts w:hint="eastAsia" w:ascii="宋体" w:hAnsi="宋体" w:eastAsia="宋体" w:cs="宋体"/>
                <w:color w:val="auto"/>
                <w:kern w:val="0"/>
                <w:sz w:val="18"/>
                <w:szCs w:val="18"/>
                <w:lang w:val="en-US" w:eastAsia="zh-CN"/>
              </w:rPr>
              <w:t>11个</w:t>
            </w:r>
            <w:r>
              <w:rPr>
                <w:rFonts w:hint="eastAsia" w:ascii="宋体" w:hAnsi="宋体" w:eastAsia="宋体" w:cs="宋体"/>
                <w:color w:val="auto"/>
                <w:kern w:val="0"/>
                <w:sz w:val="18"/>
                <w:szCs w:val="18"/>
                <w:lang w:eastAsia="zh-CN"/>
              </w:rPr>
              <w:t>村发展新型农村集体经济，</w:t>
            </w:r>
            <w:r>
              <w:rPr>
                <w:rFonts w:hint="eastAsia" w:ascii="宋体" w:hAnsi="宋体" w:eastAsia="宋体" w:cs="宋体"/>
                <w:color w:val="auto"/>
                <w:kern w:val="0"/>
                <w:sz w:val="18"/>
                <w:szCs w:val="18"/>
                <w:lang w:val="en-US" w:eastAsia="zh-CN"/>
              </w:rPr>
              <w:t>扶持村集体经济收入整体有所增长。</w:t>
            </w:r>
          </w:p>
        </w:tc>
      </w:tr>
      <w:tr>
        <w:tblPrEx>
          <w:tblCellMar>
            <w:top w:w="0" w:type="dxa"/>
            <w:left w:w="108" w:type="dxa"/>
            <w:bottom w:w="0" w:type="dxa"/>
            <w:right w:w="108" w:type="dxa"/>
          </w:tblCellMar>
        </w:tblPrEx>
        <w:trPr>
          <w:trHeight w:val="810" w:hRule="exact"/>
          <w:jc w:val="center"/>
        </w:trPr>
        <w:tc>
          <w:tcPr>
            <w:tcW w:w="5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737"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扶持村数</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rPr>
              <w:t>≥</w:t>
            </w: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1</w:t>
            </w:r>
            <w:r>
              <w:rPr>
                <w:rFonts w:hint="eastAsia" w:ascii="宋体" w:hAnsi="宋体" w:cs="宋体"/>
                <w:color w:val="auto"/>
                <w:kern w:val="0"/>
                <w:sz w:val="18"/>
                <w:szCs w:val="18"/>
                <w:lang w:val="en-US" w:eastAsia="zh-CN"/>
              </w:rPr>
              <w:t>个</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rPr>
              <w:t>11</w:t>
            </w:r>
            <w:r>
              <w:rPr>
                <w:rFonts w:hint="eastAsia" w:ascii="宋体" w:hAnsi="宋体" w:cs="宋体"/>
                <w:color w:val="auto"/>
                <w:kern w:val="0"/>
                <w:sz w:val="18"/>
                <w:szCs w:val="18"/>
                <w:lang w:val="en-US" w:eastAsia="zh-CN"/>
              </w:rPr>
              <w:t>个</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832" w:hRule="exact"/>
          <w:jc w:val="center"/>
        </w:trPr>
        <w:tc>
          <w:tcPr>
            <w:tcW w:w="57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9"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扶持村集体经济收入</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有所增长</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有所增长</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lang w:val="en-US" w:eastAsia="zh-CN"/>
              </w:rPr>
              <w:t>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lang w:val="en-US" w:eastAsia="zh-CN"/>
              </w:rPr>
              <w:t>0</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83" w:hRule="exact"/>
          <w:jc w:val="center"/>
        </w:trPr>
        <w:tc>
          <w:tcPr>
            <w:tcW w:w="644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9363" w:type="dxa"/>
        <w:jc w:val="center"/>
        <w:tblLayout w:type="fixed"/>
        <w:tblCellMar>
          <w:top w:w="0" w:type="dxa"/>
          <w:left w:w="108" w:type="dxa"/>
          <w:bottom w:w="0" w:type="dxa"/>
          <w:right w:w="108" w:type="dxa"/>
        </w:tblCellMar>
      </w:tblPr>
      <w:tblGrid>
        <w:gridCol w:w="574"/>
        <w:gridCol w:w="973"/>
        <w:gridCol w:w="970"/>
        <w:gridCol w:w="834"/>
        <w:gridCol w:w="1114"/>
        <w:gridCol w:w="385"/>
        <w:gridCol w:w="1276"/>
        <w:gridCol w:w="1252"/>
        <w:gridCol w:w="567"/>
        <w:gridCol w:w="809"/>
        <w:gridCol w:w="609"/>
      </w:tblGrid>
      <w:tr>
        <w:tblPrEx>
          <w:tblCellMar>
            <w:top w:w="0" w:type="dxa"/>
            <w:left w:w="108" w:type="dxa"/>
            <w:bottom w:w="0" w:type="dxa"/>
            <w:right w:w="108" w:type="dxa"/>
          </w:tblCellMar>
        </w:tblPrEx>
        <w:trPr>
          <w:trHeight w:val="440" w:hRule="exact"/>
          <w:jc w:val="center"/>
        </w:trPr>
        <w:tc>
          <w:tcPr>
            <w:tcW w:w="9363" w:type="dxa"/>
            <w:gridSpan w:val="11"/>
            <w:tcBorders>
              <w:top w:val="nil"/>
              <w:left w:val="nil"/>
              <w:bottom w:val="nil"/>
              <w:right w:val="nil"/>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363" w:type="dxa"/>
            <w:gridSpan w:val="11"/>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（2023年度）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16"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农业综合执法经费</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57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法制科</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19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57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周媛</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19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60552932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6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w:t>
            </w:r>
          </w:p>
        </w:tc>
        <w:tc>
          <w:tcPr>
            <w:tcW w:w="16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44.9744</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99.94%</w:t>
            </w:r>
          </w:p>
        </w:tc>
        <w:tc>
          <w:tcPr>
            <w:tcW w:w="6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w:t>
            </w:r>
          </w:p>
        </w:tc>
        <w:tc>
          <w:tcPr>
            <w:tcW w:w="16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44.9744</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auto"/>
                <w:kern w:val="0"/>
                <w:sz w:val="18"/>
                <w:szCs w:val="18"/>
              </w:rPr>
              <w:t>—</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99.94%</w:t>
            </w:r>
          </w:p>
        </w:tc>
        <w:tc>
          <w:tcPr>
            <w:tcW w:w="6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66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55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054" w:hRule="exact"/>
          <w:jc w:val="center"/>
        </w:trPr>
        <w:tc>
          <w:tcPr>
            <w:tcW w:w="5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552"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通过开展大型宣传活动，宣传农业法律法规知识，增强人民群众购买和使用农资的安全意识、维权意识和自我保护意识。</w:t>
            </w:r>
          </w:p>
          <w:p>
            <w:pPr>
              <w:widowControl/>
              <w:spacing w:line="240" w:lineRule="exact"/>
              <w:rPr>
                <w:rFonts w:ascii="宋体" w:hAnsi="宋体" w:cs="宋体"/>
                <w:kern w:val="0"/>
                <w:sz w:val="18"/>
                <w:szCs w:val="18"/>
              </w:rPr>
            </w:pPr>
            <w:r>
              <w:rPr>
                <w:rFonts w:hint="eastAsia" w:ascii="宋体" w:hAnsi="宋体" w:cs="宋体"/>
                <w:kern w:val="0"/>
                <w:sz w:val="18"/>
                <w:szCs w:val="18"/>
              </w:rPr>
              <w:t>通过政务服务中心标准化建设，保障行政审批窗口办公设备采购，提高窗口服务水平，助推行政审批规范化、标准化建设。</w:t>
            </w:r>
          </w:p>
        </w:tc>
        <w:tc>
          <w:tcPr>
            <w:tcW w:w="3237"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通过开展专项法治宣传活动，有效增强了人民群众购买和使用农资的安全意识、维权意识和自我保护意识。通过政务服务中心标准化建设，保障了行政审批窗口办公设备采购，有效推进了行政审批规范化、标准化建设。</w:t>
            </w:r>
          </w:p>
        </w:tc>
      </w:tr>
      <w:tr>
        <w:tblPrEx>
          <w:tblCellMar>
            <w:top w:w="0" w:type="dxa"/>
            <w:left w:w="108" w:type="dxa"/>
            <w:bottom w:w="0" w:type="dxa"/>
            <w:right w:w="108" w:type="dxa"/>
          </w:tblCellMar>
        </w:tblPrEx>
        <w:trPr>
          <w:trHeight w:val="553" w:hRule="exact"/>
          <w:jc w:val="center"/>
        </w:trPr>
        <w:tc>
          <w:tcPr>
            <w:tcW w:w="57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指标1：重大宣传活动</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≥6次</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次</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指标2：开展验收次数</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≥300次</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300</w:t>
            </w:r>
            <w:r>
              <w:rPr>
                <w:rFonts w:hint="eastAsia" w:ascii="宋体" w:hAnsi="宋体" w:cs="宋体"/>
                <w:kern w:val="0"/>
                <w:sz w:val="18"/>
                <w:szCs w:val="18"/>
                <w:lang w:val="en-US" w:eastAsia="zh-CN"/>
              </w:rPr>
              <w:t>次</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10 </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指标3：发放宣传品</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≥5000册</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20000</w:t>
            </w:r>
            <w:r>
              <w:rPr>
                <w:rFonts w:hint="eastAsia" w:ascii="宋体" w:hAnsi="宋体" w:cs="宋体"/>
                <w:kern w:val="0"/>
                <w:sz w:val="18"/>
                <w:szCs w:val="18"/>
                <w:lang w:val="en-US" w:eastAsia="zh-CN"/>
              </w:rPr>
              <w:t>册</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指标1：审批验收通过率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指标2：窗口建设符合相关标准</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符合</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符合</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指标1：法制宣传完成时限</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12月底前</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12月底前</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指标2：验收任务及时率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成本指标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指标1：法治宣传成本</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≤40万元</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≤40万元</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指标2：验收及执法经费</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≤5万元</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≤5万元</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restart"/>
            <w:tcBorders>
              <w:top w:val="nil"/>
              <w:left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效益指标</w:t>
            </w:r>
          </w:p>
        </w:tc>
        <w:tc>
          <w:tcPr>
            <w:tcW w:w="9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指标1：通州区群众对农业法律认知度</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有所提升</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有所提升</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指标2：推进通州农业可持续发展</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有一定促进作用</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有一定促进</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指标1：宣传对象满意度</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12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指标2：审批验收满意度</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98%以上</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98%以上</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737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6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lang w:eastAsia="zh-CN"/>
        </w:rPr>
      </w:pPr>
      <w:r>
        <w:rPr>
          <w:rFonts w:hint="eastAsia"/>
          <w:lang w:eastAsia="zh-CN"/>
        </w:rPr>
        <w:br w:type="page"/>
      </w:r>
    </w:p>
    <w:tbl>
      <w:tblPr>
        <w:tblStyle w:val="12"/>
        <w:tblW w:w="9643" w:type="dxa"/>
        <w:jc w:val="center"/>
        <w:tblLayout w:type="fixed"/>
        <w:tblCellMar>
          <w:top w:w="0" w:type="dxa"/>
          <w:left w:w="108" w:type="dxa"/>
          <w:bottom w:w="0" w:type="dxa"/>
          <w:right w:w="108" w:type="dxa"/>
        </w:tblCellMar>
      </w:tblPr>
      <w:tblGrid>
        <w:gridCol w:w="574"/>
        <w:gridCol w:w="973"/>
        <w:gridCol w:w="970"/>
        <w:gridCol w:w="834"/>
        <w:gridCol w:w="1114"/>
        <w:gridCol w:w="385"/>
        <w:gridCol w:w="1276"/>
        <w:gridCol w:w="1252"/>
        <w:gridCol w:w="567"/>
        <w:gridCol w:w="809"/>
        <w:gridCol w:w="889"/>
      </w:tblGrid>
      <w:tr>
        <w:tblPrEx>
          <w:tblCellMar>
            <w:top w:w="0" w:type="dxa"/>
            <w:left w:w="108" w:type="dxa"/>
            <w:bottom w:w="0" w:type="dxa"/>
            <w:right w:w="108" w:type="dxa"/>
          </w:tblCellMar>
        </w:tblPrEx>
        <w:trPr>
          <w:trHeight w:val="440" w:hRule="exact"/>
          <w:jc w:val="center"/>
        </w:trPr>
        <w:tc>
          <w:tcPr>
            <w:tcW w:w="9643" w:type="dxa"/>
            <w:gridSpan w:val="11"/>
            <w:tcBorders>
              <w:top w:val="nil"/>
              <w:left w:val="nil"/>
              <w:bottom w:val="nil"/>
              <w:right w:val="nil"/>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643" w:type="dxa"/>
            <w:gridSpan w:val="11"/>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（2023年度）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96"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农业综合执法经费</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57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法制科</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57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周媛</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26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60552932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6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26.877918</w:t>
            </w:r>
          </w:p>
        </w:tc>
        <w:tc>
          <w:tcPr>
            <w:tcW w:w="16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26.877918</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26.874818</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99.99%</w:t>
            </w:r>
          </w:p>
        </w:tc>
        <w:tc>
          <w:tcPr>
            <w:tcW w:w="88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auto"/>
                <w:kern w:val="0"/>
                <w:sz w:val="18"/>
                <w:szCs w:val="18"/>
              </w:rPr>
              <w:t>—</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8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26.877918</w:t>
            </w:r>
          </w:p>
        </w:tc>
        <w:tc>
          <w:tcPr>
            <w:tcW w:w="166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26.877918</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26.874818</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kern w:val="0"/>
                <w:sz w:val="18"/>
                <w:szCs w:val="18"/>
              </w:rPr>
              <w:t>99.99%</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55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1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485" w:hRule="exact"/>
          <w:jc w:val="center"/>
        </w:trPr>
        <w:tc>
          <w:tcPr>
            <w:tcW w:w="5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552"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通过政务服务中心标准化建设，保障行政审批窗口办公设备采购，提高窗口服务水平，助推行政审批规范化、标准化建设。采购综合执法制服，保障农业综合执法队伍规范化建设。</w:t>
            </w:r>
          </w:p>
        </w:tc>
        <w:tc>
          <w:tcPr>
            <w:tcW w:w="3517"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通过政务服务中心标准化建设，有效提高了窗口服务水平，助推行政审批标准化建设。保障了农业综合执法队伍规范化建设。</w:t>
            </w:r>
          </w:p>
        </w:tc>
      </w:tr>
      <w:tr>
        <w:tblPrEx>
          <w:tblCellMar>
            <w:top w:w="0" w:type="dxa"/>
            <w:left w:w="108" w:type="dxa"/>
            <w:bottom w:w="0" w:type="dxa"/>
            <w:right w:w="108" w:type="dxa"/>
          </w:tblCellMar>
        </w:tblPrEx>
        <w:trPr>
          <w:trHeight w:val="553" w:hRule="exact"/>
          <w:jc w:val="center"/>
        </w:trPr>
        <w:tc>
          <w:tcPr>
            <w:tcW w:w="57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7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指标1：开展验收次数</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≥300次</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300</w:t>
            </w:r>
            <w:r>
              <w:rPr>
                <w:rFonts w:hint="eastAsia" w:ascii="宋体" w:hAnsi="宋体" w:cs="宋体"/>
                <w:kern w:val="0"/>
                <w:sz w:val="18"/>
                <w:szCs w:val="18"/>
                <w:lang w:val="en-US" w:eastAsia="zh-CN"/>
              </w:rPr>
              <w:t>次</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20 </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指标1：审批验收通过率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指标2：窗口建设符合相关标准</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符合</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符合</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指标2：验收任务及时率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成本指标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指标1：窗口标准化建设</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≤10万元</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≤10万元</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指标2：综合执法制服购置</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≤16.877918万元</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≤16.877918万元</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7"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指标1：审批验收满意度</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98%以上</w:t>
            </w:r>
          </w:p>
        </w:tc>
        <w:tc>
          <w:tcPr>
            <w:tcW w:w="12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98%以上</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737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391"/>
        <w:gridCol w:w="44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仿宋_GB2312" w:hAnsi="仿宋_GB2312" w:eastAsia="仿宋_GB2312" w:cs="仿宋_GB2312"/>
                <w:kern w:val="0"/>
                <w:sz w:val="20"/>
                <w:szCs w:val="20"/>
                <w:lang w:val="en-US" w:eastAsia="zh-CN"/>
              </w:rPr>
              <w:t>农业综合执法大队执法装备</w:t>
            </w:r>
            <w:r>
              <w:rPr>
                <w:rFonts w:hint="eastAsia" w:ascii="仿宋_GB2312" w:hAnsi="仿宋_GB2312" w:eastAsia="仿宋_GB2312" w:cs="仿宋_GB2312"/>
                <w:kern w:val="0"/>
                <w:sz w:val="20"/>
                <w:szCs w:val="20"/>
              </w:rPr>
              <w:t>项目</w:t>
            </w:r>
          </w:p>
        </w:tc>
      </w:tr>
      <w:tr>
        <w:tblPrEx>
          <w:tblCellMar>
            <w:top w:w="0" w:type="dxa"/>
            <w:left w:w="108" w:type="dxa"/>
            <w:bottom w:w="0" w:type="dxa"/>
            <w:right w:w="108" w:type="dxa"/>
          </w:tblCellMar>
        </w:tblPrEx>
        <w:trPr>
          <w:trHeight w:val="472"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北京市通州区农业综合执法大队</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杨洁新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15011396912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146.48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99.65%</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1</w:t>
            </w:r>
            <w:r>
              <w:rPr>
                <w:rFonts w:hint="eastAsia" w:ascii="宋体" w:hAnsi="宋体" w:cs="宋体"/>
                <w:color w:val="auto"/>
                <w:kern w:val="0"/>
                <w:sz w:val="18"/>
                <w:szCs w:val="18"/>
                <w:lang w:val="en-US" w:eastAsia="zh-CN"/>
              </w:rPr>
              <w:t>0</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146.48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99.65%</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保障</w:t>
            </w:r>
            <w:r>
              <w:rPr>
                <w:rFonts w:hint="eastAsia" w:ascii="宋体" w:hAnsi="宋体" w:eastAsia="宋体" w:cs="宋体"/>
                <w:kern w:val="0"/>
                <w:sz w:val="18"/>
                <w:szCs w:val="18"/>
              </w:rPr>
              <w:t>渔政、种子、农药、化肥、植保、农机</w:t>
            </w:r>
            <w:r>
              <w:rPr>
                <w:rFonts w:hint="eastAsia" w:ascii="宋体" w:hAnsi="宋体" w:eastAsia="宋体" w:cs="宋体"/>
                <w:kern w:val="0"/>
                <w:sz w:val="18"/>
                <w:szCs w:val="18"/>
                <w:lang w:eastAsia="zh-CN"/>
              </w:rPr>
              <w:t>等执法工作正常有序开展。</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保障</w:t>
            </w:r>
            <w:r>
              <w:rPr>
                <w:rFonts w:hint="eastAsia" w:ascii="宋体" w:hAnsi="宋体" w:eastAsia="宋体" w:cs="宋体"/>
                <w:kern w:val="0"/>
                <w:sz w:val="18"/>
                <w:szCs w:val="18"/>
              </w:rPr>
              <w:t>渔政、种子、农药、化肥、植保、农机</w:t>
            </w:r>
            <w:r>
              <w:rPr>
                <w:rFonts w:hint="eastAsia" w:ascii="宋体" w:hAnsi="宋体" w:eastAsia="宋体" w:cs="宋体"/>
                <w:kern w:val="0"/>
                <w:sz w:val="18"/>
                <w:szCs w:val="18"/>
                <w:lang w:eastAsia="zh-CN"/>
              </w:rPr>
              <w:t>等执法工作正常有序开展。</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绩</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效</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104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rPr>
              <w:t>执法无人机、车载冷藏箱、便携式打印机等执法专用设备</w:t>
            </w:r>
          </w:p>
        </w:tc>
        <w:tc>
          <w:tcPr>
            <w:tcW w:w="93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≥500个（架）</w:t>
            </w:r>
          </w:p>
        </w:tc>
        <w:tc>
          <w:tcPr>
            <w:tcW w:w="84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&gt;500个（架）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sz w:val="18"/>
                <w:szCs w:val="18"/>
              </w:rPr>
              <w:t>执法装备类别</w:t>
            </w:r>
          </w:p>
        </w:tc>
        <w:tc>
          <w:tcPr>
            <w:tcW w:w="93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Style w:val="22"/>
                <w:rFonts w:hint="eastAsia" w:ascii="宋体" w:hAnsi="宋体" w:eastAsia="宋体" w:cs="宋体"/>
                <w:color w:val="auto"/>
                <w:sz w:val="18"/>
                <w:szCs w:val="18"/>
              </w:rPr>
              <w:t>20项</w:t>
            </w:r>
          </w:p>
        </w:tc>
        <w:tc>
          <w:tcPr>
            <w:tcW w:w="84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&gt;</w:t>
            </w:r>
            <w:r>
              <w:rPr>
                <w:rStyle w:val="22"/>
                <w:rFonts w:hint="eastAsia" w:ascii="宋体" w:hAnsi="宋体" w:eastAsia="宋体" w:cs="宋体"/>
                <w:color w:val="auto"/>
                <w:sz w:val="18"/>
                <w:szCs w:val="18"/>
                <w:lang w:val="en-US" w:eastAsia="zh-CN"/>
              </w:rPr>
              <w:t>4</w:t>
            </w:r>
            <w:r>
              <w:rPr>
                <w:rStyle w:val="22"/>
                <w:rFonts w:hint="eastAsia" w:ascii="宋体" w:hAnsi="宋体" w:eastAsia="宋体" w:cs="宋体"/>
                <w:color w:val="auto"/>
                <w:sz w:val="18"/>
                <w:szCs w:val="18"/>
              </w:rPr>
              <w:t>0项</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3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rPr>
              <w:t>购买设备验收合格</w:t>
            </w:r>
          </w:p>
        </w:tc>
        <w:tc>
          <w:tcPr>
            <w:tcW w:w="93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4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rPr>
              <w:t>采购完成时间</w:t>
            </w:r>
          </w:p>
        </w:tc>
        <w:tc>
          <w:tcPr>
            <w:tcW w:w="93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10月</w:t>
            </w:r>
          </w:p>
        </w:tc>
        <w:tc>
          <w:tcPr>
            <w:tcW w:w="84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rPr>
              <w:t>设备政府采购率</w:t>
            </w:r>
          </w:p>
        </w:tc>
        <w:tc>
          <w:tcPr>
            <w:tcW w:w="93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4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rPr>
              <w:t>提升执法能力</w:t>
            </w:r>
          </w:p>
        </w:tc>
        <w:tc>
          <w:tcPr>
            <w:tcW w:w="93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有效提升</w:t>
            </w:r>
          </w:p>
        </w:tc>
        <w:tc>
          <w:tcPr>
            <w:tcW w:w="84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有效提升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8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rPr>
              <w:t>持续提升执法能力</w:t>
            </w:r>
          </w:p>
        </w:tc>
        <w:tc>
          <w:tcPr>
            <w:tcW w:w="93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持续提升</w:t>
            </w:r>
          </w:p>
        </w:tc>
        <w:tc>
          <w:tcPr>
            <w:tcW w:w="84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持续提升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9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rPr>
              <w:t>使用设备人员满意度</w:t>
            </w:r>
          </w:p>
        </w:tc>
        <w:tc>
          <w:tcPr>
            <w:tcW w:w="93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≥90%</w:t>
            </w:r>
          </w:p>
        </w:tc>
        <w:tc>
          <w:tcPr>
            <w:tcW w:w="84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82"/>
        <w:gridCol w:w="554"/>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kern w:val="0"/>
                <w:sz w:val="20"/>
                <w:szCs w:val="20"/>
                <w:lang w:val="en-US" w:eastAsia="zh-CN"/>
              </w:rPr>
              <w:t>农业综合执法大队执法保障</w:t>
            </w:r>
            <w:r>
              <w:rPr>
                <w:rFonts w:hint="eastAsia" w:ascii="宋体" w:hAnsi="宋体" w:eastAsia="宋体" w:cs="宋体"/>
                <w:kern w:val="0"/>
                <w:sz w:val="20"/>
                <w:szCs w:val="20"/>
              </w:rPr>
              <w:t>项目</w:t>
            </w:r>
          </w:p>
        </w:tc>
      </w:tr>
      <w:tr>
        <w:tblPrEx>
          <w:tblCellMar>
            <w:top w:w="0" w:type="dxa"/>
            <w:left w:w="108" w:type="dxa"/>
            <w:bottom w:w="0" w:type="dxa"/>
            <w:right w:w="108" w:type="dxa"/>
          </w:tblCellMar>
        </w:tblPrEx>
        <w:trPr>
          <w:trHeight w:val="475"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20"/>
                <w:szCs w:val="20"/>
                <w:lang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20"/>
                <w:szCs w:val="20"/>
                <w:lang w:eastAsia="zh-CN"/>
              </w:rPr>
              <w:t>北京市通州区农业综合执法大队</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郑利华</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13301178261</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67.28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67.28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62.7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93.19%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highlight w:val="none"/>
                <w:lang w:val="en-US" w:eastAsia="zh-CN"/>
              </w:rPr>
              <w:t>9.32</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1</w:t>
            </w:r>
            <w:r>
              <w:rPr>
                <w:rFonts w:hint="eastAsia" w:ascii="宋体" w:hAnsi="宋体" w:cs="宋体"/>
                <w:color w:val="auto"/>
                <w:kern w:val="0"/>
                <w:sz w:val="18"/>
                <w:szCs w:val="18"/>
                <w:lang w:val="en-US" w:eastAsia="zh-CN"/>
              </w:rPr>
              <w:t>0</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67.28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67.28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62.7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93.19%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20"/>
                <w:szCs w:val="20"/>
                <w:lang w:eastAsia="zh-CN"/>
              </w:rPr>
              <w:t>保障</w:t>
            </w:r>
            <w:r>
              <w:rPr>
                <w:rFonts w:hint="eastAsia" w:ascii="宋体" w:hAnsi="宋体" w:eastAsia="宋体" w:cs="宋体"/>
                <w:kern w:val="0"/>
                <w:sz w:val="20"/>
                <w:szCs w:val="20"/>
              </w:rPr>
              <w:t>渔政、种子、农药、化肥、植保、农机</w:t>
            </w:r>
            <w:r>
              <w:rPr>
                <w:rFonts w:hint="eastAsia" w:ascii="宋体" w:hAnsi="宋体" w:eastAsia="宋体" w:cs="宋体"/>
                <w:kern w:val="0"/>
                <w:sz w:val="20"/>
                <w:szCs w:val="20"/>
                <w:lang w:eastAsia="zh-CN"/>
              </w:rPr>
              <w:t>等执法工作正常有序开展。</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20"/>
                <w:szCs w:val="20"/>
                <w:lang w:eastAsia="zh-CN"/>
              </w:rPr>
              <w:t>保障</w:t>
            </w:r>
            <w:r>
              <w:rPr>
                <w:rFonts w:hint="eastAsia" w:ascii="宋体" w:hAnsi="宋体" w:eastAsia="宋体" w:cs="宋体"/>
                <w:kern w:val="0"/>
                <w:sz w:val="20"/>
                <w:szCs w:val="20"/>
              </w:rPr>
              <w:t>渔政、种子、农药、化肥、植保、农机</w:t>
            </w:r>
            <w:r>
              <w:rPr>
                <w:rFonts w:hint="eastAsia" w:ascii="宋体" w:hAnsi="宋体" w:eastAsia="宋体" w:cs="宋体"/>
                <w:kern w:val="0"/>
                <w:sz w:val="20"/>
                <w:szCs w:val="20"/>
                <w:lang w:eastAsia="zh-CN"/>
              </w:rPr>
              <w:t>等执法工作正常有序开展。</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绩</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效</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媒体宣传</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≥10次</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themeColor="text1"/>
                <w:kern w:val="0"/>
                <w:sz w:val="18"/>
                <w:szCs w:val="18"/>
                <w:lang w:val="en-US" w:eastAsia="zh-CN"/>
                <w14:textFill>
                  <w14:solidFill>
                    <w14:schemeClr w14:val="tx1"/>
                  </w14:solidFill>
                </w14:textFill>
              </w:rPr>
              <w:t>&gt;10次</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执法快艇运维</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5艘</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5艘</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执法快艇驾驶培训</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val="en-US" w:eastAsia="zh-CN"/>
              </w:rPr>
              <w:t>10人</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val="en-US" w:eastAsia="zh-CN"/>
              </w:rPr>
              <w:t>10人</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21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kern w:val="0"/>
                <w:sz w:val="18"/>
                <w:szCs w:val="18"/>
                <w:highlight w:val="none"/>
                <w:lang w:val="en-US" w:eastAsia="zh-CN"/>
              </w:rPr>
              <w:t>执法检查单等文书制作；渔政、种子、农药、化肥、植保、农机等行业罚没物品无害化处理、认定鉴定、评估、抽检、检测、检疫、检查等</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val="en-US" w:eastAsia="zh-CN"/>
              </w:rPr>
              <w:t>种子转基因快速检测样品≧200个；植物检疫抽检样品≧80个</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val="en-US" w:eastAsia="zh-CN"/>
              </w:rPr>
              <w:t>种子转基因快速检测样品200个；植物检疫抽检样品&gt;80个</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3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执法服装制作</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val="en-US" w:eastAsia="zh-CN"/>
              </w:rPr>
              <w:t>10人套</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t>
            </w:r>
            <w:r>
              <w:rPr>
                <w:rFonts w:hint="eastAsia" w:ascii="宋体" w:hAnsi="宋体" w:eastAsia="宋体" w:cs="宋体"/>
                <w:kern w:val="0"/>
                <w:sz w:val="18"/>
                <w:szCs w:val="18"/>
                <w:lang w:val="en-US" w:eastAsia="zh-CN"/>
              </w:rPr>
              <w:t>人套</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2.8</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部分人员未取得执法证</w:t>
            </w:r>
          </w:p>
        </w:tc>
      </w:tr>
      <w:tr>
        <w:tblPrEx>
          <w:tblCellMar>
            <w:top w:w="0" w:type="dxa"/>
            <w:left w:w="108" w:type="dxa"/>
            <w:bottom w:w="0" w:type="dxa"/>
            <w:right w:w="108" w:type="dxa"/>
          </w:tblCellMar>
        </w:tblPrEx>
        <w:trPr>
          <w:trHeight w:val="170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1</w:t>
            </w: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val="en-US" w:eastAsia="zh-CN"/>
              </w:rPr>
              <w:t>抽检检疫</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eastAsia="zh-CN"/>
              </w:rPr>
              <w:t>现场制样、现场封样、现场签字确认、保证样品质量等</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抽检、检疫工作符合流程、标准</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kern w:val="0"/>
                <w:sz w:val="18"/>
                <w:szCs w:val="18"/>
                <w:highlight w:val="none"/>
                <w:lang w:val="en-US" w:eastAsia="zh-CN"/>
              </w:rPr>
              <w:t>渔政、种子、农机等行业罚没物品无害化处理、认定鉴定等</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eastAsia="zh-CN"/>
              </w:rPr>
              <w:t>符合鉴定认定流程</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符合鉴定认定流程</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19"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执法快艇运维</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eastAsia="zh-CN"/>
              </w:rPr>
              <w:t>快艇使用正常</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eastAsia="zh-CN"/>
              </w:rPr>
              <w:t>快艇使用正常</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92"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执法服装验收合格率</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val="en-US" w:eastAsia="zh-CN"/>
              </w:rPr>
              <w:t>100%</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val="en-US" w:eastAsia="zh-CN"/>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52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媒体宣传</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highlight w:val="none"/>
                <w:lang w:val="en-US" w:eastAsia="zh-CN"/>
              </w:rPr>
              <w:t>≦11月</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val="en-US" w:eastAsia="zh-CN"/>
              </w:rPr>
              <w:t>11月底</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0"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val="en-US" w:eastAsia="zh-CN"/>
              </w:rPr>
              <w:t>抽检检疫</w:t>
            </w:r>
          </w:p>
        </w:tc>
        <w:tc>
          <w:tcPr>
            <w:tcW w:w="938" w:type="dxa"/>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lang w:val="en-US"/>
              </w:rPr>
            </w:pPr>
            <w:r>
              <w:rPr>
                <w:rFonts w:hint="eastAsia" w:ascii="宋体" w:hAnsi="宋体" w:eastAsia="宋体" w:cs="宋体"/>
                <w:kern w:val="0"/>
                <w:sz w:val="18"/>
                <w:szCs w:val="18"/>
                <w:highlight w:val="none"/>
                <w:lang w:val="en-US" w:eastAsia="zh-CN"/>
              </w:rPr>
              <w:t>≦11月</w:t>
            </w:r>
          </w:p>
        </w:tc>
        <w:tc>
          <w:tcPr>
            <w:tcW w:w="848" w:type="dxa"/>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highlight w:val="none"/>
                <w:lang w:val="en-US" w:eastAsia="zh-CN"/>
              </w:rPr>
              <w:t>11月底</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执法快艇</w:t>
            </w:r>
          </w:p>
        </w:tc>
        <w:tc>
          <w:tcPr>
            <w:tcW w:w="938" w:type="dxa"/>
            <w:tcBorders>
              <w:top w:val="nil"/>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000000"/>
                <w:kern w:val="0"/>
                <w:sz w:val="18"/>
                <w:szCs w:val="18"/>
                <w:highlight w:val="none"/>
                <w:lang w:val="en-US" w:eastAsia="zh-CN"/>
              </w:rPr>
            </w:pPr>
            <w:r>
              <w:rPr>
                <w:rFonts w:hint="eastAsia" w:ascii="宋体" w:hAnsi="宋体" w:eastAsia="宋体" w:cs="宋体"/>
                <w:kern w:val="0"/>
                <w:sz w:val="18"/>
                <w:szCs w:val="18"/>
                <w:highlight w:val="none"/>
                <w:lang w:val="en-US" w:eastAsia="zh-CN"/>
              </w:rPr>
              <w:t>≦11月</w:t>
            </w:r>
          </w:p>
        </w:tc>
        <w:tc>
          <w:tcPr>
            <w:tcW w:w="848" w:type="dxa"/>
            <w:tcBorders>
              <w:top w:val="nil"/>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kern w:val="0"/>
                <w:sz w:val="18"/>
                <w:szCs w:val="18"/>
                <w:lang w:val="en-US" w:eastAsia="zh-CN"/>
              </w:rPr>
              <w:t>11月底</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执法服装制作</w:t>
            </w:r>
          </w:p>
        </w:tc>
        <w:tc>
          <w:tcPr>
            <w:tcW w:w="938" w:type="dxa"/>
            <w:tcBorders>
              <w:top w:val="nil"/>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000000"/>
                <w:kern w:val="0"/>
                <w:sz w:val="18"/>
                <w:szCs w:val="18"/>
                <w:highlight w:val="none"/>
                <w:lang w:val="en-US" w:eastAsia="zh-CN"/>
              </w:rPr>
            </w:pPr>
            <w:r>
              <w:rPr>
                <w:rFonts w:hint="eastAsia" w:ascii="宋体" w:hAnsi="宋体" w:eastAsia="宋体" w:cs="宋体"/>
                <w:kern w:val="0"/>
                <w:sz w:val="18"/>
                <w:szCs w:val="18"/>
                <w:highlight w:val="none"/>
                <w:lang w:val="en-US" w:eastAsia="zh-CN"/>
              </w:rPr>
              <w:t>≦6月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10月底</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9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3.5</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1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保障</w:t>
            </w:r>
            <w:r>
              <w:rPr>
                <w:rFonts w:hint="eastAsia" w:ascii="宋体" w:hAnsi="宋体" w:eastAsia="宋体" w:cs="宋体"/>
                <w:kern w:val="0"/>
                <w:sz w:val="18"/>
                <w:szCs w:val="18"/>
              </w:rPr>
              <w:t>渔政、种子、农药、化肥、植保、农机</w:t>
            </w:r>
            <w:r>
              <w:rPr>
                <w:rFonts w:hint="eastAsia" w:ascii="宋体" w:hAnsi="宋体" w:eastAsia="宋体" w:cs="宋体"/>
                <w:kern w:val="0"/>
                <w:sz w:val="18"/>
                <w:szCs w:val="18"/>
                <w:lang w:eastAsia="zh-CN"/>
              </w:rPr>
              <w:t>等执法工作正常有序开展</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kern w:val="0"/>
                <w:sz w:val="18"/>
                <w:szCs w:val="18"/>
                <w:lang w:eastAsia="zh-CN"/>
              </w:rPr>
              <w:t>效果显著</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效果显著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9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5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rPr>
              <w:t>通过开展普法和媒体宣传，提升通州区域居民对渔政、种子、农药、化肥、植保、农机等领域法律法规</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kern w:val="0"/>
                <w:sz w:val="18"/>
                <w:szCs w:val="18"/>
                <w:highlight w:val="none"/>
                <w:lang w:eastAsia="zh-CN"/>
              </w:rPr>
              <w:t>市民法律意识显著提升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kern w:val="0"/>
                <w:sz w:val="18"/>
                <w:szCs w:val="18"/>
                <w:highlight w:val="none"/>
                <w:lang w:eastAsia="zh-CN"/>
              </w:rPr>
              <w:t>市民法律意识显著提升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9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8"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97.62</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665"/>
        <w:gridCol w:w="449"/>
        <w:gridCol w:w="1001"/>
        <w:gridCol w:w="996"/>
        <w:gridCol w:w="160"/>
        <w:gridCol w:w="372"/>
        <w:gridCol w:w="399"/>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渔政协管员项目</w:t>
            </w:r>
          </w:p>
        </w:tc>
      </w:tr>
      <w:tr>
        <w:tblPrEx>
          <w:tblCellMar>
            <w:top w:w="0" w:type="dxa"/>
            <w:left w:w="108" w:type="dxa"/>
            <w:bottom w:w="0" w:type="dxa"/>
            <w:right w:w="108" w:type="dxa"/>
          </w:tblCellMar>
        </w:tblPrEx>
        <w:trPr>
          <w:trHeight w:val="489"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9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北京市通州区农业农村局</w:t>
            </w:r>
          </w:p>
        </w:tc>
        <w:tc>
          <w:tcPr>
            <w:tcW w:w="11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北京市通州区农业综合执法大队</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9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李梦佳</w:t>
            </w:r>
          </w:p>
        </w:tc>
        <w:tc>
          <w:tcPr>
            <w:tcW w:w="11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13581689892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47.4</w:t>
            </w:r>
          </w:p>
        </w:tc>
        <w:tc>
          <w:tcPr>
            <w:tcW w:w="100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47.4</w:t>
            </w:r>
          </w:p>
        </w:tc>
        <w:tc>
          <w:tcPr>
            <w:tcW w:w="11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47.4</w:t>
            </w:r>
          </w:p>
        </w:tc>
        <w:tc>
          <w:tcPr>
            <w:tcW w:w="100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47.4</w:t>
            </w:r>
          </w:p>
        </w:tc>
        <w:tc>
          <w:tcPr>
            <w:tcW w:w="11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88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6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88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协助渔政执法人员开展渔业资源保护执法、水产品质量安全执法、水生野生动物保护执法等。</w:t>
            </w:r>
          </w:p>
        </w:tc>
        <w:tc>
          <w:tcPr>
            <w:tcW w:w="346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协助渔政执法人员开展渔业资源保护执法、水产品质量安全执法、水生野生动物保护执法等。</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二级指标</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三级指标</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指标值</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完成值</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分值</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数量指标</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渔政监督协管员人数</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3人</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3人</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渔业资源专项协管员人数</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6人</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6人</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4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质量指标</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渔政监督协管员要求</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协助执法范围包括渔业资源保护执法、水产品质量安全执法、水生野生动物保护执法等</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已按要求完成协助执法工作</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渔业资源专项协管员要求</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协助执法范围为渔业资源保护执法</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已按要求完成协助执法工作</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时效指标</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渔政监督协管员聘期</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1年</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1年</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渔业资源专项协管员聘期</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6个月</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6个月</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成本指标</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聘用渔政监督协管员人员费用</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≤2万元/月</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2万元/月</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聘用渔业资源专项协管员人员费用</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≤3.9万元/月</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3.9万元/月</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社会效益</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指标</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违法行为处理率</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满意度</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服务对象满意度指标</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综合执法协管员被投诉率</w:t>
            </w:r>
          </w:p>
        </w:tc>
        <w:tc>
          <w:tcPr>
            <w:tcW w:w="14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100  </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 2023年度）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动物卫生监督执法项目</w:t>
            </w:r>
          </w:p>
        </w:tc>
      </w:tr>
      <w:tr>
        <w:tblPrEx>
          <w:tblCellMar>
            <w:top w:w="0" w:type="dxa"/>
            <w:left w:w="108" w:type="dxa"/>
            <w:bottom w:w="0" w:type="dxa"/>
            <w:right w:w="108" w:type="dxa"/>
          </w:tblCellMar>
        </w:tblPrEx>
        <w:trPr>
          <w:trHeight w:val="529"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北京市通州区农业综合执法大队</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孙艳艳</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13811997749</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08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ascii="宋体" w:hAnsi="宋体" w:cs="宋体"/>
                <w:kern w:val="0"/>
                <w:sz w:val="18"/>
                <w:szCs w:val="18"/>
              </w:rPr>
            </w:pPr>
            <w:r>
              <w:rPr>
                <w:rFonts w:hint="eastAsia" w:ascii="宋体" w:hAnsi="宋体" w:cs="宋体"/>
                <w:kern w:val="0"/>
                <w:sz w:val="18"/>
                <w:szCs w:val="18"/>
              </w:rPr>
              <w:t>开展动物卫生监督检查，对进京动物及动物产品查证验物并对运输车辆进行消毒，对动物实施产地检疫和屠宰检疫，对运输动物、动物产品车辆进行消毒，开展养殖、屠宰环节“瘦肉精”快速检测工作。</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动物卫生监督各项工作有序开展，年内无重大疫病传入传播</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检测猪肉（尿）、牛肉样本</w:t>
            </w:r>
          </w:p>
        </w:tc>
        <w:tc>
          <w:tcPr>
            <w:tcW w:w="93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3500份</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7000份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产地检疫、屠宰检疫动物</w:t>
            </w:r>
          </w:p>
        </w:tc>
        <w:tc>
          <w:tcPr>
            <w:tcW w:w="938" w:type="dxa"/>
            <w:tcBorders>
              <w:top w:val="nil"/>
              <w:left w:val="nil"/>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依申请开展</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590余  头只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000000"/>
                <w:kern w:val="0"/>
                <w:sz w:val="18"/>
                <w:szCs w:val="18"/>
              </w:rPr>
              <w:t>消毒进京、产地检疫、屠宰检疫车辆</w:t>
            </w:r>
          </w:p>
        </w:tc>
        <w:tc>
          <w:tcPr>
            <w:tcW w:w="93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兽药残留合格率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000000"/>
                <w:kern w:val="0"/>
                <w:sz w:val="18"/>
                <w:szCs w:val="18"/>
              </w:rPr>
              <w:t>出栏动物及出场动物产品检疫合格率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000000"/>
                <w:kern w:val="0"/>
                <w:sz w:val="18"/>
                <w:szCs w:val="18"/>
              </w:rPr>
              <w:t>进京动物及动物产品检疫合格率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000000"/>
                <w:kern w:val="0"/>
                <w:sz w:val="18"/>
                <w:szCs w:val="18"/>
              </w:rPr>
              <w:t>运输动物及动物产品车辆防疫安全率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动物卫生监督执法及时率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动卫执法有序开展</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Arial" w:hAnsi="Arial" w:cs="Arial"/>
                <w:kern w:val="0"/>
                <w:sz w:val="18"/>
                <w:szCs w:val="18"/>
              </w:rPr>
              <w:t>≤</w:t>
            </w:r>
            <w:r>
              <w:rPr>
                <w:rFonts w:hint="eastAsia" w:ascii="宋体" w:hAnsi="宋体" w:cs="宋体"/>
                <w:kern w:val="0"/>
                <w:sz w:val="18"/>
                <w:szCs w:val="18"/>
              </w:rPr>
              <w:t>80万元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tc>
        <w:tc>
          <w:tcPr>
            <w:tcW w:w="2001"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确保动物产品合格率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降低辖区发生私屠滥宰率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无发生</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降低运输动物及动物产品车辆引发重大动物疫情发生的风险</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无重大疫情发生</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000000"/>
                <w:kern w:val="0"/>
                <w:sz w:val="18"/>
                <w:szCs w:val="18"/>
              </w:rPr>
              <w:t>降低进京动物及动物产品引发重大动物疫情发生的风险</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有效降低</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有效降低</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000000"/>
                <w:kern w:val="0"/>
                <w:sz w:val="18"/>
                <w:szCs w:val="18"/>
              </w:rPr>
              <w:t>群众对经公路动物防疫监督检查站监督检查合格后进京的动物及动物产品检疫满意度率</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000000"/>
                <w:kern w:val="0"/>
                <w:sz w:val="18"/>
                <w:szCs w:val="18"/>
              </w:rPr>
              <w:t>群众对我区生产加工动物产品满意率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 2023年度）</w:t>
            </w:r>
          </w:p>
        </w:tc>
      </w:tr>
      <w:tr>
        <w:tblPrEx>
          <w:tblCellMar>
            <w:top w:w="0" w:type="dxa"/>
            <w:left w:w="108" w:type="dxa"/>
            <w:bottom w:w="0" w:type="dxa"/>
            <w:right w:w="108" w:type="dxa"/>
          </w:tblCellMar>
        </w:tblPrEx>
        <w:trPr>
          <w:trHeight w:val="454"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动物卫生监督协管员项目</w:t>
            </w:r>
          </w:p>
        </w:tc>
      </w:tr>
      <w:tr>
        <w:tblPrEx>
          <w:tblCellMar>
            <w:top w:w="0" w:type="dxa"/>
            <w:left w:w="108" w:type="dxa"/>
            <w:bottom w:w="0" w:type="dxa"/>
            <w:right w:w="108" w:type="dxa"/>
          </w:tblCellMar>
        </w:tblPrEx>
        <w:trPr>
          <w:trHeight w:val="502"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北京市通州区农业综合执法大队</w:t>
            </w:r>
          </w:p>
        </w:tc>
      </w:tr>
      <w:tr>
        <w:tblPrEx>
          <w:tblCellMar>
            <w:top w:w="0" w:type="dxa"/>
            <w:left w:w="108" w:type="dxa"/>
            <w:bottom w:w="0" w:type="dxa"/>
            <w:right w:w="108" w:type="dxa"/>
          </w:tblCellMar>
        </w:tblPrEx>
        <w:trPr>
          <w:trHeight w:val="454"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孙艳艳</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13811997749</w:t>
            </w:r>
          </w:p>
        </w:tc>
      </w:tr>
      <w:tr>
        <w:tblPrEx>
          <w:tblCellMar>
            <w:top w:w="0" w:type="dxa"/>
            <w:left w:w="108" w:type="dxa"/>
            <w:bottom w:w="0" w:type="dxa"/>
            <w:right w:w="108" w:type="dxa"/>
          </w:tblCellMar>
        </w:tblPrEx>
        <w:trPr>
          <w:trHeight w:val="454"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54"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205.84</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150.103866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150.103866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lang w:val="en-US" w:eastAsia="zh-CN"/>
              </w:rPr>
              <w:t>72.92</w:t>
            </w:r>
            <w:r>
              <w:rPr>
                <w:rFonts w:hint="eastAsia" w:ascii="宋体" w:hAnsi="宋体" w:cs="宋体"/>
                <w:kern w:val="0"/>
                <w:sz w:val="15"/>
                <w:szCs w:val="15"/>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5"/>
                <w:szCs w:val="15"/>
                <w:lang w:val="en-US" w:eastAsia="zh-CN"/>
              </w:rPr>
            </w:pPr>
            <w:r>
              <w:rPr>
                <w:rFonts w:hint="eastAsia" w:ascii="宋体" w:hAnsi="宋体" w:cs="宋体"/>
                <w:kern w:val="0"/>
                <w:sz w:val="15"/>
                <w:szCs w:val="15"/>
                <w:lang w:val="en-US" w:eastAsia="zh-CN"/>
              </w:rPr>
              <w:t>7.30</w:t>
            </w:r>
          </w:p>
        </w:tc>
      </w:tr>
      <w:tr>
        <w:tblPrEx>
          <w:tblCellMar>
            <w:top w:w="0" w:type="dxa"/>
            <w:left w:w="108" w:type="dxa"/>
            <w:bottom w:w="0" w:type="dxa"/>
            <w:right w:w="108" w:type="dxa"/>
          </w:tblCellMar>
        </w:tblPrEx>
        <w:trPr>
          <w:trHeight w:val="454"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205.84</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150.103866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150.103866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lang w:val="en-US" w:eastAsia="zh-CN"/>
              </w:rPr>
              <w:t>72.92</w:t>
            </w:r>
            <w:r>
              <w:rPr>
                <w:rFonts w:hint="eastAsia" w:ascii="宋体" w:hAnsi="宋体" w:cs="宋体"/>
                <w:kern w:val="0"/>
                <w:sz w:val="15"/>
                <w:szCs w:val="15"/>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r>
      <w:tr>
        <w:tblPrEx>
          <w:tblCellMar>
            <w:top w:w="0" w:type="dxa"/>
            <w:left w:w="108" w:type="dxa"/>
            <w:bottom w:w="0" w:type="dxa"/>
            <w:right w:w="108" w:type="dxa"/>
          </w:tblCellMar>
        </w:tblPrEx>
        <w:trPr>
          <w:trHeight w:val="454"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r>
      <w:tr>
        <w:tblPrEx>
          <w:tblCellMar>
            <w:top w:w="0" w:type="dxa"/>
            <w:left w:w="108" w:type="dxa"/>
            <w:bottom w:w="0" w:type="dxa"/>
            <w:right w:w="108" w:type="dxa"/>
          </w:tblCellMar>
        </w:tblPrEx>
        <w:trPr>
          <w:trHeight w:val="454"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r>
      <w:tr>
        <w:tblPrEx>
          <w:tblCellMar>
            <w:top w:w="0" w:type="dxa"/>
            <w:left w:w="108" w:type="dxa"/>
            <w:bottom w:w="0" w:type="dxa"/>
            <w:right w:w="108" w:type="dxa"/>
          </w:tblCellMar>
        </w:tblPrEx>
        <w:trPr>
          <w:trHeight w:val="588"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14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协助开展对外埠进京动物及动物产品的监督检查，开展进口冷链食品进京卡口查验工作，确保进京动物及动物产品质量安全和防疫安全，且能有效缓解执法人员严重超时工作的状态。</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年内本区无重大动物疫情发生蔓延</w:t>
            </w:r>
            <w:r>
              <w:rPr>
                <w:rFonts w:hint="eastAsia" w:ascii="宋体" w:hAnsi="宋体" w:cs="宋体"/>
                <w:color w:val="auto"/>
                <w:kern w:val="0"/>
                <w:sz w:val="18"/>
                <w:szCs w:val="18"/>
                <w:lang w:eastAsia="zh-CN"/>
              </w:rPr>
              <w:t>。</w:t>
            </w:r>
          </w:p>
        </w:tc>
      </w:tr>
      <w:tr>
        <w:tblPrEx>
          <w:tblCellMar>
            <w:top w:w="0" w:type="dxa"/>
            <w:left w:w="108" w:type="dxa"/>
            <w:bottom w:w="0" w:type="dxa"/>
            <w:right w:w="108" w:type="dxa"/>
          </w:tblCellMar>
        </w:tblPrEx>
        <w:trPr>
          <w:trHeight w:val="63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7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监督检查和消毒运输动物及动物产品车辆比例</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r>
      <w:tr>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招聘保安数量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r>
      <w:tr>
        <w:tblPrEx>
          <w:tblCellMar>
            <w:top w:w="0" w:type="dxa"/>
            <w:left w:w="108" w:type="dxa"/>
            <w:bottom w:w="0" w:type="dxa"/>
            <w:right w:w="108" w:type="dxa"/>
          </w:tblCellMar>
        </w:tblPrEx>
        <w:trPr>
          <w:trHeight w:val="53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招聘协管员数量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r>
      <w:tr>
        <w:tblPrEx>
          <w:tblCellMar>
            <w:top w:w="0" w:type="dxa"/>
            <w:left w:w="108" w:type="dxa"/>
            <w:bottom w:w="0" w:type="dxa"/>
            <w:right w:w="108" w:type="dxa"/>
          </w:tblCellMar>
        </w:tblPrEx>
        <w:trPr>
          <w:trHeight w:val="63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按规定协助开闸动卫监督相关工作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符合要求</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符合要求</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r>
      <w:tr>
        <w:tblPrEx>
          <w:tblCellMar>
            <w:top w:w="0" w:type="dxa"/>
            <w:left w:w="108" w:type="dxa"/>
            <w:bottom w:w="0" w:type="dxa"/>
            <w:right w:w="108" w:type="dxa"/>
          </w:tblCellMar>
        </w:tblPrEx>
        <w:trPr>
          <w:trHeight w:val="4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工资发放及时率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r>
      <w:tr>
        <w:tblPrEx>
          <w:tblCellMar>
            <w:top w:w="0" w:type="dxa"/>
            <w:left w:w="108" w:type="dxa"/>
            <w:bottom w:w="0" w:type="dxa"/>
            <w:right w:w="108" w:type="dxa"/>
          </w:tblCellMar>
        </w:tblPrEx>
        <w:trPr>
          <w:trHeight w:val="7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动物卫生监督协管员人员经费</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不高于150.103866万元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150.103866万元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r>
      <w:tr>
        <w:tblPrEx>
          <w:tblCellMar>
            <w:top w:w="0" w:type="dxa"/>
            <w:left w:w="108" w:type="dxa"/>
            <w:bottom w:w="0" w:type="dxa"/>
            <w:right w:w="108" w:type="dxa"/>
          </w:tblCellMar>
        </w:tblPrEx>
        <w:trPr>
          <w:trHeight w:val="67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有效缓解执法人员严重超时工作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有效缓解</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有效缓解</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r>
      <w:tr>
        <w:tblPrEx>
          <w:tblCellMar>
            <w:top w:w="0" w:type="dxa"/>
            <w:left w:w="108" w:type="dxa"/>
            <w:bottom w:w="0" w:type="dxa"/>
            <w:right w:w="108" w:type="dxa"/>
          </w:tblCellMar>
        </w:tblPrEx>
        <w:trPr>
          <w:trHeight w:val="6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进京动物及动物产品无疫安全率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r>
      <w:tr>
        <w:tblPrEx>
          <w:tblCellMar>
            <w:top w:w="0" w:type="dxa"/>
            <w:left w:w="108" w:type="dxa"/>
            <w:bottom w:w="0" w:type="dxa"/>
            <w:right w:w="108" w:type="dxa"/>
          </w:tblCellMar>
        </w:tblPrEx>
        <w:trPr>
          <w:trHeight w:val="8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单位和群众对协管员工作态度和业务能力的满意率</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95%以上</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p>
        </w:tc>
      </w:tr>
      <w:tr>
        <w:tblPrEx>
          <w:tblCellMar>
            <w:top w:w="0" w:type="dxa"/>
            <w:left w:w="108" w:type="dxa"/>
            <w:bottom w:w="0" w:type="dxa"/>
            <w:right w:w="108" w:type="dxa"/>
          </w:tblCellMar>
        </w:tblPrEx>
        <w:trPr>
          <w:trHeight w:val="454"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97.3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03"/>
        <w:gridCol w:w="147"/>
        <w:gridCol w:w="355"/>
        <w:gridCol w:w="416"/>
        <w:gridCol w:w="405"/>
        <w:gridCol w:w="431"/>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仿宋_GB2312" w:cs="宋体"/>
                <w:color w:val="auto"/>
                <w:kern w:val="0"/>
                <w:sz w:val="18"/>
                <w:szCs w:val="18"/>
                <w:lang w:eastAsia="zh-CN"/>
              </w:rPr>
            </w:pPr>
            <w:r>
              <w:rPr>
                <w:rFonts w:hint="eastAsia" w:ascii="仿宋_GB2312" w:hAnsi="仿宋_GB2312" w:eastAsia="仿宋_GB2312" w:cs="仿宋_GB2312"/>
                <w:kern w:val="0"/>
                <w:sz w:val="20"/>
                <w:szCs w:val="20"/>
                <w:lang w:val="en-US" w:eastAsia="zh-CN"/>
              </w:rPr>
              <w:t>渔政执法项目</w:t>
            </w:r>
          </w:p>
        </w:tc>
      </w:tr>
      <w:tr>
        <w:tblPrEx>
          <w:tblCellMar>
            <w:top w:w="0" w:type="dxa"/>
            <w:left w:w="108" w:type="dxa"/>
            <w:bottom w:w="0" w:type="dxa"/>
            <w:right w:w="108" w:type="dxa"/>
          </w:tblCellMar>
        </w:tblPrEx>
        <w:trPr>
          <w:trHeight w:val="475"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北京市通州区农业综合执法大队</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仿宋_GB2312" w:eastAsia="仿宋_GB2312" w:cs="仿宋_GB2312"/>
                <w:kern w:val="0"/>
                <w:sz w:val="20"/>
                <w:szCs w:val="20"/>
                <w:lang w:eastAsia="zh-CN"/>
              </w:rPr>
              <w:t>李梦佳</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13581689892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2.59</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2.59</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highlight w:val="none"/>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1</w:t>
            </w:r>
            <w:r>
              <w:rPr>
                <w:rFonts w:hint="eastAsia" w:ascii="宋体" w:hAnsi="宋体" w:cs="宋体"/>
                <w:color w:val="auto"/>
                <w:kern w:val="0"/>
                <w:sz w:val="18"/>
                <w:szCs w:val="18"/>
                <w:lang w:val="en-US" w:eastAsia="zh-CN"/>
              </w:rPr>
              <w:t>0</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2.59</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2.59</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eastAsia="宋体" w:cs="宋体"/>
                <w:kern w:val="0"/>
                <w:sz w:val="20"/>
                <w:szCs w:val="20"/>
                <w:lang w:eastAsia="zh-CN"/>
              </w:rPr>
              <w:t>保障</w:t>
            </w:r>
            <w:r>
              <w:rPr>
                <w:rFonts w:hint="eastAsia" w:ascii="宋体" w:hAnsi="宋体" w:eastAsia="宋体" w:cs="宋体"/>
                <w:kern w:val="0"/>
                <w:sz w:val="20"/>
                <w:szCs w:val="20"/>
              </w:rPr>
              <w:t>渔政、种子、农药、化肥、植保、农机</w:t>
            </w:r>
            <w:r>
              <w:rPr>
                <w:rFonts w:hint="eastAsia" w:ascii="宋体" w:hAnsi="宋体" w:eastAsia="宋体" w:cs="宋体"/>
                <w:kern w:val="0"/>
                <w:sz w:val="20"/>
                <w:szCs w:val="20"/>
                <w:lang w:eastAsia="zh-CN"/>
              </w:rPr>
              <w:t>等执法工作正常有序开展。</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eastAsia="宋体" w:cs="宋体"/>
                <w:kern w:val="0"/>
                <w:sz w:val="20"/>
                <w:szCs w:val="20"/>
                <w:lang w:eastAsia="zh-CN"/>
              </w:rPr>
              <w:t>保障</w:t>
            </w:r>
            <w:r>
              <w:rPr>
                <w:rFonts w:hint="eastAsia" w:ascii="宋体" w:hAnsi="宋体" w:eastAsia="宋体" w:cs="宋体"/>
                <w:kern w:val="0"/>
                <w:sz w:val="20"/>
                <w:szCs w:val="20"/>
              </w:rPr>
              <w:t>渔政、种子、农药、化肥、植保、农机</w:t>
            </w:r>
            <w:r>
              <w:rPr>
                <w:rFonts w:hint="eastAsia" w:ascii="宋体" w:hAnsi="宋体" w:eastAsia="宋体" w:cs="宋体"/>
                <w:kern w:val="0"/>
                <w:sz w:val="20"/>
                <w:szCs w:val="20"/>
                <w:lang w:eastAsia="zh-CN"/>
              </w:rPr>
              <w:t>等执法工作正常有序开展。</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绩</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效</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印制法制手册数量</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3000册</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12500册</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媒体报道篇次</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≥20次</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32次</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渔政快艇加油、保养、维修数量</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5艘</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5艘</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8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船员服务簿及船员证学习培训</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2人</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0人</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因当时机构改革，不能确定参训人员，该项工作未开展，资金已被财政收回</w:t>
            </w: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法制手册质量</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优良中低差</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优</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媒体报道效果</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优良中低差</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优</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渔政快艇使用情况</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优良中低差</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优</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渔政快艇持证驾驶率</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优良中低差</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优</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rPr>
              <w:t>印制法制手册</w:t>
            </w:r>
            <w:r>
              <w:rPr>
                <w:rFonts w:hint="eastAsia" w:ascii="宋体" w:hAnsi="宋体" w:cs="宋体"/>
                <w:color w:val="auto"/>
                <w:kern w:val="0"/>
                <w:sz w:val="18"/>
                <w:szCs w:val="18"/>
                <w:lang w:eastAsia="zh-CN"/>
              </w:rPr>
              <w:t>时效</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cs="宋体"/>
                <w:color w:val="auto"/>
                <w:kern w:val="0"/>
                <w:sz w:val="18"/>
                <w:szCs w:val="18"/>
              </w:rPr>
              <w:t>1个月</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&lt;</w:t>
            </w:r>
            <w:r>
              <w:rPr>
                <w:rFonts w:hint="eastAsia" w:ascii="宋体" w:hAnsi="宋体" w:cs="宋体"/>
                <w:color w:val="auto"/>
                <w:kern w:val="0"/>
                <w:sz w:val="18"/>
                <w:szCs w:val="18"/>
              </w:rPr>
              <w:t>1个月</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媒体报道发布</w:t>
            </w:r>
            <w:r>
              <w:rPr>
                <w:rFonts w:hint="eastAsia" w:ascii="宋体" w:hAnsi="宋体" w:cs="宋体"/>
                <w:color w:val="auto"/>
                <w:kern w:val="0"/>
                <w:sz w:val="18"/>
                <w:szCs w:val="18"/>
                <w:lang w:eastAsia="zh-CN"/>
              </w:rPr>
              <w:t>时效</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rPr>
              <w:t>3</w:t>
            </w:r>
            <w:r>
              <w:rPr>
                <w:rFonts w:hint="eastAsia" w:ascii="宋体" w:hAnsi="宋体" w:cs="宋体"/>
                <w:color w:val="auto"/>
                <w:kern w:val="0"/>
                <w:sz w:val="18"/>
                <w:szCs w:val="18"/>
                <w:lang w:eastAsia="zh-CN"/>
              </w:rPr>
              <w:t>个工作</w:t>
            </w:r>
            <w:r>
              <w:rPr>
                <w:rFonts w:hint="eastAsia" w:ascii="宋体" w:hAnsi="宋体" w:cs="宋体"/>
                <w:color w:val="auto"/>
                <w:kern w:val="0"/>
                <w:sz w:val="18"/>
                <w:szCs w:val="18"/>
              </w:rPr>
              <w:t>日</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cs="宋体"/>
                <w:color w:val="auto"/>
                <w:kern w:val="0"/>
                <w:sz w:val="18"/>
                <w:szCs w:val="18"/>
              </w:rPr>
              <w:t>3</w:t>
            </w:r>
            <w:r>
              <w:rPr>
                <w:rFonts w:hint="eastAsia" w:ascii="宋体" w:hAnsi="宋体" w:cs="宋体"/>
                <w:color w:val="auto"/>
                <w:kern w:val="0"/>
                <w:sz w:val="18"/>
                <w:szCs w:val="18"/>
                <w:lang w:eastAsia="zh-CN"/>
              </w:rPr>
              <w:t>个工作</w:t>
            </w:r>
            <w:r>
              <w:rPr>
                <w:rFonts w:hint="eastAsia" w:ascii="宋体" w:hAnsi="宋体" w:cs="宋体"/>
                <w:color w:val="auto"/>
                <w:kern w:val="0"/>
                <w:sz w:val="18"/>
                <w:szCs w:val="18"/>
              </w:rPr>
              <w:t>日</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渔政快艇运维次数</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高中低</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高</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7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快艇驾驶证学习培训</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好坏</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坏</w:t>
            </w:r>
          </w:p>
        </w:tc>
        <w:tc>
          <w:tcPr>
            <w:tcW w:w="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因当时机构改革，不能确定参训人员，该项工作未开展，资金已被财政收回</w:t>
            </w: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印制法制手册</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20元/</w:t>
            </w:r>
            <w:r>
              <w:rPr>
                <w:rFonts w:hint="eastAsia" w:ascii="宋体" w:hAnsi="宋体" w:cs="宋体"/>
                <w:color w:val="auto"/>
                <w:kern w:val="0"/>
                <w:sz w:val="18"/>
                <w:szCs w:val="18"/>
                <w:lang w:eastAsia="zh-CN"/>
              </w:rPr>
              <w:t>套</w:t>
            </w:r>
          </w:p>
        </w:tc>
        <w:tc>
          <w:tcPr>
            <w:tcW w:w="9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20元/</w:t>
            </w:r>
            <w:r>
              <w:rPr>
                <w:rFonts w:hint="eastAsia" w:ascii="宋体" w:hAnsi="宋体" w:cs="宋体"/>
                <w:color w:val="auto"/>
                <w:kern w:val="0"/>
                <w:sz w:val="18"/>
                <w:szCs w:val="18"/>
                <w:lang w:eastAsia="zh-CN"/>
              </w:rPr>
              <w:t>套</w:t>
            </w:r>
          </w:p>
        </w:tc>
        <w:tc>
          <w:tcPr>
            <w:tcW w:w="5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媒体报道</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6万元</w:t>
            </w:r>
          </w:p>
        </w:tc>
        <w:tc>
          <w:tcPr>
            <w:tcW w:w="90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6万元</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77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渔政快艇运维金额</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万元</w:t>
            </w:r>
          </w:p>
        </w:tc>
        <w:tc>
          <w:tcPr>
            <w:tcW w:w="90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4.6141</w:t>
            </w:r>
            <w:r>
              <w:rPr>
                <w:rFonts w:hint="eastAsia" w:ascii="宋体" w:hAnsi="宋体" w:cs="宋体"/>
                <w:color w:val="auto"/>
                <w:kern w:val="0"/>
                <w:sz w:val="18"/>
                <w:szCs w:val="18"/>
              </w:rPr>
              <w:t>万元</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1.025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eastAsia="zh-CN"/>
              </w:rPr>
              <w:t>因河道水位不足及受疫情影响，渔政快艇使用未达预期，剩余资金已被财政收回</w:t>
            </w:r>
          </w:p>
        </w:tc>
      </w:tr>
      <w:tr>
        <w:tblPrEx>
          <w:tblCellMar>
            <w:top w:w="0" w:type="dxa"/>
            <w:left w:w="108" w:type="dxa"/>
            <w:bottom w:w="0" w:type="dxa"/>
            <w:right w:w="108" w:type="dxa"/>
          </w:tblCellMar>
        </w:tblPrEx>
        <w:trPr>
          <w:trHeight w:val="17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快艇驾驶证学习考试</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1万元/人</w:t>
            </w:r>
          </w:p>
        </w:tc>
        <w:tc>
          <w:tcPr>
            <w:tcW w:w="90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0人</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因当时机构改革，不能确定参训人员，该项工作未开展，资金已被财政收回</w:t>
            </w: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渔政执法成效</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优良中低差</w:t>
            </w:r>
          </w:p>
        </w:tc>
        <w:tc>
          <w:tcPr>
            <w:tcW w:w="9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优</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水上违法行为处理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优良中低差</w:t>
            </w:r>
          </w:p>
        </w:tc>
        <w:tc>
          <w:tcPr>
            <w:tcW w:w="9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优</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河道巡查频率和效果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优良中低差</w:t>
            </w:r>
          </w:p>
        </w:tc>
        <w:tc>
          <w:tcPr>
            <w:tcW w:w="9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优</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生态效益指标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渔业水域生态环境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优良中低差</w:t>
            </w:r>
          </w:p>
        </w:tc>
        <w:tc>
          <w:tcPr>
            <w:tcW w:w="9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优</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满意度指标</w:t>
            </w:r>
          </w:p>
        </w:tc>
        <w:tc>
          <w:tcPr>
            <w:tcW w:w="1086" w:type="dxa"/>
            <w:vMerge w:val="restart"/>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群众对通州渔政执法工作满意度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90%以上</w:t>
            </w:r>
          </w:p>
        </w:tc>
        <w:tc>
          <w:tcPr>
            <w:tcW w:w="90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快艇使用人员对快艇使用满意度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9</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以上</w:t>
            </w:r>
          </w:p>
        </w:tc>
        <w:tc>
          <w:tcPr>
            <w:tcW w:w="90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7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96.025</w:t>
            </w:r>
          </w:p>
          <w:p>
            <w:pPr>
              <w:widowControl/>
              <w:spacing w:line="240" w:lineRule="exact"/>
              <w:jc w:val="center"/>
              <w:rPr>
                <w:rFonts w:hint="default" w:ascii="宋体" w:hAnsi="宋体" w:cs="宋体"/>
                <w:color w:val="auto"/>
                <w:kern w:val="0"/>
                <w:sz w:val="18"/>
                <w:szCs w:val="18"/>
                <w:lang w:val="en-US" w:eastAsia="zh-CN"/>
              </w:rPr>
            </w:pPr>
          </w:p>
        </w:tc>
        <w:tc>
          <w:tcPr>
            <w:tcW w:w="11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59"/>
        <w:gridCol w:w="1080"/>
        <w:gridCol w:w="1080"/>
        <w:gridCol w:w="570"/>
        <w:gridCol w:w="139"/>
        <w:gridCol w:w="416"/>
        <w:gridCol w:w="420"/>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北京市通州区农民艺术节农民丰收节</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5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区委农工委区农业农村局</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24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区委农工委党建中心</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5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王艳</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24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81591650</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99.98%</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99.98%</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2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2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94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02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为更好地贯彻落实习近平总书记关于中国农民丰收节的重要指示精神，秉承庆祝丰收、弘扬文化、振兴乡村的宗旨，坚决贯彻落实习近平总书记关于“三农”工作的重要论述和重要指示批示精神，聚焦全面推进乡村振兴不断取得新成效</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在提高农民融入度、社会参与面上下功夫。202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通州区坚持农民节日为农民，加强实化节庆内容、活化节庆形式、深化节庆内涵、强化节庆市场力度，更多采取贴近农业生产、农村习俗、农民生活的载体，唱响爱党感恩主旋律，讴歌中国特色社会主义新时代，展现乡村建设新面貌，弘扬传承优秀农耕文化，彰显本区农民新风采，努力把“通州区农民两节”打造成做强乡村产业的重要载体、展示农民风采的特色平台，助力农村更富裕、生活更幸福、乡村更美丽。</w:t>
            </w:r>
          </w:p>
        </w:tc>
        <w:tc>
          <w:tcPr>
            <w:tcW w:w="3324" w:type="dxa"/>
            <w:gridSpan w:val="6"/>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right="0" w:rightChars="0" w:firstLine="0" w:firstLineChars="0"/>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20"/>
                <w:szCs w:val="20"/>
                <w:lang w:val="en-US" w:eastAsia="zh-CN"/>
              </w:rPr>
              <w:t>2023年通州区农民艺术节农民丰收节均已按照相关文件要求完成各项活动，</w:t>
            </w:r>
            <w:r>
              <w:rPr>
                <w:rFonts w:hint="eastAsia" w:ascii="宋体" w:hAnsi="宋体" w:eastAsia="宋体" w:cs="宋体"/>
                <w:b w:val="0"/>
                <w:bCs w:val="0"/>
                <w:sz w:val="20"/>
                <w:szCs w:val="20"/>
                <w:lang w:val="en-US" w:eastAsia="zh-CN"/>
              </w:rPr>
              <w:t>农民艺术节”年年有新意，届届有特色，每年的“农民艺术节”文艺演出均紧扣主题，唱响了时代最强音。参演的节目有筋骨、有温度，具有大众化、通俗化、多样化的特点，生动展现近年来通州区人民奋发向上的良好精神风貌，打造专属城市副中心的农民艺术节、农民丰收节文化品牌。</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83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针对11个乡镇开展乡村艺术节活动，收集活动作品数量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≥230个</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230个</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4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从全区各乡镇评选参加通州农民两节开幕式优秀作品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≥8个</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8个</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开展金秋消费季活动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1次</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25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全区11个乡镇每个乡镇选送书画通州美丽乡村、走进乡村主题文化教育节目数量参加市级比赛评审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4"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通州区农民艺术节活动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年12月31日前完成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已于</w:t>
            </w:r>
            <w:r>
              <w:rPr>
                <w:rFonts w:hint="eastAsia" w:ascii="宋体" w:hAnsi="宋体" w:cs="宋体"/>
                <w:color w:val="auto"/>
                <w:kern w:val="0"/>
                <w:sz w:val="18"/>
                <w:szCs w:val="18"/>
                <w:lang w:val="en-US" w:eastAsia="zh-CN"/>
              </w:rPr>
              <w:t>2023年12月31日前完成</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通州区农民丰收节活动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年12月31日前完成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已于</w:t>
            </w:r>
            <w:r>
              <w:rPr>
                <w:rFonts w:hint="eastAsia" w:ascii="宋体" w:hAnsi="宋体" w:cs="宋体"/>
                <w:color w:val="auto"/>
                <w:kern w:val="0"/>
                <w:sz w:val="18"/>
                <w:szCs w:val="18"/>
                <w:lang w:val="en-US" w:eastAsia="zh-CN"/>
              </w:rPr>
              <w:t>2023年12月31日前完成</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项目控制成本</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99.98万元</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984"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“农民两节”活动的举办，很大提高了广大农民群众的获得感、幸福感，效果显著；“农民两节”活动的举办，提升了通州区广大人民群众文化素养。</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效果显著</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效果显著</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4"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参演人员对“农民两节”活动满意度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96" w:hRule="exact"/>
          <w:jc w:val="center"/>
        </w:trPr>
        <w:tc>
          <w:tcPr>
            <w:tcW w:w="668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7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pPr w:leftFromText="180" w:rightFromText="180" w:vertAnchor="text" w:horzAnchor="page" w:tblpX="1582" w:tblpY="117"/>
        <w:tblOverlap w:val="never"/>
        <w:tblW w:w="9295" w:type="dxa"/>
        <w:tblInd w:w="0" w:type="dxa"/>
        <w:tblLayout w:type="fixed"/>
        <w:tblCellMar>
          <w:top w:w="0" w:type="dxa"/>
          <w:left w:w="108" w:type="dxa"/>
          <w:bottom w:w="0" w:type="dxa"/>
          <w:right w:w="108" w:type="dxa"/>
        </w:tblCellMar>
      </w:tblPr>
      <w:tblGrid>
        <w:gridCol w:w="578"/>
        <w:gridCol w:w="832"/>
        <w:gridCol w:w="945"/>
        <w:gridCol w:w="996"/>
        <w:gridCol w:w="894"/>
        <w:gridCol w:w="1245"/>
        <w:gridCol w:w="1260"/>
        <w:gridCol w:w="490"/>
        <w:gridCol w:w="545"/>
        <w:gridCol w:w="775"/>
        <w:gridCol w:w="735"/>
      </w:tblGrid>
      <w:tr>
        <w:tblPrEx>
          <w:tblCellMar>
            <w:top w:w="0" w:type="dxa"/>
            <w:left w:w="108" w:type="dxa"/>
            <w:bottom w:w="0" w:type="dxa"/>
            <w:right w:w="108" w:type="dxa"/>
          </w:tblCellMar>
        </w:tblPrEx>
        <w:trPr>
          <w:trHeight w:val="440" w:hRule="exact"/>
        </w:trPr>
        <w:tc>
          <w:tcPr>
            <w:tcW w:w="9295" w:type="dxa"/>
            <w:gridSpan w:val="11"/>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trPr>
        <w:tc>
          <w:tcPr>
            <w:tcW w:w="9295" w:type="dxa"/>
            <w:gridSpan w:val="11"/>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trPr>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885"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农村实用人才培养和奖励经费</w:t>
            </w:r>
          </w:p>
        </w:tc>
      </w:tr>
      <w:tr>
        <w:tblPrEx>
          <w:tblCellMar>
            <w:top w:w="0" w:type="dxa"/>
            <w:left w:w="108" w:type="dxa"/>
            <w:bottom w:w="0" w:type="dxa"/>
            <w:right w:w="108" w:type="dxa"/>
          </w:tblCellMar>
        </w:tblPrEx>
        <w:trPr>
          <w:trHeight w:val="291" w:hRule="exact"/>
        </w:trPr>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8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w:t>
            </w:r>
            <w:r>
              <w:rPr>
                <w:rFonts w:hint="eastAsia" w:ascii="宋体" w:hAnsi="宋体" w:cs="宋体"/>
                <w:color w:val="auto"/>
                <w:kern w:val="0"/>
                <w:sz w:val="18"/>
                <w:szCs w:val="18"/>
                <w:lang w:val="en-US" w:eastAsia="zh-CN"/>
              </w:rPr>
              <w:t>农业农村</w:t>
            </w:r>
            <w:r>
              <w:rPr>
                <w:rFonts w:hint="eastAsia" w:ascii="宋体" w:hAnsi="宋体" w:cs="宋体"/>
                <w:color w:val="auto"/>
                <w:kern w:val="0"/>
                <w:sz w:val="18"/>
                <w:szCs w:val="18"/>
                <w:lang w:eastAsia="zh-CN"/>
              </w:rPr>
              <w:t>局</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4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trPr>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8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柳海燕</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4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13552806216</w:t>
            </w:r>
          </w:p>
        </w:tc>
      </w:tr>
      <w:tr>
        <w:tblPrEx>
          <w:tblCellMar>
            <w:top w:w="0" w:type="dxa"/>
            <w:left w:w="108" w:type="dxa"/>
            <w:bottom w:w="0" w:type="dxa"/>
            <w:right w:w="108" w:type="dxa"/>
          </w:tblCellMar>
        </w:tblPrEx>
        <w:trPr>
          <w:trHeight w:val="559" w:hRule="exact"/>
        </w:trPr>
        <w:tc>
          <w:tcPr>
            <w:tcW w:w="14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10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7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59.99</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59.99</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55.94</w:t>
            </w:r>
          </w:p>
        </w:tc>
        <w:tc>
          <w:tcPr>
            <w:tcW w:w="10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7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93.25%</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59.99</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59.99</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55.94</w:t>
            </w:r>
          </w:p>
        </w:tc>
        <w:tc>
          <w:tcPr>
            <w:tcW w:w="10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93.25%</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1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8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451" w:hRule="exact"/>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1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目标1：举办农村实用人才培训班，提升农村人才的创新创业能力；</w:t>
            </w:r>
          </w:p>
          <w:p>
            <w:pPr>
              <w:widowControl/>
              <w:spacing w:line="240" w:lineRule="exact"/>
              <w:jc w:val="center"/>
              <w:rPr>
                <w:rFonts w:hint="eastAsia" w:ascii="宋体" w:hAnsi="宋体" w:eastAsia="宋体" w:cs="宋体"/>
                <w:color w:val="000000"/>
                <w:kern w:val="0"/>
                <w:sz w:val="20"/>
                <w:szCs w:val="20"/>
              </w:rPr>
            </w:pPr>
            <w:r>
              <w:rPr>
                <w:rFonts w:hint="eastAsia" w:ascii="宋体" w:hAnsi="宋体" w:cs="宋体"/>
                <w:color w:val="auto"/>
                <w:kern w:val="0"/>
                <w:sz w:val="18"/>
                <w:szCs w:val="18"/>
              </w:rPr>
              <w:t>目标2：奖励农村实用人才指导老师，鼓励老师积极性，</w:t>
            </w:r>
            <w:r>
              <w:rPr>
                <w:rFonts w:hint="eastAsia" w:ascii="宋体" w:hAnsi="宋体" w:eastAsia="宋体" w:cs="宋体"/>
                <w:color w:val="000000"/>
                <w:kern w:val="0"/>
                <w:sz w:val="20"/>
                <w:szCs w:val="20"/>
              </w:rPr>
              <w:t>提高帮带效果；</w:t>
            </w:r>
          </w:p>
          <w:p>
            <w:pPr>
              <w:widowControl/>
              <w:spacing w:line="240" w:lineRule="exact"/>
              <w:jc w:val="center"/>
              <w:rPr>
                <w:rFonts w:ascii="宋体" w:hAnsi="宋体" w:cs="宋体"/>
                <w:color w:val="auto"/>
                <w:kern w:val="0"/>
                <w:sz w:val="18"/>
                <w:szCs w:val="18"/>
              </w:rPr>
            </w:pPr>
            <w:r>
              <w:rPr>
                <w:rFonts w:hint="eastAsia" w:ascii="宋体" w:hAnsi="宋体" w:eastAsia="宋体" w:cs="宋体"/>
                <w:color w:val="000000"/>
                <w:kern w:val="0"/>
                <w:sz w:val="20"/>
                <w:szCs w:val="20"/>
              </w:rPr>
              <w:t>目标3：举办高素质农民培训班，提升农民的综合素质。</w:t>
            </w:r>
          </w:p>
        </w:tc>
        <w:tc>
          <w:tcPr>
            <w:tcW w:w="3805" w:type="dxa"/>
            <w:gridSpan w:val="5"/>
            <w:tcBorders>
              <w:top w:val="single" w:color="auto" w:sz="4" w:space="0"/>
              <w:left w:val="nil"/>
              <w:bottom w:val="single" w:color="auto" w:sz="4" w:space="0"/>
              <w:right w:val="single" w:color="auto" w:sz="4" w:space="0"/>
            </w:tcBorders>
            <w:noWrap w:val="0"/>
            <w:vAlign w:val="center"/>
          </w:tcPr>
          <w:p>
            <w:pPr>
              <w:widowControl/>
              <w:numPr>
                <w:ilvl w:val="0"/>
                <w:numId w:val="1"/>
              </w:numPr>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举办中高级农村实用人才培训班，共培训100人；</w:t>
            </w:r>
          </w:p>
          <w:p>
            <w:pPr>
              <w:widowControl/>
              <w:numPr>
                <w:ilvl w:val="0"/>
                <w:numId w:val="1"/>
              </w:numPr>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奖励农村实用人才指导老师</w:t>
            </w:r>
            <w:r>
              <w:rPr>
                <w:rFonts w:hint="eastAsia" w:ascii="宋体" w:hAnsi="宋体" w:cs="宋体"/>
                <w:color w:val="auto"/>
                <w:kern w:val="0"/>
                <w:sz w:val="18"/>
                <w:szCs w:val="18"/>
                <w:lang w:val="en-US" w:eastAsia="zh-CN"/>
              </w:rPr>
              <w:t>28人，共计发放奖金10.9万元；</w:t>
            </w:r>
          </w:p>
          <w:p>
            <w:pPr>
              <w:widowControl/>
              <w:numPr>
                <w:ilvl w:val="0"/>
                <w:numId w:val="1"/>
              </w:numPr>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举办农民培训班20个，共计培训农民1172人。</w:t>
            </w:r>
          </w:p>
        </w:tc>
      </w:tr>
      <w:tr>
        <w:tblPrEx>
          <w:tblCellMar>
            <w:top w:w="0" w:type="dxa"/>
            <w:left w:w="108" w:type="dxa"/>
            <w:bottom w:w="0" w:type="dxa"/>
            <w:right w:w="108" w:type="dxa"/>
          </w:tblCellMar>
        </w:tblPrEx>
        <w:trPr>
          <w:trHeight w:val="517" w:hRule="exact"/>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8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4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培训班（全年）期</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2期</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2期</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培训人次（全年）</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100人</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100人</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指导老师评判标准</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责任心强，帮带效果好</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责任心强，帮带效果好</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第一期培训</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5月底</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5月底</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第二期培训</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10月底前</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5月底</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培训人均成本</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550元/人/天</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480元/人/天</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会议定点降标</w:t>
            </w: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培训项目总成本</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23.35万元</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19.3万元</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会议定点降标</w:t>
            </w:r>
          </w:p>
        </w:tc>
      </w:tr>
      <w:tr>
        <w:tblPrEx>
          <w:tblCellMar>
            <w:top w:w="0" w:type="dxa"/>
            <w:left w:w="108" w:type="dxa"/>
            <w:bottom w:w="0" w:type="dxa"/>
            <w:right w:w="108" w:type="dxa"/>
          </w:tblCellMar>
        </w:tblPrEx>
        <w:trPr>
          <w:trHeight w:val="567" w:hRule="atLeast"/>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实用人才数量与质量</w:t>
            </w:r>
          </w:p>
        </w:tc>
        <w:tc>
          <w:tcPr>
            <w:tcW w:w="12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有所提高</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有所提高</w:t>
            </w:r>
          </w:p>
        </w:tc>
        <w:tc>
          <w:tcPr>
            <w:tcW w:w="4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示范带动作用</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有所提高</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有所提高</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9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服务对象满意度</w:t>
            </w:r>
          </w:p>
        </w:tc>
        <w:tc>
          <w:tcPr>
            <w:tcW w:w="1245"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85%以上</w:t>
            </w:r>
          </w:p>
        </w:tc>
        <w:tc>
          <w:tcPr>
            <w:tcW w:w="1260"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85%以上</w:t>
            </w:r>
          </w:p>
        </w:tc>
        <w:tc>
          <w:tcPr>
            <w:tcW w:w="4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1" w:hRule="exact"/>
        </w:trPr>
        <w:tc>
          <w:tcPr>
            <w:tcW w:w="675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0</w:t>
            </w:r>
          </w:p>
        </w:tc>
        <w:tc>
          <w:tcPr>
            <w:tcW w:w="5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98.6</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p>
      <w:pPr>
        <w:rPr>
          <w:rFonts w:hint="eastAsia"/>
          <w:lang w:eastAsia="zh-CN"/>
        </w:rPr>
      </w:pPr>
    </w:p>
    <w:tbl>
      <w:tblPr>
        <w:tblStyle w:val="12"/>
        <w:tblpPr w:leftFromText="180" w:rightFromText="180" w:vertAnchor="text" w:horzAnchor="page" w:tblpX="1582" w:tblpY="117"/>
        <w:tblOverlap w:val="never"/>
        <w:tblW w:w="9295" w:type="dxa"/>
        <w:tblInd w:w="0" w:type="dxa"/>
        <w:tblLayout w:type="fixed"/>
        <w:tblCellMar>
          <w:top w:w="0" w:type="dxa"/>
          <w:left w:w="108" w:type="dxa"/>
          <w:bottom w:w="0" w:type="dxa"/>
          <w:right w:w="108" w:type="dxa"/>
        </w:tblCellMar>
      </w:tblPr>
      <w:tblGrid>
        <w:gridCol w:w="578"/>
        <w:gridCol w:w="832"/>
        <w:gridCol w:w="945"/>
        <w:gridCol w:w="996"/>
        <w:gridCol w:w="1294"/>
        <w:gridCol w:w="845"/>
        <w:gridCol w:w="1260"/>
        <w:gridCol w:w="490"/>
        <w:gridCol w:w="645"/>
        <w:gridCol w:w="675"/>
        <w:gridCol w:w="735"/>
      </w:tblGrid>
      <w:tr>
        <w:tblPrEx>
          <w:tblCellMar>
            <w:top w:w="0" w:type="dxa"/>
            <w:left w:w="108" w:type="dxa"/>
            <w:bottom w:w="0" w:type="dxa"/>
            <w:right w:w="108" w:type="dxa"/>
          </w:tblCellMar>
        </w:tblPrEx>
        <w:trPr>
          <w:trHeight w:val="440" w:hRule="exact"/>
        </w:trPr>
        <w:tc>
          <w:tcPr>
            <w:tcW w:w="9295" w:type="dxa"/>
            <w:gridSpan w:val="11"/>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trPr>
        <w:tc>
          <w:tcPr>
            <w:tcW w:w="9295" w:type="dxa"/>
            <w:gridSpan w:val="11"/>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trPr>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885"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2023年农业经营主体能力提升资金的通知-高素质农民培育</w:t>
            </w:r>
          </w:p>
        </w:tc>
      </w:tr>
      <w:tr>
        <w:tblPrEx>
          <w:tblCellMar>
            <w:top w:w="0" w:type="dxa"/>
            <w:left w:w="108" w:type="dxa"/>
            <w:bottom w:w="0" w:type="dxa"/>
            <w:right w:w="108" w:type="dxa"/>
          </w:tblCellMar>
        </w:tblPrEx>
        <w:trPr>
          <w:trHeight w:val="291" w:hRule="exact"/>
        </w:trPr>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8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北京市农业农村局</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4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trPr>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8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柳海燕</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4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13552806216</w:t>
            </w:r>
          </w:p>
        </w:tc>
      </w:tr>
      <w:tr>
        <w:tblPrEx>
          <w:tblCellMar>
            <w:top w:w="0" w:type="dxa"/>
            <w:left w:w="108" w:type="dxa"/>
            <w:bottom w:w="0" w:type="dxa"/>
            <w:right w:w="108" w:type="dxa"/>
          </w:tblCellMar>
        </w:tblPrEx>
        <w:trPr>
          <w:trHeight w:val="559" w:hRule="exact"/>
        </w:trPr>
        <w:tc>
          <w:tcPr>
            <w:tcW w:w="14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年初预算数</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29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29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29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29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1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8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451" w:hRule="exact"/>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1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面向通州区家庭农场主、农民合作社带头人、种养殖户和返乡下乡创新创业者等重点对象，培育高素质农民不少于</w:t>
            </w:r>
            <w:r>
              <w:rPr>
                <w:rFonts w:hint="eastAsia" w:ascii="宋体" w:hAnsi="宋体" w:cs="宋体"/>
                <w:color w:val="auto"/>
                <w:kern w:val="0"/>
                <w:sz w:val="18"/>
                <w:szCs w:val="18"/>
                <w:lang w:val="en-US" w:eastAsia="zh-CN"/>
              </w:rPr>
              <w:t>100人，人均培训学时4天，按照“四个精准”培育对象综合满意度不低于85%。</w:t>
            </w:r>
          </w:p>
        </w:tc>
        <w:tc>
          <w:tcPr>
            <w:tcW w:w="3805" w:type="dxa"/>
            <w:gridSpan w:val="5"/>
            <w:tcBorders>
              <w:top w:val="single" w:color="auto" w:sz="4" w:space="0"/>
              <w:left w:val="nil"/>
              <w:bottom w:val="single" w:color="auto" w:sz="4" w:space="0"/>
              <w:right w:val="single" w:color="auto" w:sz="4" w:space="0"/>
            </w:tcBorders>
            <w:noWrap w:val="0"/>
            <w:vAlign w:val="center"/>
          </w:tcPr>
          <w:p>
            <w:pPr>
              <w:widowControl/>
              <w:numPr>
                <w:ilvl w:val="0"/>
                <w:numId w:val="0"/>
              </w:numPr>
              <w:spacing w:line="240" w:lineRule="exact"/>
              <w:jc w:val="both"/>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举办高素质农民培训班3期，培育高素质农民107人，培训满意度达到95%以上。</w:t>
            </w:r>
          </w:p>
        </w:tc>
      </w:tr>
      <w:tr>
        <w:tblPrEx>
          <w:tblCellMar>
            <w:top w:w="0" w:type="dxa"/>
            <w:left w:w="108" w:type="dxa"/>
            <w:bottom w:w="0" w:type="dxa"/>
            <w:right w:w="108" w:type="dxa"/>
          </w:tblCellMar>
        </w:tblPrEx>
        <w:trPr>
          <w:trHeight w:val="517" w:hRule="exact"/>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8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2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2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高素质农民培育数量（人）</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东文宋体" w:hAnsi="东文宋体" w:eastAsia="东文宋体" w:cs="东文宋体"/>
                <w:color w:val="auto"/>
                <w:kern w:val="0"/>
                <w:sz w:val="18"/>
                <w:szCs w:val="18"/>
                <w:lang w:val="en-US" w:eastAsia="zh-CN"/>
              </w:rPr>
              <w:t>≥</w:t>
            </w:r>
            <w:r>
              <w:rPr>
                <w:rFonts w:hint="eastAsia" w:ascii="宋体" w:hAnsi="宋体" w:cs="宋体"/>
                <w:color w:val="auto"/>
                <w:kern w:val="0"/>
                <w:sz w:val="18"/>
                <w:szCs w:val="18"/>
                <w:lang w:val="en-US" w:eastAsia="zh-CN"/>
              </w:rPr>
              <w:t>100</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107</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29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提高农民综合素质</w:t>
            </w:r>
          </w:p>
        </w:tc>
        <w:tc>
          <w:tcPr>
            <w:tcW w:w="84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有所提高</w:t>
            </w:r>
          </w:p>
        </w:tc>
        <w:tc>
          <w:tcPr>
            <w:tcW w:w="126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有所提高</w:t>
            </w:r>
          </w:p>
        </w:tc>
        <w:tc>
          <w:tcPr>
            <w:tcW w:w="49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64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29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高素质农民培育对象满意度（</w:t>
            </w:r>
            <w:r>
              <w:rPr>
                <w:rFonts w:hint="eastAsia" w:ascii="宋体" w:hAnsi="宋体" w:cs="宋体"/>
                <w:color w:val="auto"/>
                <w:kern w:val="0"/>
                <w:sz w:val="18"/>
                <w:szCs w:val="18"/>
                <w:lang w:val="en-US" w:eastAsia="zh-CN"/>
              </w:rPr>
              <w:t>%）</w:t>
            </w:r>
          </w:p>
        </w:tc>
        <w:tc>
          <w:tcPr>
            <w:tcW w:w="845"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东文宋体" w:hAnsi="东文宋体" w:eastAsia="东文宋体" w:cs="东文宋体"/>
                <w:color w:val="auto"/>
                <w:kern w:val="0"/>
                <w:sz w:val="18"/>
                <w:szCs w:val="18"/>
                <w:lang w:val="en-US" w:eastAsia="zh-CN"/>
              </w:rPr>
              <w:t>≥</w:t>
            </w:r>
            <w:r>
              <w:rPr>
                <w:rFonts w:hint="eastAsia" w:ascii="宋体" w:hAnsi="宋体" w:cs="宋体"/>
                <w:color w:val="auto"/>
                <w:kern w:val="0"/>
                <w:sz w:val="18"/>
                <w:szCs w:val="18"/>
                <w:lang w:val="en-US" w:eastAsia="zh-CN"/>
              </w:rPr>
              <w:t>85%</w:t>
            </w:r>
          </w:p>
        </w:tc>
        <w:tc>
          <w:tcPr>
            <w:tcW w:w="1260"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95%以上</w:t>
            </w:r>
          </w:p>
        </w:tc>
        <w:tc>
          <w:tcPr>
            <w:tcW w:w="4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trPr>
        <w:tc>
          <w:tcPr>
            <w:tcW w:w="675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pPr w:leftFromText="180" w:rightFromText="180" w:vertAnchor="text" w:horzAnchor="page" w:tblpX="1582" w:tblpY="117"/>
        <w:tblOverlap w:val="never"/>
        <w:tblW w:w="9295" w:type="dxa"/>
        <w:tblInd w:w="0" w:type="dxa"/>
        <w:tblLayout w:type="fixed"/>
        <w:tblCellMar>
          <w:top w:w="0" w:type="dxa"/>
          <w:left w:w="108" w:type="dxa"/>
          <w:bottom w:w="0" w:type="dxa"/>
          <w:right w:w="108" w:type="dxa"/>
        </w:tblCellMar>
      </w:tblPr>
      <w:tblGrid>
        <w:gridCol w:w="578"/>
        <w:gridCol w:w="832"/>
        <w:gridCol w:w="945"/>
        <w:gridCol w:w="996"/>
        <w:gridCol w:w="894"/>
        <w:gridCol w:w="1245"/>
        <w:gridCol w:w="1260"/>
        <w:gridCol w:w="490"/>
        <w:gridCol w:w="645"/>
        <w:gridCol w:w="675"/>
        <w:gridCol w:w="735"/>
      </w:tblGrid>
      <w:tr>
        <w:tblPrEx>
          <w:tblCellMar>
            <w:top w:w="0" w:type="dxa"/>
            <w:left w:w="108" w:type="dxa"/>
            <w:bottom w:w="0" w:type="dxa"/>
            <w:right w:w="108" w:type="dxa"/>
          </w:tblCellMar>
        </w:tblPrEx>
        <w:trPr>
          <w:trHeight w:val="440" w:hRule="exact"/>
        </w:trPr>
        <w:tc>
          <w:tcPr>
            <w:tcW w:w="9295" w:type="dxa"/>
            <w:gridSpan w:val="11"/>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trPr>
        <w:tc>
          <w:tcPr>
            <w:tcW w:w="9295" w:type="dxa"/>
            <w:gridSpan w:val="11"/>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trPr>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885"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农村实用人才培养和奖励经费</w:t>
            </w:r>
          </w:p>
        </w:tc>
      </w:tr>
      <w:tr>
        <w:tblPrEx>
          <w:tblCellMar>
            <w:top w:w="0" w:type="dxa"/>
            <w:left w:w="108" w:type="dxa"/>
            <w:bottom w:w="0" w:type="dxa"/>
            <w:right w:w="108" w:type="dxa"/>
          </w:tblCellMar>
        </w:tblPrEx>
        <w:trPr>
          <w:trHeight w:val="291" w:hRule="exact"/>
        </w:trPr>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8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w:t>
            </w:r>
            <w:r>
              <w:rPr>
                <w:rFonts w:hint="eastAsia" w:ascii="宋体" w:hAnsi="宋体" w:cs="宋体"/>
                <w:color w:val="auto"/>
                <w:kern w:val="0"/>
                <w:sz w:val="18"/>
                <w:szCs w:val="18"/>
                <w:lang w:val="en-US" w:eastAsia="zh-CN"/>
              </w:rPr>
              <w:t>农业农村</w:t>
            </w:r>
            <w:r>
              <w:rPr>
                <w:rFonts w:hint="eastAsia" w:ascii="宋体" w:hAnsi="宋体" w:cs="宋体"/>
                <w:color w:val="auto"/>
                <w:kern w:val="0"/>
                <w:sz w:val="18"/>
                <w:szCs w:val="18"/>
                <w:lang w:eastAsia="zh-CN"/>
              </w:rPr>
              <w:t>局</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4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trPr>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8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柳海燕</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4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13552806216</w:t>
            </w:r>
          </w:p>
        </w:tc>
      </w:tr>
      <w:tr>
        <w:tblPrEx>
          <w:tblCellMar>
            <w:top w:w="0" w:type="dxa"/>
            <w:left w:w="108" w:type="dxa"/>
            <w:bottom w:w="0" w:type="dxa"/>
            <w:right w:w="108" w:type="dxa"/>
          </w:tblCellMar>
        </w:tblPrEx>
        <w:trPr>
          <w:trHeight w:val="559" w:hRule="exact"/>
        </w:trPr>
        <w:tc>
          <w:tcPr>
            <w:tcW w:w="14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年初预算数</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78.402</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78.402</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78.402</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78.402</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78.402</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78.402</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trPr>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89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1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8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011" w:hRule="exact"/>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12" w:type="dxa"/>
            <w:gridSpan w:val="5"/>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目标1：举办中级农村实用人才培训班，提高人才队伍综合素质</w:t>
            </w:r>
          </w:p>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 xml:space="preserve"> 目标2：举办高级农村实用人才培训班，提升人才创新创业能力</w:t>
            </w:r>
          </w:p>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 xml:space="preserve"> 目标3：奖励区级实训示范基地，激励基地引领、带动、培训周边农民的积极性</w:t>
            </w:r>
          </w:p>
          <w:p>
            <w:pPr>
              <w:widowControl/>
              <w:jc w:val="both"/>
              <w:rPr>
                <w:rFonts w:hint="eastAsia" w:ascii="宋体" w:hAnsi="宋体" w:cs="宋体"/>
                <w:color w:val="auto"/>
                <w:kern w:val="0"/>
                <w:sz w:val="18"/>
                <w:szCs w:val="18"/>
              </w:rPr>
            </w:pPr>
            <w:r>
              <w:rPr>
                <w:rFonts w:hint="eastAsia" w:ascii="宋体" w:hAnsi="宋体" w:cs="宋体"/>
                <w:color w:val="000000"/>
                <w:kern w:val="0"/>
                <w:sz w:val="24"/>
              </w:rPr>
              <w:t xml:space="preserve"> </w:t>
            </w:r>
            <w:r>
              <w:rPr>
                <w:rFonts w:hint="eastAsia" w:ascii="宋体" w:hAnsi="宋体" w:cs="宋体"/>
                <w:color w:val="auto"/>
                <w:kern w:val="0"/>
                <w:sz w:val="18"/>
                <w:szCs w:val="18"/>
              </w:rPr>
              <w:t>目标4：奖励农村实用人才指导老师，鼓励指导老师工作热情。</w:t>
            </w:r>
            <w:r>
              <w:rPr>
                <w:rFonts w:hint="eastAsia" w:ascii="宋体" w:hAnsi="宋体" w:cs="宋体"/>
                <w:color w:val="auto"/>
                <w:kern w:val="0"/>
                <w:sz w:val="18"/>
                <w:szCs w:val="18"/>
              </w:rPr>
              <w:tab/>
            </w:r>
            <w:r>
              <w:rPr>
                <w:rFonts w:hint="eastAsia" w:ascii="宋体" w:hAnsi="宋体" w:cs="宋体"/>
                <w:color w:val="auto"/>
                <w:kern w:val="0"/>
                <w:sz w:val="18"/>
                <w:szCs w:val="18"/>
              </w:rPr>
              <w:tab/>
            </w:r>
          </w:p>
          <w:p>
            <w:pPr>
              <w:widowControl/>
              <w:spacing w:line="240" w:lineRule="exact"/>
              <w:jc w:val="both"/>
              <w:rPr>
                <w:rFonts w:ascii="宋体" w:hAnsi="宋体" w:cs="宋体"/>
                <w:color w:val="auto"/>
                <w:kern w:val="0"/>
                <w:sz w:val="18"/>
                <w:szCs w:val="18"/>
              </w:rPr>
            </w:pPr>
          </w:p>
        </w:tc>
        <w:tc>
          <w:tcPr>
            <w:tcW w:w="38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1、受疫情影响，未举办中、高级农村实用人才培训班；</w:t>
            </w:r>
          </w:p>
          <w:p>
            <w:pPr>
              <w:widowControl/>
              <w:spacing w:line="240" w:lineRule="exact"/>
              <w:jc w:val="both"/>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lang w:eastAsia="zh-CN"/>
              </w:rPr>
              <w:t>奖励区级实训示范基地</w:t>
            </w:r>
            <w:r>
              <w:rPr>
                <w:rFonts w:hint="eastAsia" w:ascii="宋体" w:hAnsi="宋体" w:cs="宋体"/>
                <w:color w:val="auto"/>
                <w:kern w:val="0"/>
                <w:sz w:val="18"/>
                <w:szCs w:val="18"/>
                <w:lang w:val="en-US" w:eastAsia="zh-CN"/>
              </w:rPr>
              <w:t>37家，每个基地均完成全年培训农民200人以上的任务；</w:t>
            </w:r>
          </w:p>
          <w:p>
            <w:pPr>
              <w:widowControl/>
              <w:spacing w:line="240" w:lineRule="exact"/>
              <w:jc w:val="both"/>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3、奖励指导老师31人，电话访学员满意度90%以上</w:t>
            </w:r>
          </w:p>
        </w:tc>
      </w:tr>
      <w:tr>
        <w:tblPrEx>
          <w:tblCellMar>
            <w:top w:w="0" w:type="dxa"/>
            <w:left w:w="108" w:type="dxa"/>
            <w:bottom w:w="0" w:type="dxa"/>
            <w:right w:w="108" w:type="dxa"/>
          </w:tblCellMar>
        </w:tblPrEx>
        <w:trPr>
          <w:trHeight w:val="517" w:hRule="exact"/>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8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471"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45"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Calibri" w:hAnsi="Calibri" w:eastAsia="宋体" w:cs="Times New Roman"/>
                <w:color w:val="auto"/>
                <w:kern w:val="0"/>
                <w:sz w:val="18"/>
                <w:szCs w:val="18"/>
                <w:lang w:val="en-US" w:eastAsia="zh-CN" w:bidi="ar-SA"/>
              </w:rPr>
            </w:pPr>
            <w:r>
              <w:rPr>
                <w:rFonts w:hint="eastAsia"/>
                <w:sz w:val="18"/>
                <w:szCs w:val="18"/>
              </w:rPr>
              <w:t>培训班次（全年）</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=3期</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受</w:t>
            </w:r>
            <w:r>
              <w:rPr>
                <w:rFonts w:hint="eastAsia" w:ascii="宋体" w:hAnsi="宋体" w:cs="宋体"/>
                <w:color w:val="auto"/>
                <w:kern w:val="0"/>
                <w:sz w:val="18"/>
                <w:szCs w:val="18"/>
              </w:rPr>
              <w:t>疫情</w:t>
            </w:r>
            <w:r>
              <w:rPr>
                <w:rFonts w:hint="eastAsia" w:ascii="宋体" w:hAnsi="宋体" w:cs="宋体"/>
                <w:color w:val="auto"/>
                <w:kern w:val="0"/>
                <w:sz w:val="18"/>
                <w:szCs w:val="18"/>
                <w:lang w:val="en-US" w:eastAsia="zh-CN"/>
              </w:rPr>
              <w:t>影响，未能举办</w:t>
            </w:r>
          </w:p>
        </w:tc>
      </w:tr>
      <w:tr>
        <w:tblPrEx>
          <w:tblCellMar>
            <w:top w:w="0" w:type="dxa"/>
            <w:left w:w="108" w:type="dxa"/>
            <w:bottom w:w="0" w:type="dxa"/>
            <w:right w:w="108" w:type="dxa"/>
          </w:tblCellMar>
        </w:tblPrEx>
        <w:trPr>
          <w:trHeight w:val="511"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Calibri" w:hAnsi="Calibri" w:eastAsia="宋体" w:cs="Times New Roman"/>
                <w:color w:val="auto"/>
                <w:kern w:val="2"/>
                <w:sz w:val="18"/>
                <w:szCs w:val="18"/>
                <w:lang w:val="en-US" w:eastAsia="zh-CN" w:bidi="ar-SA"/>
              </w:rPr>
            </w:pPr>
            <w:r>
              <w:rPr>
                <w:rFonts w:hint="eastAsia"/>
                <w:sz w:val="18"/>
                <w:szCs w:val="18"/>
              </w:rPr>
              <w:t>陪训人次（全年）</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=150人</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受</w:t>
            </w:r>
            <w:r>
              <w:rPr>
                <w:rFonts w:hint="eastAsia" w:ascii="宋体" w:hAnsi="宋体" w:cs="宋体"/>
                <w:color w:val="auto"/>
                <w:kern w:val="0"/>
                <w:sz w:val="18"/>
                <w:szCs w:val="18"/>
              </w:rPr>
              <w:t>疫情</w:t>
            </w:r>
            <w:r>
              <w:rPr>
                <w:rFonts w:hint="eastAsia" w:ascii="宋体" w:hAnsi="宋体" w:cs="宋体"/>
                <w:color w:val="auto"/>
                <w:kern w:val="0"/>
                <w:sz w:val="18"/>
                <w:szCs w:val="18"/>
                <w:lang w:val="en-US" w:eastAsia="zh-CN"/>
              </w:rPr>
              <w:t>影响，未能举办</w:t>
            </w:r>
          </w:p>
        </w:tc>
      </w:tr>
      <w:tr>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Calibri" w:hAnsi="Calibri" w:eastAsia="宋体" w:cs="Times New Roman"/>
                <w:color w:val="auto"/>
                <w:kern w:val="2"/>
                <w:sz w:val="18"/>
                <w:szCs w:val="18"/>
                <w:lang w:val="en-US" w:eastAsia="zh-CN" w:bidi="ar-SA"/>
              </w:rPr>
            </w:pPr>
            <w:r>
              <w:rPr>
                <w:rFonts w:hint="eastAsia"/>
                <w:sz w:val="18"/>
                <w:szCs w:val="18"/>
              </w:rPr>
              <w:t>奖励基地</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≥30个</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3</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个</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Calibri" w:hAnsi="Calibri" w:eastAsia="宋体" w:cs="Times New Roman"/>
                <w:color w:val="auto"/>
                <w:kern w:val="2"/>
                <w:sz w:val="18"/>
                <w:szCs w:val="18"/>
                <w:lang w:val="en-US" w:eastAsia="zh-CN" w:bidi="ar-SA"/>
              </w:rPr>
            </w:pPr>
            <w:r>
              <w:rPr>
                <w:rFonts w:hint="eastAsia"/>
                <w:sz w:val="18"/>
                <w:szCs w:val="18"/>
              </w:rPr>
              <w:t>奖励老师</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≥30个</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31</w:t>
            </w:r>
            <w:r>
              <w:rPr>
                <w:rFonts w:hint="eastAsia" w:ascii="宋体" w:hAnsi="宋体" w:cs="宋体"/>
                <w:color w:val="auto"/>
                <w:kern w:val="0"/>
                <w:sz w:val="18"/>
                <w:szCs w:val="18"/>
              </w:rPr>
              <w:t>个</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471"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指导老师评判标准</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责任心强，培养效果好</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责任心强，培养效果好</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10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0"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第一批培训完成时限</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年4月</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未举办</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受</w:t>
            </w:r>
            <w:r>
              <w:rPr>
                <w:rFonts w:hint="eastAsia" w:ascii="宋体" w:hAnsi="宋体" w:cs="宋体"/>
                <w:color w:val="auto"/>
                <w:kern w:val="0"/>
                <w:sz w:val="18"/>
                <w:szCs w:val="18"/>
              </w:rPr>
              <w:t>疫情</w:t>
            </w:r>
            <w:r>
              <w:rPr>
                <w:rFonts w:hint="eastAsia" w:ascii="宋体" w:hAnsi="宋体" w:cs="宋体"/>
                <w:color w:val="auto"/>
                <w:kern w:val="0"/>
                <w:sz w:val="18"/>
                <w:szCs w:val="18"/>
                <w:lang w:val="en-US" w:eastAsia="zh-CN"/>
              </w:rPr>
              <w:t>影响，未能举办</w:t>
            </w:r>
          </w:p>
        </w:tc>
      </w:tr>
      <w:tr>
        <w:tblPrEx>
          <w:tblCellMar>
            <w:top w:w="0" w:type="dxa"/>
            <w:left w:w="108" w:type="dxa"/>
            <w:bottom w:w="0" w:type="dxa"/>
            <w:right w:w="108" w:type="dxa"/>
          </w:tblCellMar>
        </w:tblPrEx>
        <w:trPr>
          <w:trHeight w:val="510"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第二批培训完成时限</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年10月</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未举办</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41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受</w:t>
            </w:r>
            <w:r>
              <w:rPr>
                <w:rFonts w:hint="eastAsia" w:ascii="宋体" w:hAnsi="宋体" w:cs="宋体"/>
                <w:color w:val="auto"/>
                <w:kern w:val="0"/>
                <w:sz w:val="18"/>
                <w:szCs w:val="18"/>
              </w:rPr>
              <w:t>疫情</w:t>
            </w:r>
            <w:r>
              <w:rPr>
                <w:rFonts w:hint="eastAsia" w:ascii="宋体" w:hAnsi="宋体" w:cs="宋体"/>
                <w:color w:val="auto"/>
                <w:kern w:val="0"/>
                <w:sz w:val="18"/>
                <w:szCs w:val="18"/>
                <w:lang w:val="en-US" w:eastAsia="zh-CN"/>
              </w:rPr>
              <w:t>影响，未能举办</w:t>
            </w:r>
          </w:p>
        </w:tc>
      </w:tr>
      <w:tr>
        <w:tblPrEx>
          <w:tblCellMar>
            <w:top w:w="0" w:type="dxa"/>
            <w:left w:w="108" w:type="dxa"/>
            <w:bottom w:w="0" w:type="dxa"/>
            <w:right w:w="108" w:type="dxa"/>
          </w:tblCellMar>
        </w:tblPrEx>
        <w:trPr>
          <w:trHeight w:val="486"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培训人均成本</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550元/人/天</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550元/人/天</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461"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奖励项目总成本</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80万元</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78.402万元</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新评审4个基地</w:t>
            </w:r>
          </w:p>
        </w:tc>
      </w:tr>
      <w:tr>
        <w:tblPrEx>
          <w:tblCellMar>
            <w:top w:w="0" w:type="dxa"/>
            <w:left w:w="108" w:type="dxa"/>
            <w:bottom w:w="0" w:type="dxa"/>
            <w:right w:w="108" w:type="dxa"/>
          </w:tblCellMar>
        </w:tblPrEx>
        <w:trPr>
          <w:trHeight w:val="291" w:hRule="exact"/>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实用人才数量与质量</w:t>
            </w:r>
          </w:p>
        </w:tc>
        <w:tc>
          <w:tcPr>
            <w:tcW w:w="12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有所提高</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有所提高</w:t>
            </w:r>
          </w:p>
        </w:tc>
        <w:tc>
          <w:tcPr>
            <w:tcW w:w="4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6"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示范带动作用</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有所提高</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有所提高</w:t>
            </w:r>
          </w:p>
        </w:tc>
        <w:tc>
          <w:tcPr>
            <w:tcW w:w="4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63"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32"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9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服务对象满意度</w:t>
            </w:r>
          </w:p>
        </w:tc>
        <w:tc>
          <w:tcPr>
            <w:tcW w:w="1245"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85%以上</w:t>
            </w:r>
          </w:p>
        </w:tc>
        <w:tc>
          <w:tcPr>
            <w:tcW w:w="1260"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85%以上</w:t>
            </w:r>
          </w:p>
        </w:tc>
        <w:tc>
          <w:tcPr>
            <w:tcW w:w="4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trPr>
        <w:tc>
          <w:tcPr>
            <w:tcW w:w="675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0</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农业安全监测监管项目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北京市通州区农业农村局601001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陈梦金</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Style w:val="15"/>
                <w:rFonts w:hint="eastAsia" w:ascii="宋体" w:hAnsi="宋体" w:eastAsia="宋体" w:cs="宋体"/>
                <w:i w:val="0"/>
                <w:iCs w:val="0"/>
                <w:caps w:val="0"/>
                <w:color w:val="auto"/>
                <w:spacing w:val="0"/>
                <w:sz w:val="20"/>
                <w:szCs w:val="20"/>
                <w:shd w:val="clear" w:fill="FFFFFF"/>
              </w:rPr>
              <w:t>81584973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107"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050"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757"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借助中国农民艺术节丰收节、农交会、区域性展会等平台，通过线上展示方式广泛宣传北京农业品牌。</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通过自媒体展开全面宣传推广。运用新媒体广泛开展宣传引导。加大品牌推介力度，提升绿色安全优质农产品品牌影响力、号召力和竞争力。</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借助中国农民艺术节丰收节、农交会、区域性展会等平台，通过线上展示方式广泛宣传北京农业品牌。</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通过自媒体展开全面宣传推广。运用新媒体广泛开展宣传引导。加大品牌推介力度，提升绿色安全优质农产品品牌影响力、号召力和竞争力。</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737"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指标1：“通州三农”政务新媒体公众号发布数量。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≥200次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200次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9"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指标2：“通州三农”政务新媒体公众号市级以上媒体或平台刊发。</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7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指标1：政务新媒体平台定期(七天内更新一次）维护率。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7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指标2：政务新媒体平台开通留言功能，48小时内留言回复率。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≥95%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指标1：“通州三农”政务新媒体微信公众号。</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12月底</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12月底</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指标1：“通州三农”政务新媒体公众号运维费。</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≤30万元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026"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指标1：图文并茂地展示现我区现代“三农”风采，努力营造积极向上的宣传氛围。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效果显著</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效果显著</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加大品牌推介力度，提升通州区绿色安全优质农产品品牌影响力、号召力和竞争力。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效果显著</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效果显著</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指标1：宣传内容被投诉率</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聘请法律顾问经费（政府购买法律服务）</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王文欢</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Style w:val="15"/>
                <w:rFonts w:hint="eastAsia" w:ascii="宋体" w:hAnsi="宋体" w:eastAsia="宋体" w:cs="宋体"/>
                <w:i w:val="0"/>
                <w:iCs w:val="0"/>
                <w:caps w:val="0"/>
                <w:color w:val="auto"/>
                <w:spacing w:val="0"/>
                <w:sz w:val="20"/>
                <w:szCs w:val="20"/>
                <w:shd w:val="clear" w:fill="FFFFFF"/>
              </w:rPr>
              <w:t>81584973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19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通过聘请法律顾问进行专业化服务，确保资金使用安全有效；通过聘请法律顾问进行专业化服务参与规章制度的制订、重大项目的启动等内容，可以使工作全方位地纳入规范化轨道，规避风险。</w:t>
            </w:r>
          </w:p>
          <w:p>
            <w:pPr>
              <w:widowControl/>
              <w:spacing w:line="240" w:lineRule="exact"/>
              <w:jc w:val="left"/>
              <w:rPr>
                <w:rFonts w:hint="eastAsia" w:ascii="宋体" w:hAnsi="宋体" w:eastAsia="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通过聘请法律顾问进行专业化服务，确保资金使用安全有效；通过聘请法律顾问进行专业化服务参与规章制度的制订、重大项目的启动等内容，可以使工作全方位地纳入规范化轨道，规避风险。</w:t>
            </w:r>
          </w:p>
          <w:p>
            <w:pPr>
              <w:widowControl/>
              <w:spacing w:line="240" w:lineRule="exact"/>
              <w:jc w:val="left"/>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指标1：建议书份数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1份</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合同审核数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≥10份（以实际为准）</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368份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指标1：合同审核完成率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指标1：聘请法律顾问服务时间</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全年</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全年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指标1：聘请法律顾问成本</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≤40万元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持续推进依法行政，规范工作流程，有效规避法律风险</w:t>
            </w:r>
          </w:p>
        </w:tc>
        <w:tc>
          <w:tcPr>
            <w:tcW w:w="938" w:type="dxa"/>
            <w:tcBorders>
              <w:top w:val="single" w:color="auto" w:sz="4" w:space="0"/>
              <w:left w:val="nil"/>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有效促进</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指标1：农业农村局相关部门人员对法律顾问工作投诉率</w:t>
            </w:r>
          </w:p>
        </w:tc>
        <w:tc>
          <w:tcPr>
            <w:tcW w:w="938" w:type="dxa"/>
            <w:tcBorders>
              <w:top w:val="single" w:color="auto" w:sz="4" w:space="0"/>
              <w:left w:val="nil"/>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848" w:type="dxa"/>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9223" w:type="dxa"/>
        <w:jc w:val="center"/>
        <w:tblLayout w:type="fixed"/>
        <w:tblCellMar>
          <w:top w:w="0" w:type="dxa"/>
          <w:left w:w="108" w:type="dxa"/>
          <w:bottom w:w="0" w:type="dxa"/>
          <w:right w:w="108" w:type="dxa"/>
        </w:tblCellMar>
      </w:tblPr>
      <w:tblGrid>
        <w:gridCol w:w="578"/>
        <w:gridCol w:w="969"/>
        <w:gridCol w:w="941"/>
        <w:gridCol w:w="863"/>
        <w:gridCol w:w="1197"/>
        <w:gridCol w:w="1130"/>
        <w:gridCol w:w="742"/>
        <w:gridCol w:w="202"/>
        <w:gridCol w:w="355"/>
        <w:gridCol w:w="416"/>
        <w:gridCol w:w="141"/>
        <w:gridCol w:w="695"/>
        <w:gridCol w:w="994"/>
      </w:tblGrid>
      <w:tr>
        <w:tblPrEx>
          <w:tblCellMar>
            <w:top w:w="0" w:type="dxa"/>
            <w:left w:w="108" w:type="dxa"/>
            <w:bottom w:w="0" w:type="dxa"/>
            <w:right w:w="108" w:type="dxa"/>
          </w:tblCellMar>
        </w:tblPrEx>
        <w:trPr>
          <w:trHeight w:val="440" w:hRule="exact"/>
          <w:jc w:val="center"/>
        </w:trPr>
        <w:tc>
          <w:tcPr>
            <w:tcW w:w="9223"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223"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76"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油烟净化设施运维费（本级）</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13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13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刘芳华</w:t>
            </w: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6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81586408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9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15.62</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15.62</w:t>
            </w: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15.62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9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15.62</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15.62</w:t>
            </w: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15.62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9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9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1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5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050"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1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对通州区农业局及下属单位油烟净化器进行维护，保障油烟净化器正常工作，确保油烟净排放指标符合北京市环保标准，降低有害气体排放，提升通州区空气质量。</w:t>
            </w:r>
          </w:p>
        </w:tc>
        <w:tc>
          <w:tcPr>
            <w:tcW w:w="35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对通州区农业局及下属单位油烟净化器进行维护，保障油烟净化器正常工作，确保油烟净排放指标符合北京市环保标准，降低有害气体排放，提升通州区空气质量。</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4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41"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全年对油烟净化器电场清洗次数</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36次</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94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全年对油烟净化器活性炭更换次数</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15次</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4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94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购置活性炭的数量</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0.476立方米</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0.476立方米</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8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4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油烟净化器的油烟、颗粒物、非甲烷总烃排放</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符合北京市环保标准</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符合北京市环保标准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89"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4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电场清洗频次</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2月/次</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2月/次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89"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4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活性炭更换</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五次/年</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五次/年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color w:val="auto"/>
                <w:kern w:val="0"/>
                <w:sz w:val="18"/>
                <w:szCs w:val="18"/>
              </w:rPr>
            </w:pPr>
          </w:p>
        </w:tc>
      </w:tr>
      <w:tr>
        <w:tblPrEx>
          <w:tblCellMar>
            <w:top w:w="0" w:type="dxa"/>
            <w:left w:w="108" w:type="dxa"/>
            <w:bottom w:w="0" w:type="dxa"/>
            <w:right w:w="108" w:type="dxa"/>
          </w:tblCellMar>
        </w:tblPrEx>
        <w:trPr>
          <w:trHeight w:val="4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运维费用</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≤15.62万元</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≤15.62万元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指标1：保障后勤员工健康</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效果显著</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效果显著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指标1：有效降低油烟、颗粒物、非甲烷总烃等气体排放，净化了环境</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效果显著</w:t>
            </w:r>
          </w:p>
        </w:tc>
        <w:tc>
          <w:tcPr>
            <w:tcW w:w="74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效果显著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油烟净化器设备使用人员满意度</w:t>
            </w:r>
          </w:p>
        </w:tc>
        <w:tc>
          <w:tcPr>
            <w:tcW w:w="11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7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038"/>
        <w:gridCol w:w="1220"/>
        <w:gridCol w:w="811"/>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区委农村工作领导小组办公室运行保障经费</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6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101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6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刘芳华</w:t>
            </w:r>
          </w:p>
        </w:tc>
        <w:tc>
          <w:tcPr>
            <w:tcW w:w="101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81586408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01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1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1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1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1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10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0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用于区委农办日常办公，开展乡村振兴相关问题和政策的调查研究，做好会议服务保障、会议材料及工作材料的印刷、政策宣传品等发放工作；保障区委农办工作运转有效、有序。</w:t>
            </w:r>
          </w:p>
        </w:tc>
        <w:tc>
          <w:tcPr>
            <w:tcW w:w="33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w:t>
            </w:r>
            <w:r>
              <w:rPr>
                <w:rFonts w:hint="default" w:ascii="宋体" w:hAnsi="宋体" w:eastAsia="宋体" w:cs="宋体"/>
                <w:color w:val="auto"/>
                <w:kern w:val="0"/>
                <w:sz w:val="18"/>
                <w:szCs w:val="18"/>
                <w:lang w:val="en-US" w:eastAsia="zh-CN"/>
              </w:rPr>
              <w:t>乡村振兴相关问题和政策的调查研究，做好会议服务保障、会议材料及工作材料的印刷、政策宣传品等发放工作；保障区委农办工作运转有效、有序。</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7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7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服务乡镇政府</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11个</w:t>
            </w:r>
          </w:p>
        </w:tc>
        <w:tc>
          <w:tcPr>
            <w:tcW w:w="81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7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经费执行比例</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7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三农工作调查研究</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2023年12月底前完成</w:t>
            </w:r>
          </w:p>
        </w:tc>
        <w:tc>
          <w:tcPr>
            <w:tcW w:w="8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2023年12月底前完成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根据会议安排，保障会议服务及时率</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根据工作需要印发宣传品及日常办公用品及时率</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7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区委农村工作领导小组办公室运行保障经费</w:t>
            </w:r>
          </w:p>
        </w:tc>
        <w:tc>
          <w:tcPr>
            <w:tcW w:w="12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≤20万元</w:t>
            </w:r>
          </w:p>
        </w:tc>
        <w:tc>
          <w:tcPr>
            <w:tcW w:w="81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175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指标1：保障区委农办工作运转</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有效保障</w:t>
            </w:r>
          </w:p>
        </w:tc>
        <w:tc>
          <w:tcPr>
            <w:tcW w:w="8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有效保障</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7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乡镇政府满意度</w:t>
            </w:r>
          </w:p>
        </w:tc>
        <w:tc>
          <w:tcPr>
            <w:tcW w:w="12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≥75%</w:t>
            </w:r>
          </w:p>
        </w:tc>
        <w:tc>
          <w:tcPr>
            <w:tcW w:w="8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291"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保障农村防控办公室日常工作</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北京市通州区农业农村局601001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陈梦金</w:t>
            </w:r>
          </w:p>
        </w:tc>
        <w:tc>
          <w:tcPr>
            <w:tcW w:w="1050"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rPr>
              <w:t>815849732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9.9765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default" w:ascii="宋体" w:hAnsi="宋体" w:cs="宋体"/>
                <w:color w:val="000000"/>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99.77%</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9.9765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99.77%</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通过资金支持，全面保障农村防控办公室日常办公、物资购置等支出及其他相关工作</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完成了防疫物资购置工作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blPrEx>
          <w:tblCellMar>
            <w:top w:w="0" w:type="dxa"/>
            <w:left w:w="108" w:type="dxa"/>
            <w:bottom w:w="0" w:type="dxa"/>
            <w:right w:w="108" w:type="dxa"/>
          </w:tblCellMar>
        </w:tblPrEx>
        <w:trPr>
          <w:trHeight w:val="6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完成物资发放的单位数量</w:t>
            </w:r>
          </w:p>
        </w:tc>
        <w:tc>
          <w:tcPr>
            <w:tcW w:w="9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1个</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经费执行比例</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0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根据疫情情况，对防疫物资进行统计发放及时率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成本不超过总预算</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5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确保农业农村局防控平稳有序，防疫工作宣传有成效</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9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农业农村局防疫物资及时发放，保障整体防疫工作进行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有效保障</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有效保障</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85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局机关员工满意度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≥75%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9396" w:type="dxa"/>
        <w:jc w:val="center"/>
        <w:tblLayout w:type="fixed"/>
        <w:tblCellMar>
          <w:top w:w="0" w:type="dxa"/>
          <w:left w:w="108" w:type="dxa"/>
          <w:bottom w:w="0" w:type="dxa"/>
          <w:right w:w="108" w:type="dxa"/>
        </w:tblCellMar>
      </w:tblPr>
      <w:tblGrid>
        <w:gridCol w:w="578"/>
        <w:gridCol w:w="969"/>
        <w:gridCol w:w="1145"/>
        <w:gridCol w:w="659"/>
        <w:gridCol w:w="1161"/>
        <w:gridCol w:w="1160"/>
        <w:gridCol w:w="898"/>
        <w:gridCol w:w="52"/>
        <w:gridCol w:w="520"/>
        <w:gridCol w:w="251"/>
        <w:gridCol w:w="449"/>
        <w:gridCol w:w="387"/>
        <w:gridCol w:w="1167"/>
      </w:tblGrid>
      <w:tr>
        <w:tblPrEx>
          <w:tblCellMar>
            <w:top w:w="0" w:type="dxa"/>
            <w:left w:w="108" w:type="dxa"/>
            <w:bottom w:w="0" w:type="dxa"/>
            <w:right w:w="108" w:type="dxa"/>
          </w:tblCellMar>
        </w:tblPrEx>
        <w:trPr>
          <w:trHeight w:val="440" w:hRule="exact"/>
          <w:jc w:val="center"/>
        </w:trPr>
        <w:tc>
          <w:tcPr>
            <w:tcW w:w="9396"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396"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84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局机关安全隐患大排查大整治后勤保障改造项目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12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9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77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12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刘芳华</w:t>
            </w:r>
          </w:p>
        </w:tc>
        <w:tc>
          <w:tcPr>
            <w:tcW w:w="9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77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81586408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11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9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9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1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9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72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510"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09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为提高安全生产和火灾隐患工作水平，加强单位内部治安保卫工作，保障职工生命财产安全，需开展</w:t>
            </w:r>
            <w:r>
              <w:rPr>
                <w:rFonts w:hint="eastAsia" w:ascii="宋体" w:hAnsi="宋体" w:cs="宋体"/>
                <w:color w:val="auto"/>
                <w:kern w:val="0"/>
                <w:sz w:val="18"/>
                <w:szCs w:val="18"/>
                <w:lang w:val="en-US" w:eastAsia="zh-CN"/>
              </w:rPr>
              <w:t>此</w:t>
            </w:r>
            <w:r>
              <w:rPr>
                <w:rFonts w:hint="eastAsia" w:ascii="宋体" w:hAnsi="宋体" w:cs="宋体"/>
                <w:color w:val="auto"/>
                <w:kern w:val="0"/>
                <w:sz w:val="18"/>
                <w:szCs w:val="18"/>
              </w:rPr>
              <w:t xml:space="preserve">项目工作。 </w:t>
            </w:r>
          </w:p>
        </w:tc>
        <w:tc>
          <w:tcPr>
            <w:tcW w:w="372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为提高安全生产和火灾隐患工作水平，加强单位内部治安保卫工作，保障职工生命财产安全，</w:t>
            </w:r>
            <w:r>
              <w:rPr>
                <w:rFonts w:hint="eastAsia" w:ascii="宋体" w:hAnsi="宋体" w:cs="宋体"/>
                <w:color w:val="auto"/>
                <w:kern w:val="0"/>
                <w:sz w:val="18"/>
                <w:szCs w:val="18"/>
                <w:lang w:val="en-US" w:eastAsia="zh-CN"/>
              </w:rPr>
              <w:t>完成了</w:t>
            </w:r>
            <w:r>
              <w:rPr>
                <w:rFonts w:hint="default" w:ascii="宋体" w:hAnsi="宋体" w:eastAsia="宋体" w:cs="宋体"/>
                <w:color w:val="auto"/>
                <w:kern w:val="0"/>
                <w:sz w:val="18"/>
                <w:szCs w:val="18"/>
                <w:lang w:val="en-US" w:eastAsia="zh-CN"/>
              </w:rPr>
              <w:t>①局机关视频监控系统升级改造；②局机关办公楼、食堂修缮以及执法大队路站口办公用房线路改造；③局机关食堂燃气泄漏报警装置升级改造工程；④局机关电动伸缩门更换。</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1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8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14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default" w:ascii="宋体" w:hAnsi="宋体" w:eastAsia="宋体" w:cs="宋体"/>
                <w:color w:val="auto"/>
                <w:kern w:val="0"/>
                <w:sz w:val="18"/>
                <w:szCs w:val="18"/>
                <w:lang w:val="en-US" w:eastAsia="zh-CN"/>
              </w:rPr>
              <w:t>视频监控</w:t>
            </w:r>
            <w:r>
              <w:rPr>
                <w:rFonts w:hint="eastAsia" w:ascii="宋体" w:hAnsi="宋体" w:cs="宋体"/>
                <w:color w:val="auto"/>
                <w:kern w:val="0"/>
                <w:sz w:val="18"/>
                <w:szCs w:val="18"/>
                <w:lang w:val="en-US" w:eastAsia="zh-CN"/>
              </w:rPr>
              <w:t>设备及材料</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1套</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1套</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28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14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default" w:ascii="宋体" w:hAnsi="宋体" w:eastAsia="宋体" w:cs="宋体"/>
                <w:color w:val="auto"/>
                <w:kern w:val="0"/>
                <w:sz w:val="18"/>
                <w:szCs w:val="18"/>
                <w:lang w:val="en-US" w:eastAsia="zh-CN"/>
              </w:rPr>
              <w:t>电动伸缩门</w:t>
            </w:r>
            <w:r>
              <w:rPr>
                <w:rFonts w:hint="eastAsia" w:ascii="宋体" w:hAnsi="宋体" w:cs="宋体"/>
                <w:color w:val="auto"/>
                <w:kern w:val="0"/>
                <w:sz w:val="18"/>
                <w:szCs w:val="18"/>
                <w:lang w:val="en-US" w:eastAsia="zh-CN"/>
              </w:rPr>
              <w:t>及系统</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1套</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1套</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7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14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办公楼、食堂修缮及执法大队4个路站口线路改造</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14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default" w:ascii="宋体" w:hAnsi="宋体" w:eastAsia="宋体" w:cs="宋体"/>
                <w:color w:val="auto"/>
                <w:kern w:val="0"/>
                <w:sz w:val="18"/>
                <w:szCs w:val="18"/>
                <w:lang w:val="en-US" w:eastAsia="zh-CN"/>
              </w:rPr>
              <w:t>燃气泄漏报警装置升级改造</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4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提高工作安全水平，提升工作安全环境</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效果明显</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效果明显</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89"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4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default" w:ascii="宋体" w:hAnsi="宋体" w:eastAsia="宋体" w:cs="宋体"/>
                <w:color w:val="auto"/>
                <w:kern w:val="0"/>
                <w:sz w:val="18"/>
                <w:szCs w:val="18"/>
                <w:lang w:val="en-US" w:eastAsia="zh-CN"/>
              </w:rPr>
              <w:t>视频监控系统升级改造</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2023年12月底前完成</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2023年12月底前完成</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89"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45"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default" w:ascii="宋体" w:hAnsi="宋体" w:eastAsia="宋体" w:cs="宋体"/>
                <w:color w:val="auto"/>
                <w:kern w:val="0"/>
                <w:sz w:val="18"/>
                <w:szCs w:val="18"/>
                <w:lang w:val="en-US" w:eastAsia="zh-CN"/>
              </w:rPr>
              <w:t>电动伸缩门更换</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2023年12月底前完成</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2023年12月底前完成</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89"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45"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default" w:ascii="宋体" w:hAnsi="宋体" w:eastAsia="宋体" w:cs="宋体"/>
                <w:color w:val="auto"/>
                <w:kern w:val="0"/>
                <w:sz w:val="18"/>
                <w:szCs w:val="18"/>
                <w:lang w:val="en-US" w:eastAsia="zh-CN"/>
              </w:rPr>
              <w:t>办公楼、食堂修缮以及执法大队路站口办公用房线路改造</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2023年12月底前完成</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2023年12月底前完成</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89"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4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default" w:ascii="宋体" w:hAnsi="宋体" w:eastAsia="宋体" w:cs="宋体"/>
                <w:color w:val="auto"/>
                <w:kern w:val="0"/>
                <w:sz w:val="18"/>
                <w:szCs w:val="18"/>
                <w:lang w:val="en-US" w:eastAsia="zh-CN"/>
              </w:rPr>
              <w:t>燃气泄漏报警装置升级改造工程</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2023年12月底前完成</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2023年12月底前完成</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79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局机关安全隐患大排查大整治后勤保障改造项目</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≤40万元</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40万元</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8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指标1：保障职工生命财产安全</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有效保障</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有效保障</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人员满意度≥90%</w:t>
            </w:r>
          </w:p>
        </w:tc>
        <w:tc>
          <w:tcPr>
            <w:tcW w:w="11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7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rPr>
              <w:t>农业安全生产宣传</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rPr>
              <w:t>北京市通州区农业农村局6</w:t>
            </w:r>
            <w:r>
              <w:rPr>
                <w:rFonts w:ascii="宋体" w:hAnsi="宋体" w:cs="宋体"/>
                <w:kern w:val="0"/>
                <w:sz w:val="20"/>
                <w:szCs w:val="20"/>
              </w:rPr>
              <w:t>01001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rPr>
              <w:t>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陈梦金</w:t>
            </w:r>
          </w:p>
        </w:tc>
        <w:tc>
          <w:tcPr>
            <w:tcW w:w="1050"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815849732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427"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通过拍摄农业领域各行业安全宣传片，加强和规范生产经营单位安全工作，提高从业人员安全素质，熟悉有关安全生产规章制度和安全操作规程，增强预防事故、控制安全危害和应急处理的能力。</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提高</w:t>
            </w:r>
            <w:r>
              <w:rPr>
                <w:rFonts w:hint="eastAsia" w:ascii="宋体" w:hAnsi="宋体" w:cs="宋体"/>
                <w:color w:val="auto"/>
                <w:kern w:val="0"/>
                <w:sz w:val="18"/>
                <w:szCs w:val="18"/>
                <w:lang w:eastAsia="zh-CN"/>
              </w:rPr>
              <w:t>了</w:t>
            </w:r>
            <w:r>
              <w:rPr>
                <w:rFonts w:hint="eastAsia" w:ascii="宋体" w:hAnsi="宋体" w:cs="宋体"/>
                <w:color w:val="auto"/>
                <w:kern w:val="0"/>
                <w:sz w:val="18"/>
                <w:szCs w:val="18"/>
              </w:rPr>
              <w:t>从业人员安全素质，熟悉</w:t>
            </w:r>
            <w:r>
              <w:rPr>
                <w:rFonts w:hint="eastAsia" w:ascii="宋体" w:hAnsi="宋体" w:cs="宋体"/>
                <w:color w:val="auto"/>
                <w:kern w:val="0"/>
                <w:sz w:val="18"/>
                <w:szCs w:val="18"/>
                <w:lang w:eastAsia="zh-CN"/>
              </w:rPr>
              <w:t>了</w:t>
            </w:r>
            <w:r>
              <w:rPr>
                <w:rFonts w:hint="eastAsia" w:ascii="宋体" w:hAnsi="宋体" w:cs="宋体"/>
                <w:color w:val="auto"/>
                <w:kern w:val="0"/>
                <w:sz w:val="18"/>
                <w:szCs w:val="18"/>
              </w:rPr>
              <w:t>有关安全生产规章制度和安全操作规程，增强预防事故、控制安全危害和应急处理的能力。</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000000"/>
                <w:kern w:val="0"/>
                <w:sz w:val="18"/>
                <w:szCs w:val="18"/>
              </w:rPr>
              <w:t>农业安全生产</w:t>
            </w:r>
            <w:r>
              <w:rPr>
                <w:rFonts w:hint="eastAsia" w:ascii="宋体" w:hAnsi="宋体" w:cs="宋体"/>
                <w:color w:val="000000"/>
                <w:kern w:val="0"/>
                <w:sz w:val="18"/>
                <w:szCs w:val="18"/>
                <w:lang w:val="en-US" w:eastAsia="zh-CN"/>
              </w:rPr>
              <w:t>宣传片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lang w:val="en-US" w:eastAsia="zh-CN"/>
              </w:rPr>
              <w:t>1条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宣传品验收合格率</w:t>
            </w:r>
          </w:p>
        </w:tc>
        <w:tc>
          <w:tcPr>
            <w:tcW w:w="938"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noWrap w:val="0"/>
            <w:vAlign w:val="center"/>
          </w:tcPr>
          <w:p>
            <w:pPr>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农业安全生产宣传品</w:t>
            </w:r>
            <w:r>
              <w:rPr>
                <w:rFonts w:hint="eastAsia" w:ascii="宋体" w:hAnsi="宋体" w:cs="宋体"/>
                <w:color w:val="000000"/>
                <w:kern w:val="0"/>
                <w:sz w:val="18"/>
                <w:szCs w:val="18"/>
                <w:lang w:val="en-US" w:eastAsia="zh-CN"/>
              </w:rPr>
              <w:t>制作</w:t>
            </w:r>
            <w:r>
              <w:rPr>
                <w:rFonts w:hint="eastAsia" w:ascii="宋体" w:hAnsi="宋体" w:cs="宋体"/>
                <w:color w:val="000000"/>
                <w:kern w:val="0"/>
                <w:sz w:val="18"/>
                <w:szCs w:val="18"/>
              </w:rPr>
              <w:t>完成时间</w:t>
            </w:r>
          </w:p>
        </w:tc>
        <w:tc>
          <w:tcPr>
            <w:tcW w:w="938"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18"/>
                <w:szCs w:val="18"/>
              </w:rPr>
            </w:pPr>
            <w:r>
              <w:rPr>
                <w:rFonts w:hint="eastAsia" w:ascii="宋体" w:hAnsi="宋体" w:cs="宋体"/>
                <w:kern w:val="0"/>
                <w:sz w:val="18"/>
                <w:szCs w:val="18"/>
              </w:rPr>
              <w:t>2023年底完成</w:t>
            </w:r>
          </w:p>
        </w:tc>
        <w:tc>
          <w:tcPr>
            <w:tcW w:w="848" w:type="dxa"/>
            <w:tcBorders>
              <w:top w:val="nil"/>
              <w:left w:val="nil"/>
              <w:bottom w:val="single" w:color="auto" w:sz="4" w:space="0"/>
              <w:right w:val="single" w:color="auto" w:sz="4" w:space="0"/>
            </w:tcBorders>
            <w:noWrap w:val="0"/>
            <w:vAlign w:val="center"/>
          </w:tcPr>
          <w:p>
            <w:pPr>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kern w:val="0"/>
                <w:sz w:val="18"/>
                <w:szCs w:val="18"/>
              </w:rPr>
              <w:t>2023年底完成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农业安全生产宣传片</w:t>
            </w:r>
          </w:p>
        </w:tc>
        <w:tc>
          <w:tcPr>
            <w:tcW w:w="938"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20万元</w:t>
            </w:r>
          </w:p>
        </w:tc>
        <w:tc>
          <w:tcPr>
            <w:tcW w:w="848" w:type="dxa"/>
            <w:tcBorders>
              <w:top w:val="nil"/>
              <w:left w:val="nil"/>
              <w:bottom w:val="single" w:color="auto" w:sz="4" w:space="0"/>
              <w:right w:val="single" w:color="auto" w:sz="4" w:space="0"/>
            </w:tcBorders>
            <w:noWrap w:val="0"/>
            <w:vAlign w:val="center"/>
          </w:tcPr>
          <w:p>
            <w:pPr>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kern w:val="0"/>
                <w:sz w:val="18"/>
                <w:szCs w:val="18"/>
              </w:rPr>
              <w:t>20万元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1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提高安全监管人员、管理人员、企业负责人的安全生产及农产品质量安全意识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有效提高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有效提高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s="宋体"/>
                <w:color w:val="auto"/>
                <w:kern w:val="0"/>
                <w:sz w:val="18"/>
                <w:szCs w:val="18"/>
              </w:rPr>
            </w:pPr>
            <w:r>
              <w:rPr>
                <w:rFonts w:hint="eastAsia" w:ascii="宋体" w:hAnsi="宋体" w:cs="宋体"/>
                <w:color w:val="000000"/>
                <w:kern w:val="0"/>
                <w:sz w:val="18"/>
                <w:szCs w:val="18"/>
              </w:rPr>
              <w:t>通过制作购发放安全宣传用品，确保安全稳定</w:t>
            </w:r>
          </w:p>
        </w:tc>
        <w:tc>
          <w:tcPr>
            <w:tcW w:w="938"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color w:val="auto"/>
                <w:kern w:val="0"/>
                <w:sz w:val="18"/>
                <w:szCs w:val="18"/>
              </w:rPr>
            </w:pPr>
            <w:r>
              <w:rPr>
                <w:rFonts w:hint="eastAsia" w:ascii="宋体" w:hAnsi="宋体" w:cs="宋体"/>
                <w:kern w:val="0"/>
                <w:sz w:val="18"/>
                <w:szCs w:val="18"/>
              </w:rPr>
              <w:t>有效保障</w:t>
            </w:r>
          </w:p>
        </w:tc>
        <w:tc>
          <w:tcPr>
            <w:tcW w:w="848"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kern w:val="0"/>
                <w:sz w:val="18"/>
                <w:szCs w:val="18"/>
              </w:rPr>
              <w:t>有效保障</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安全宣传片、宣传品投放企业满意度</w:t>
            </w:r>
          </w:p>
        </w:tc>
        <w:tc>
          <w:tcPr>
            <w:tcW w:w="93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18"/>
                <w:szCs w:val="18"/>
              </w:rPr>
            </w:pPr>
            <w:r>
              <w:rPr>
                <w:rFonts w:hint="eastAsia" w:ascii="宋体" w:hAnsi="宋体" w:cs="宋体"/>
                <w:kern w:val="0"/>
                <w:sz w:val="18"/>
                <w:szCs w:val="18"/>
              </w:rPr>
              <w:t>≥95%</w:t>
            </w:r>
          </w:p>
        </w:tc>
        <w:tc>
          <w:tcPr>
            <w:tcW w:w="84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kern w:val="0"/>
                <w:sz w:val="18"/>
                <w:szCs w:val="18"/>
              </w:rPr>
              <w:t>95%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相关企业对安全生产宣传工作投诉次数</w:t>
            </w:r>
          </w:p>
        </w:tc>
        <w:tc>
          <w:tcPr>
            <w:tcW w:w="938"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18"/>
                <w:szCs w:val="18"/>
              </w:rPr>
            </w:pPr>
            <w:r>
              <w:rPr>
                <w:rFonts w:hint="eastAsia" w:ascii="宋体" w:hAnsi="宋体" w:cs="宋体"/>
                <w:kern w:val="0"/>
                <w:sz w:val="18"/>
                <w:szCs w:val="18"/>
              </w:rPr>
              <w:t>≤10次</w:t>
            </w:r>
          </w:p>
        </w:tc>
        <w:tc>
          <w:tcPr>
            <w:tcW w:w="848" w:type="dxa"/>
            <w:tcBorders>
              <w:top w:val="nil"/>
              <w:left w:val="nil"/>
              <w:bottom w:val="single" w:color="auto" w:sz="4" w:space="0"/>
              <w:right w:val="single" w:color="auto" w:sz="4" w:space="0"/>
            </w:tcBorders>
            <w:noWrap w:val="0"/>
            <w:vAlign w:val="center"/>
          </w:tcPr>
          <w:p>
            <w:pPr>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kern w:val="0"/>
                <w:sz w:val="18"/>
                <w:szCs w:val="18"/>
              </w:rPr>
              <w:t>0次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聘请法律顾问经费（政府购买法律服务）</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王文欢</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eastAsia="宋体" w:cs="宋体"/>
                <w:sz w:val="20"/>
                <w:szCs w:val="20"/>
              </w:rPr>
              <w:t>815849732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33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通过聘请法律顾问进行专业化服务，确保资金使用安全有效；通过聘请法律顾问进行专业化服务参与规章制度的制订、重大项目的启动等内容，可以使工作全方位地纳入规范化轨道，规避风险。</w:t>
            </w:r>
          </w:p>
          <w:p>
            <w:pPr>
              <w:widowControl/>
              <w:spacing w:line="240" w:lineRule="exact"/>
              <w:jc w:val="left"/>
              <w:rPr>
                <w:rFonts w:hint="eastAsia" w:ascii="宋体" w:hAnsi="宋体" w:eastAsia="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通过聘请法律顾问进行专业化服务，确保资金使用安全有效；通过聘请法律顾问进行专业化服务参与规章制度的制订、重大项目的启动等内容，可以使工作全方位地纳入规范化轨道，规避风险。</w:t>
            </w:r>
          </w:p>
          <w:p>
            <w:pPr>
              <w:widowControl/>
              <w:spacing w:line="240" w:lineRule="exact"/>
              <w:jc w:val="left"/>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指标1：建议书份数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1份</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合同审核数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≥10份（以实际为准）</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指标1：合同审核完成率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指标1：聘请法律顾问服务时间</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全年</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全年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指标1：聘请法律顾问成本</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6"/>
                <w:szCs w:val="16"/>
              </w:rPr>
              <w:t>≤</w:t>
            </w:r>
            <w:r>
              <w:rPr>
                <w:rFonts w:hint="eastAsia" w:ascii="宋体" w:hAnsi="宋体" w:cs="宋体"/>
                <w:color w:val="auto"/>
                <w:kern w:val="0"/>
                <w:sz w:val="16"/>
                <w:szCs w:val="16"/>
                <w:lang w:val="en-US" w:eastAsia="zh-CN"/>
              </w:rPr>
              <w:t>10</w:t>
            </w:r>
            <w:r>
              <w:rPr>
                <w:rFonts w:hint="eastAsia" w:ascii="宋体" w:hAnsi="宋体" w:cs="宋体"/>
                <w:color w:val="auto"/>
                <w:kern w:val="0"/>
                <w:sz w:val="16"/>
                <w:szCs w:val="16"/>
              </w:rPr>
              <w:t>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63"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持续推进依法行政，规范工作流程，有效规避法律风险</w:t>
            </w:r>
          </w:p>
        </w:tc>
        <w:tc>
          <w:tcPr>
            <w:tcW w:w="938" w:type="dxa"/>
            <w:tcBorders>
              <w:top w:val="single" w:color="auto" w:sz="4" w:space="0"/>
              <w:left w:val="nil"/>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有效促进</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指标1：农业农村局相关部门人员对法律顾问工作投诉率</w:t>
            </w:r>
          </w:p>
        </w:tc>
        <w:tc>
          <w:tcPr>
            <w:tcW w:w="938" w:type="dxa"/>
            <w:tcBorders>
              <w:top w:val="single" w:color="auto" w:sz="4" w:space="0"/>
              <w:left w:val="nil"/>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848" w:type="dxa"/>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2023</w:t>
            </w:r>
            <w:r>
              <w:rPr>
                <w:rFonts w:hint="eastAsia" w:ascii="宋体" w:hAnsi="宋体" w:cs="宋体"/>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聘请第三方审计机构经费（政府购买审计服务）</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周远平</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81580733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14.97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14.97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14.97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14.97</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14.97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14.97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90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目标1：通过第三方财务审计机构进行专业化服务，确保资金使用安全有效</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目标2：通过聘请第三方财务审计机构进行专业化服务参与规章制度的制订、重大项目的启动等内容，可以使工作全方位地纳入规范化轨道，规避风险。</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聘请第三方财务审计机构进行专业化服务，确保资金使用安全有效；进行专业化服务参与规章制度的制订、重大项目的启动等内容，可以使工作全方位地纳入规范化轨道，规避风险。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sz w:val="18"/>
                <w:szCs w:val="18"/>
              </w:rPr>
              <w:t>审计开展次数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sz w:val="18"/>
                <w:szCs w:val="18"/>
              </w:rPr>
              <w:t>2次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sz w:val="18"/>
                <w:szCs w:val="18"/>
              </w:rPr>
              <w:t>2次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sz w:val="18"/>
                <w:szCs w:val="18"/>
              </w:rPr>
              <w:t>审计报告份数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sz w:val="18"/>
                <w:szCs w:val="18"/>
              </w:rPr>
              <w:t>1份</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sz w:val="18"/>
                <w:szCs w:val="18"/>
              </w:rPr>
              <w:t>1份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sz w:val="18"/>
                <w:szCs w:val="18"/>
              </w:rPr>
              <w:t>管理建议书份数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sz w:val="18"/>
                <w:szCs w:val="18"/>
              </w:rPr>
              <w:t>1份</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sz w:val="18"/>
                <w:szCs w:val="18"/>
              </w:rPr>
              <w:t>1份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审计机构开展审计工作时间</w:t>
            </w:r>
            <w:r>
              <w:rPr>
                <w:rFonts w:hint="eastAsia" w:ascii="宋体" w:hAnsi="宋体" w:cs="宋体"/>
                <w:kern w:val="0"/>
                <w:sz w:val="18"/>
                <w:szCs w:val="18"/>
              </w:rPr>
              <w:tab/>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常年</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常年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聘请第三方审计机构成本</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0万</w:t>
            </w:r>
            <w:r>
              <w:rPr>
                <w:rFonts w:hint="eastAsia" w:ascii="宋体" w:hAnsi="宋体" w:cs="宋体"/>
                <w:kern w:val="0"/>
                <w:sz w:val="18"/>
                <w:szCs w:val="18"/>
                <w:lang w:val="en-US" w:eastAsia="zh-CN"/>
              </w:rPr>
              <w:t>元</w:t>
            </w:r>
            <w:r>
              <w:rPr>
                <w:rFonts w:hint="eastAsia" w:ascii="宋体" w:hAnsi="宋体" w:cs="宋体"/>
                <w:kern w:val="0"/>
                <w:sz w:val="18"/>
                <w:szCs w:val="18"/>
              </w:rPr>
              <w:t>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万</w:t>
            </w:r>
            <w:r>
              <w:rPr>
                <w:rFonts w:hint="eastAsia" w:ascii="宋体" w:hAnsi="宋体" w:cs="宋体"/>
                <w:kern w:val="0"/>
                <w:sz w:val="18"/>
                <w:szCs w:val="18"/>
                <w:lang w:val="en-US" w:eastAsia="zh-CN"/>
              </w:rPr>
              <w:t>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lang w:val="en-US" w:eastAsia="zh-CN" w:bidi="ar-SA"/>
              </w:rPr>
            </w:pPr>
            <w:r>
              <w:rPr>
                <w:rFonts w:hint="eastAsia" w:ascii="宋体" w:hAnsi="宋体" w:cs="宋体"/>
                <w:kern w:val="0"/>
                <w:sz w:val="18"/>
                <w:szCs w:val="18"/>
              </w:rPr>
              <w:t>通过聘请第三方审计机构，推进依法行政，规范工作程序，加大资金监管力度</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有效促进</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通过聘请第三方审计机构，推进依法行政，规范工作程序，加大资金监管力度</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lang w:val="en-US" w:eastAsia="zh-CN" w:bidi="ar-SA"/>
              </w:rPr>
            </w:pPr>
            <w:r>
              <w:rPr>
                <w:rFonts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8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农业农村局相关部门对第三方审计机构工作投诉率</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lang w:eastAsia="zh-CN"/>
        </w:rPr>
      </w:pPr>
      <w:r>
        <w:rPr>
          <w:rFonts w:hint="eastAsia"/>
          <w:lang w:eastAsia="zh-CN"/>
        </w:rPr>
        <w:br w:type="page"/>
      </w:r>
    </w:p>
    <w:tbl>
      <w:tblPr>
        <w:tblStyle w:val="12"/>
        <w:tblW w:w="9163" w:type="dxa"/>
        <w:jc w:val="center"/>
        <w:tblLayout w:type="fixed"/>
        <w:tblCellMar>
          <w:top w:w="0" w:type="dxa"/>
          <w:left w:w="108" w:type="dxa"/>
          <w:bottom w:w="0" w:type="dxa"/>
          <w:right w:w="108" w:type="dxa"/>
        </w:tblCellMar>
      </w:tblPr>
      <w:tblGrid>
        <w:gridCol w:w="578"/>
        <w:gridCol w:w="969"/>
        <w:gridCol w:w="1021"/>
        <w:gridCol w:w="783"/>
        <w:gridCol w:w="1114"/>
        <w:gridCol w:w="403"/>
        <w:gridCol w:w="704"/>
        <w:gridCol w:w="848"/>
        <w:gridCol w:w="202"/>
        <w:gridCol w:w="421"/>
        <w:gridCol w:w="350"/>
        <w:gridCol w:w="280"/>
        <w:gridCol w:w="556"/>
        <w:gridCol w:w="934"/>
      </w:tblGrid>
      <w:tr>
        <w:tblPrEx>
          <w:tblCellMar>
            <w:top w:w="0" w:type="dxa"/>
            <w:left w:w="108" w:type="dxa"/>
            <w:bottom w:w="0" w:type="dxa"/>
            <w:right w:w="108" w:type="dxa"/>
          </w:tblCellMar>
        </w:tblPrEx>
        <w:trPr>
          <w:trHeight w:val="440" w:hRule="exact"/>
          <w:jc w:val="center"/>
        </w:trPr>
        <w:tc>
          <w:tcPr>
            <w:tcW w:w="9163"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163"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1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农业农村局重点工作运行保障经费</w:t>
            </w:r>
            <w:r>
              <w:rPr>
                <w:rFonts w:hint="eastAsia" w:ascii="宋体" w:hAnsi="宋体" w:cs="宋体"/>
                <w:color w:val="auto"/>
                <w:kern w:val="0"/>
                <w:sz w:val="18"/>
                <w:szCs w:val="18"/>
                <w:lang w:eastAsia="zh-CN"/>
              </w:rPr>
              <w:t>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刘芳华</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81586408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309.2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303.47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98.15%</w:t>
            </w: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309.2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303.47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98.15%</w:t>
            </w: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59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377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1.物业服务项目按时按量完成对局机关保洁、办公区域卫生、消杀、环境绿化服务；</w:t>
            </w:r>
          </w:p>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2.保安服务项目要求定时完成对局机关院内外安全巡逻、院内勤务指挥、来访人员登记指引工作；</w:t>
            </w:r>
          </w:p>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3.办公设备维修和养护服务项目要求及时完成办公设备报修、更换工作、软件正版化检查和维护工作；</w:t>
            </w:r>
          </w:p>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4.食堂食材采购和餐饮服务项目要求按时按质按量进行食材采购，为机关工作人员和会议用餐人员提供用餐服务。</w:t>
            </w:r>
          </w:p>
        </w:tc>
        <w:tc>
          <w:tcPr>
            <w:tcW w:w="3591"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1.物业服务按时按量完成了对局机关保洁、办公区域卫生、消杀、环境绿化服务，保障了局机关正常工作运转；</w:t>
            </w:r>
          </w:p>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2.保安服务定时完成对局机关院内、院外安全巡逻、院内勤务指挥、来访人员登记指引工作，严格执行制度管理，保障工作正常运转。</w:t>
            </w:r>
          </w:p>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3.办公设备维修和养护服务做到了及时响应办公人员报修应求、及时更换设备零部件，定期维护升级办公软件，保障设备稳定运行。</w:t>
            </w:r>
          </w:p>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4.按合同约定完成采购食材清单及配送服务；采购食堂低值易耗品；负责烟机烟道清理；提供工作日的早、午、晚餐及法定节假日为办公区内加值班人员提供就餐服务。</w:t>
            </w:r>
          </w:p>
        </w:tc>
      </w:tr>
      <w:tr>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指标1：专职安全员人数</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19人</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19人</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5</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CellMar>
            <w:top w:w="0" w:type="dxa"/>
            <w:left w:w="108" w:type="dxa"/>
            <w:bottom w:w="0" w:type="dxa"/>
            <w:right w:w="108" w:type="dxa"/>
          </w:tblCellMar>
        </w:tblPrEx>
        <w:trPr>
          <w:trHeight w:val="283"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指标2：重点保障率</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5</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1：确保农业农村局各项工作正常开展</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正常运转</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正常运转</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指标1：完成资金拨付</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指标1：重点工作保障经费</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320万元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316.2552万元</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1：保障通州区农业农村局的正常办公</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有效保障</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有效保障</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1：保障通州区农业农村局的正常办公</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有效保障</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有效保障</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1：保障通州区农业农村局的正常办公</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有效保障</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有效保障</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1：保障通州区农业农村局的正常办公</w:t>
            </w:r>
          </w:p>
        </w:tc>
        <w:tc>
          <w:tcPr>
            <w:tcW w:w="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有效保障</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有效保障</w:t>
            </w:r>
          </w:p>
        </w:tc>
        <w:tc>
          <w:tcPr>
            <w:tcW w:w="6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30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指标1：农业农村局相关部门投诉次数</w:t>
            </w:r>
          </w:p>
        </w:tc>
        <w:tc>
          <w:tcPr>
            <w:tcW w:w="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5次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2次</w:t>
            </w:r>
          </w:p>
        </w:tc>
        <w:tc>
          <w:tcPr>
            <w:tcW w:w="6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99.80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9163" w:type="dxa"/>
        <w:jc w:val="center"/>
        <w:tblLayout w:type="fixed"/>
        <w:tblCellMar>
          <w:top w:w="0" w:type="dxa"/>
          <w:left w:w="108" w:type="dxa"/>
          <w:bottom w:w="0" w:type="dxa"/>
          <w:right w:w="108" w:type="dxa"/>
        </w:tblCellMar>
      </w:tblPr>
      <w:tblGrid>
        <w:gridCol w:w="578"/>
        <w:gridCol w:w="969"/>
        <w:gridCol w:w="1258"/>
        <w:gridCol w:w="546"/>
        <w:gridCol w:w="1114"/>
        <w:gridCol w:w="453"/>
        <w:gridCol w:w="798"/>
        <w:gridCol w:w="704"/>
        <w:gridCol w:w="202"/>
        <w:gridCol w:w="421"/>
        <w:gridCol w:w="350"/>
        <w:gridCol w:w="280"/>
        <w:gridCol w:w="556"/>
        <w:gridCol w:w="934"/>
      </w:tblGrid>
      <w:tr>
        <w:tblPrEx>
          <w:tblCellMar>
            <w:top w:w="0" w:type="dxa"/>
            <w:left w:w="108" w:type="dxa"/>
            <w:bottom w:w="0" w:type="dxa"/>
            <w:right w:w="108" w:type="dxa"/>
          </w:tblCellMar>
        </w:tblPrEx>
        <w:trPr>
          <w:trHeight w:val="440" w:hRule="exact"/>
          <w:jc w:val="center"/>
        </w:trPr>
        <w:tc>
          <w:tcPr>
            <w:tcW w:w="9163"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163"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1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农业农村局重点工作运行保障经费</w:t>
            </w:r>
            <w:r>
              <w:rPr>
                <w:rFonts w:hint="eastAsia" w:ascii="宋体" w:hAnsi="宋体" w:cs="宋体"/>
                <w:color w:val="auto"/>
                <w:kern w:val="0"/>
                <w:sz w:val="18"/>
                <w:szCs w:val="18"/>
                <w:lang w:eastAsia="zh-CN"/>
              </w:rPr>
              <w:t>项目</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1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北京市通州区农业农村局</w:t>
            </w:r>
          </w:p>
        </w:tc>
        <w:tc>
          <w:tcPr>
            <w:tcW w:w="9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1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刘芳华</w:t>
            </w:r>
          </w:p>
        </w:tc>
        <w:tc>
          <w:tcPr>
            <w:tcW w:w="9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81586408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9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312"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41.4</w:t>
            </w: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41.4</w:t>
            </w:r>
          </w:p>
        </w:tc>
        <w:tc>
          <w:tcPr>
            <w:tcW w:w="9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41.4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1</w:t>
            </w:r>
            <w:r>
              <w:rPr>
                <w:rFonts w:hint="eastAsia" w:ascii="宋体" w:hAnsi="宋体" w:cs="宋体"/>
                <w:color w:val="auto"/>
                <w:kern w:val="0"/>
                <w:sz w:val="18"/>
                <w:szCs w:val="18"/>
                <w:lang w:val="en-US" w:eastAsia="zh-CN"/>
              </w:rPr>
              <w:t>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9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41.4</w:t>
            </w: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41.4</w:t>
            </w:r>
          </w:p>
        </w:tc>
        <w:tc>
          <w:tcPr>
            <w:tcW w:w="9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41.4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13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4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303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138" w:type="dxa"/>
            <w:gridSpan w:val="6"/>
            <w:tcBorders>
              <w:top w:val="single" w:color="auto" w:sz="4" w:space="0"/>
              <w:left w:val="nil"/>
              <w:bottom w:val="single" w:color="auto" w:sz="4" w:space="0"/>
              <w:right w:val="single" w:color="auto" w:sz="4" w:space="0"/>
            </w:tcBorders>
            <w:vAlign w:val="center"/>
          </w:tcPr>
          <w:p>
            <w:pPr>
              <w:widowControl/>
              <w:numPr>
                <w:ilvl w:val="0"/>
                <w:numId w:val="2"/>
              </w:numPr>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绿化养护服务要求完成局机关院内绿化环境修缮、防虫害、御寒保护、落叶清理、日常浇灌、施肥等服务；</w:t>
            </w:r>
          </w:p>
          <w:p>
            <w:pPr>
              <w:widowControl/>
              <w:numPr>
                <w:ilvl w:val="0"/>
                <w:numId w:val="2"/>
              </w:numPr>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办公用品满足日常办公需求，保障农业农村局工作正常运转；</w:t>
            </w:r>
          </w:p>
          <w:p>
            <w:pPr>
              <w:widowControl/>
              <w:numPr>
                <w:ilvl w:val="0"/>
                <w:numId w:val="2"/>
              </w:numPr>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办公消耗品满足日常办公需求，保障农业农村局工作正常运转</w:t>
            </w:r>
          </w:p>
          <w:p>
            <w:pPr>
              <w:widowControl/>
              <w:numPr>
                <w:ilvl w:val="0"/>
                <w:numId w:val="2"/>
              </w:numPr>
              <w:spacing w:line="240" w:lineRule="exact"/>
              <w:ind w:left="0" w:leftChars="0" w:firstLine="0" w:firstLineChars="0"/>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办公设备维修服务要求及时完成办公设备报修、更换工作、软件正版化检查和维护工作；</w:t>
            </w:r>
          </w:p>
          <w:p>
            <w:pPr>
              <w:widowControl/>
              <w:numPr>
                <w:ilvl w:val="0"/>
                <w:numId w:val="2"/>
              </w:numPr>
              <w:spacing w:line="240" w:lineRule="exact"/>
              <w:ind w:left="0" w:leftChars="0" w:firstLine="0" w:firstLineChars="0"/>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维护OA系统正常运行，确保农业农村局正常运行</w:t>
            </w:r>
          </w:p>
        </w:tc>
        <w:tc>
          <w:tcPr>
            <w:tcW w:w="3447" w:type="dxa"/>
            <w:gridSpan w:val="7"/>
            <w:tcBorders>
              <w:top w:val="single" w:color="auto" w:sz="4" w:space="0"/>
              <w:left w:val="nil"/>
              <w:bottom w:val="single" w:color="auto" w:sz="4" w:space="0"/>
              <w:right w:val="single" w:color="auto" w:sz="4" w:space="0"/>
            </w:tcBorders>
            <w:vAlign w:val="center"/>
          </w:tcPr>
          <w:p>
            <w:pPr>
              <w:widowControl/>
              <w:numPr>
                <w:ilvl w:val="0"/>
                <w:numId w:val="3"/>
              </w:numPr>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绿化养护工作按照合同的服务要求，完成了日常的绿植浇灌、施肥、虫害治理、修剪造型、落叶清理、冬季御寒防护等工作，保障了办公区域环境优美；</w:t>
            </w:r>
          </w:p>
          <w:p>
            <w:pPr>
              <w:widowControl/>
              <w:numPr>
                <w:ilvl w:val="0"/>
                <w:numId w:val="3"/>
              </w:numPr>
              <w:spacing w:line="240" w:lineRule="exact"/>
              <w:ind w:left="0" w:leftChars="0" w:firstLine="0" w:firstLineChars="0"/>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满足日常办公用品需求，保障农业农村局工作正常运转；</w:t>
            </w:r>
          </w:p>
          <w:p>
            <w:pPr>
              <w:widowControl/>
              <w:numPr>
                <w:ilvl w:val="0"/>
                <w:numId w:val="3"/>
              </w:numPr>
              <w:spacing w:line="240" w:lineRule="exact"/>
              <w:ind w:left="0" w:leftChars="0" w:firstLine="0" w:firstLineChars="0"/>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根据日常办公需求，满足日常办公所需办公消耗品，保障农业农村局工作正常运转</w:t>
            </w:r>
          </w:p>
          <w:p>
            <w:pPr>
              <w:widowControl/>
              <w:numPr>
                <w:ilvl w:val="0"/>
                <w:numId w:val="3"/>
              </w:numPr>
              <w:spacing w:line="240" w:lineRule="exact"/>
              <w:ind w:left="0" w:leftChars="0" w:firstLine="0" w:firstLineChars="0"/>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及时完成办公设备报修、更换工作、软件正版化检查和维护工作，保障了农业农村局正常运行；</w:t>
            </w:r>
          </w:p>
          <w:p>
            <w:pPr>
              <w:widowControl/>
              <w:numPr>
                <w:ilvl w:val="0"/>
                <w:numId w:val="3"/>
              </w:numPr>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维护OA系统正常运行，保障了农业农村局正常运行.</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38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指标1：专职安全员人数</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20人</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19人</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5</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CellMar>
            <w:top w:w="0" w:type="dxa"/>
            <w:left w:w="108" w:type="dxa"/>
            <w:bottom w:w="0" w:type="dxa"/>
            <w:right w:w="108" w:type="dxa"/>
          </w:tblCellMar>
        </w:tblPrEx>
        <w:trPr>
          <w:trHeight w:val="35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指标2：重点保障率</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5</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1：确保农业农村局各项工作正常开展</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正常运转</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正常运转</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指标1：完成资金拨付</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指标1：重点工作保障经费</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41.4万元</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41.4万元</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1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1：保障通州区农业农村局的正常办公</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有效保障</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有效保障</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1：保障通州区农业农村局的正常办公</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有效保障</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有效保障</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1：保障通州区农业农村局的正常办公</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有效保障</w:t>
            </w:r>
          </w:p>
        </w:tc>
        <w:tc>
          <w:tcPr>
            <w:tcW w:w="7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有效保障</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1：保障通州区农业农村局的正常办公</w:t>
            </w:r>
          </w:p>
        </w:tc>
        <w:tc>
          <w:tcPr>
            <w:tcW w:w="7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有效保障</w:t>
            </w:r>
          </w:p>
        </w:tc>
        <w:tc>
          <w:tcPr>
            <w:tcW w:w="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有效保障</w:t>
            </w:r>
          </w:p>
        </w:tc>
        <w:tc>
          <w:tcPr>
            <w:tcW w:w="6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33"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1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指标1：农业农村局相关部门投诉次数</w:t>
            </w:r>
          </w:p>
        </w:tc>
        <w:tc>
          <w:tcPr>
            <w:tcW w:w="7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5次</w:t>
            </w:r>
          </w:p>
        </w:tc>
        <w:tc>
          <w:tcPr>
            <w:tcW w:w="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2次</w:t>
            </w:r>
          </w:p>
        </w:tc>
        <w:tc>
          <w:tcPr>
            <w:tcW w:w="6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4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2023年北京市通州区耕地地力保护补贴</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北京市通州区农业农村局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康营</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sz w:val="20"/>
                <w:szCs w:val="20"/>
              </w:rPr>
              <w:t>815849732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3467.2140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3467.2140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3467.2140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3467.2140</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3467.2140</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3467.2140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按照方案要求完成补贴主体自愿申请、村委会公示确认、镇乡政府审核、区政府批准、资金发放等工作。</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全区补贴面积小计</w:t>
            </w:r>
            <w:r>
              <w:rPr>
                <w:rFonts w:hint="eastAsia" w:ascii="宋体" w:hAnsi="宋体" w:cs="宋体"/>
                <w:color w:val="auto"/>
                <w:kern w:val="0"/>
                <w:sz w:val="18"/>
                <w:szCs w:val="18"/>
                <w:lang w:val="en-US" w:eastAsia="zh-CN"/>
              </w:rPr>
              <w:t>115573.8亩，补贴资金总额3467.2140万元，共涉及10个乡镇267个村，5141个补贴主体。</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补贴面积</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115573.8亩</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115573.8亩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按方案规定时间完成</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按时完成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按时完成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提高农户种植积极性</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明显提高</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明显提高</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lang w:eastAsia="zh-CN"/>
        </w:rPr>
      </w:pPr>
      <w:r>
        <w:rPr>
          <w:rFonts w:hint="eastAsia"/>
          <w:lang w:eastAsia="zh-CN"/>
        </w:rPr>
        <w:br w:type="page"/>
      </w:r>
    </w:p>
    <w:tbl>
      <w:tblPr>
        <w:tblStyle w:val="12"/>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2023年北京市通州区实际种粮农民一次性补贴</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北京市通州区农业农村局</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北京市通州区农业农村局</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康营</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rPr>
              <w:t>815849732</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37.519698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37.519698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37.519698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37.519698</w:t>
            </w:r>
          </w:p>
        </w:tc>
        <w:tc>
          <w:tcPr>
            <w:tcW w:w="110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37.519698</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37.519698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77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按照方案要求完成补贴主体自愿申请、村委会公示确认、镇乡政府审核、区政府批准、资金发放等工作。</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全区补贴面积小计</w:t>
            </w:r>
            <w:r>
              <w:rPr>
                <w:rFonts w:hint="eastAsia" w:ascii="宋体" w:hAnsi="宋体" w:cs="宋体"/>
                <w:color w:val="auto"/>
                <w:kern w:val="0"/>
                <w:sz w:val="18"/>
                <w:szCs w:val="18"/>
                <w:lang w:val="en-US" w:eastAsia="zh-CN"/>
              </w:rPr>
              <w:t>62532.83亩，补贴资金总额37.519698万元，涉及10个乡镇164个村，共2712户次农民受益。</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4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补贴面积</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62532.83亩</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62532.83亩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按方案规定时</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按时完成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按时完成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提高农户种植</w:t>
            </w:r>
          </w:p>
        </w:tc>
        <w:tc>
          <w:tcPr>
            <w:tcW w:w="9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明显提高</w:t>
            </w:r>
          </w:p>
        </w:tc>
        <w:tc>
          <w:tcPr>
            <w:tcW w:w="84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明显提高</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40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pStyle w:val="3"/>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ans-serif">
    <w:altName w:val="仿宋"/>
    <w:panose1 w:val="00000000000000000000"/>
    <w:charset w:val="00"/>
    <w:family w:val="auto"/>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F636B"/>
    <w:multiLevelType w:val="singleLevel"/>
    <w:tmpl w:val="9FFF636B"/>
    <w:lvl w:ilvl="0" w:tentative="0">
      <w:start w:val="1"/>
      <w:numFmt w:val="decimal"/>
      <w:suff w:val="nothing"/>
      <w:lvlText w:val="%1、"/>
      <w:lvlJc w:val="left"/>
    </w:lvl>
  </w:abstractNum>
  <w:abstractNum w:abstractNumId="1">
    <w:nsid w:val="2297A2A1"/>
    <w:multiLevelType w:val="singleLevel"/>
    <w:tmpl w:val="2297A2A1"/>
    <w:lvl w:ilvl="0" w:tentative="0">
      <w:start w:val="1"/>
      <w:numFmt w:val="decimal"/>
      <w:lvlText w:val="%1."/>
      <w:lvlJc w:val="left"/>
      <w:pPr>
        <w:tabs>
          <w:tab w:val="left" w:pos="312"/>
        </w:tabs>
      </w:pPr>
    </w:lvl>
  </w:abstractNum>
  <w:abstractNum w:abstractNumId="2">
    <w:nsid w:val="6C238877"/>
    <w:multiLevelType w:val="singleLevel"/>
    <w:tmpl w:val="6C238877"/>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乔.">
    <w15:presenceInfo w15:providerId="WPS Office" w15:userId="1880005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Y2NkZmJhNzU3NWNiN2U2MTJiNjMwMzViMDhhZWIifQ=="/>
  </w:docVars>
  <w:rsids>
    <w:rsidRoot w:val="00334500"/>
    <w:rsid w:val="00077579"/>
    <w:rsid w:val="00084ED4"/>
    <w:rsid w:val="001C5C6A"/>
    <w:rsid w:val="001E382B"/>
    <w:rsid w:val="00201ECD"/>
    <w:rsid w:val="002277EB"/>
    <w:rsid w:val="00236FE5"/>
    <w:rsid w:val="00241FD9"/>
    <w:rsid w:val="002D61E9"/>
    <w:rsid w:val="002E4F98"/>
    <w:rsid w:val="00334500"/>
    <w:rsid w:val="003736D2"/>
    <w:rsid w:val="003F32F5"/>
    <w:rsid w:val="003F63B6"/>
    <w:rsid w:val="00422DE1"/>
    <w:rsid w:val="004A660B"/>
    <w:rsid w:val="005229D0"/>
    <w:rsid w:val="00595C92"/>
    <w:rsid w:val="005D3598"/>
    <w:rsid w:val="005D736B"/>
    <w:rsid w:val="005F72A1"/>
    <w:rsid w:val="006246E8"/>
    <w:rsid w:val="0068670D"/>
    <w:rsid w:val="007B0BA2"/>
    <w:rsid w:val="00806FA6"/>
    <w:rsid w:val="0083368F"/>
    <w:rsid w:val="008837FE"/>
    <w:rsid w:val="009C6319"/>
    <w:rsid w:val="00A4165B"/>
    <w:rsid w:val="00A47D8B"/>
    <w:rsid w:val="00A56B7E"/>
    <w:rsid w:val="00B032B2"/>
    <w:rsid w:val="00B107BE"/>
    <w:rsid w:val="00B34597"/>
    <w:rsid w:val="00B77358"/>
    <w:rsid w:val="00B82AA8"/>
    <w:rsid w:val="00B949CC"/>
    <w:rsid w:val="00BE6FB0"/>
    <w:rsid w:val="00C5426A"/>
    <w:rsid w:val="00CE223A"/>
    <w:rsid w:val="00CE530E"/>
    <w:rsid w:val="00D86554"/>
    <w:rsid w:val="00E80BB0"/>
    <w:rsid w:val="00F94854"/>
    <w:rsid w:val="102C0975"/>
    <w:rsid w:val="10CC663B"/>
    <w:rsid w:val="18821656"/>
    <w:rsid w:val="18DE6357"/>
    <w:rsid w:val="1A125B19"/>
    <w:rsid w:val="1DD474A2"/>
    <w:rsid w:val="28770897"/>
    <w:rsid w:val="2A1B4A63"/>
    <w:rsid w:val="2F376640"/>
    <w:rsid w:val="33541F5C"/>
    <w:rsid w:val="45FD79E7"/>
    <w:rsid w:val="475F0927"/>
    <w:rsid w:val="51A05941"/>
    <w:rsid w:val="547D1CF3"/>
    <w:rsid w:val="5BCB13F5"/>
    <w:rsid w:val="5E6A32E8"/>
    <w:rsid w:val="64FE28B2"/>
    <w:rsid w:val="66AF4608"/>
    <w:rsid w:val="69085E79"/>
    <w:rsid w:val="6B895617"/>
    <w:rsid w:val="6D844AAC"/>
    <w:rsid w:val="6FE96026"/>
    <w:rsid w:val="718D5813"/>
    <w:rsid w:val="75420779"/>
    <w:rsid w:val="75524DAA"/>
    <w:rsid w:val="7F8C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annotation text"/>
    <w:basedOn w:val="1"/>
    <w:semiHidden/>
    <w:unhideWhenUsed/>
    <w:qFormat/>
    <w:uiPriority w:val="99"/>
    <w:pPr>
      <w:jc w:val="left"/>
    </w:pPr>
  </w:style>
  <w:style w:type="paragraph" w:styleId="5">
    <w:name w:val="Body Text"/>
    <w:basedOn w:val="1"/>
    <w:next w:val="1"/>
    <w:semiHidden/>
    <w:unhideWhenUsed/>
    <w:qFormat/>
    <w:uiPriority w:val="99"/>
    <w:pPr>
      <w:spacing w:after="120" w:afterLines="0" w:afterAutospacing="0"/>
    </w:pPr>
  </w:style>
  <w:style w:type="paragraph" w:styleId="6">
    <w:name w:val="Block Text"/>
    <w:basedOn w:val="1"/>
    <w:qFormat/>
    <w:uiPriority w:val="0"/>
    <w:pPr>
      <w:spacing w:after="120"/>
      <w:ind w:left="1440" w:leftChars="700" w:right="1440" w:rightChars="700"/>
    </w:pPr>
    <w:rPr>
      <w:rFonts w:ascii="仿宋_GB2312" w:eastAsia="仿宋_GB2312"/>
      <w:snapToGrid w:val="0"/>
      <w:sz w:val="32"/>
      <w:szCs w:val="32"/>
    </w:rPr>
  </w:style>
  <w:style w:type="paragraph" w:styleId="7">
    <w:name w:val="Date"/>
    <w:basedOn w:val="1"/>
    <w:next w:val="1"/>
    <w:link w:val="19"/>
    <w:semiHidden/>
    <w:unhideWhenUsed/>
    <w:qFormat/>
    <w:uiPriority w:val="99"/>
    <w:pPr>
      <w:ind w:left="100" w:leftChars="2500"/>
    </w:p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index 9"/>
    <w:basedOn w:val="1"/>
    <w:next w:val="1"/>
    <w:unhideWhenUsed/>
    <w:qFormat/>
    <w:uiPriority w:val="99"/>
    <w:pPr>
      <w:ind w:left="1600" w:leftChars="16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22"/>
    <w:rPr>
      <w:b/>
    </w:rPr>
  </w:style>
  <w:style w:type="character" w:styleId="15">
    <w:name w:val="Emphasis"/>
    <w:basedOn w:val="13"/>
    <w:qFormat/>
    <w:uiPriority w:val="20"/>
    <w:rPr>
      <w:i/>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paragraph" w:customStyle="1" w:styleId="18">
    <w:name w:val="Char Char Char1 Char Char Char Char Char Char Char Char Char1 Char Char Char Char"/>
    <w:basedOn w:val="1"/>
    <w:qFormat/>
    <w:uiPriority w:val="0"/>
    <w:pPr>
      <w:widowControl/>
      <w:spacing w:after="160" w:line="240" w:lineRule="exact"/>
      <w:jc w:val="left"/>
    </w:pPr>
    <w:rPr>
      <w:rFonts w:ascii="Tahoma" w:hAnsi="Tahoma" w:eastAsia="黑体" w:cs="Arial"/>
      <w:b/>
      <w:kern w:val="32"/>
      <w:sz w:val="32"/>
      <w:szCs w:val="28"/>
    </w:rPr>
  </w:style>
  <w:style w:type="character" w:customStyle="1" w:styleId="19">
    <w:name w:val="日期 Char"/>
    <w:basedOn w:val="13"/>
    <w:link w:val="7"/>
    <w:semiHidden/>
    <w:qFormat/>
    <w:uiPriority w:val="99"/>
    <w:rPr>
      <w:rFonts w:ascii="Times New Roman" w:hAnsi="Times New Roman" w:eastAsia="宋体" w:cs="Times New Roman"/>
      <w:szCs w:val="24"/>
    </w:rPr>
  </w:style>
  <w:style w:type="paragraph" w:styleId="20">
    <w:name w:val="List Paragraph"/>
    <w:basedOn w:val="1"/>
    <w:qFormat/>
    <w:uiPriority w:val="34"/>
    <w:pPr>
      <w:ind w:firstLine="420" w:firstLineChars="200"/>
    </w:pPr>
    <w:rPr>
      <w:rFonts w:ascii="Calibri" w:hAnsi="Calibri"/>
      <w:szCs w:val="22"/>
    </w:rPr>
  </w:style>
  <w:style w:type="character" w:customStyle="1" w:styleId="21">
    <w:name w:val="font81"/>
    <w:basedOn w:val="13"/>
    <w:qFormat/>
    <w:uiPriority w:val="0"/>
    <w:rPr>
      <w:rFonts w:hint="eastAsia" w:ascii="宋体" w:hAnsi="宋体" w:eastAsia="宋体" w:cs="宋体"/>
      <w:color w:val="000000"/>
      <w:sz w:val="20"/>
      <w:szCs w:val="20"/>
      <w:u w:val="none"/>
    </w:rPr>
  </w:style>
  <w:style w:type="character" w:customStyle="1" w:styleId="22">
    <w:name w:val="font7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61340</Words>
  <Characters>70300</Characters>
  <Lines>1</Lines>
  <Paragraphs>1</Paragraphs>
  <TotalTime>6</TotalTime>
  <ScaleCrop>false</ScaleCrop>
  <LinksUpToDate>false</LinksUpToDate>
  <CharactersWithSpaces>72638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2023-03-10T06:25:00Z</dcterms:created>
  <dc:creator>liumin</dc:creator>
  <cp:lastModifiedBy>lenovo</cp:lastModifiedBy>
  <cp:lastPrinted>2024-01-02T09:23:00Z</cp:lastPrinted>
  <dcterms:modified xsi:type="dcterms:W3CDTF">2024-09-06T02:42:48Z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2E4243B7F0954886A860BE8A70078913_13</vt:lpwstr>
  </property>
</Properties>
</file>