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_GB2312" w:eastAsia="黑体"/>
          <w:color w:val="auto"/>
          <w:sz w:val="32"/>
          <w:szCs w:val="32"/>
          <w:lang w:val="en-US" w:eastAsia="zh-CN"/>
        </w:rPr>
      </w:pPr>
      <w:r>
        <w:rPr>
          <w:rFonts w:hint="eastAsia" w:ascii="黑体" w:hAnsi="黑体" w:eastAsia="黑体"/>
          <w:color w:val="auto"/>
          <w:sz w:val="32"/>
          <w:szCs w:val="32"/>
        </w:rPr>
        <w:t>附件1</w:t>
      </w:r>
      <w:r>
        <w:rPr>
          <w:rFonts w:hint="eastAsia" w:ascii="黑体" w:hAnsi="黑体" w:eastAsia="黑体"/>
          <w:color w:val="auto"/>
          <w:sz w:val="32"/>
          <w:szCs w:val="32"/>
          <w:lang w:val="en-US" w:eastAsia="zh-CN"/>
        </w:rPr>
        <w:t>-1</w:t>
      </w:r>
    </w:p>
    <w:tbl>
      <w:tblPr>
        <w:tblStyle w:val="3"/>
        <w:tblW w:w="8928" w:type="dxa"/>
        <w:jc w:val="center"/>
        <w:tblLayout w:type="fixed"/>
        <w:tblCellMar>
          <w:top w:w="0" w:type="dxa"/>
          <w:left w:w="108" w:type="dxa"/>
          <w:bottom w:w="0" w:type="dxa"/>
          <w:right w:w="108" w:type="dxa"/>
        </w:tblCellMar>
      </w:tblPr>
      <w:tblGrid>
        <w:gridCol w:w="578"/>
        <w:gridCol w:w="969"/>
        <w:gridCol w:w="1086"/>
        <w:gridCol w:w="718"/>
        <w:gridCol w:w="693"/>
        <w:gridCol w:w="360"/>
        <w:gridCol w:w="1142"/>
        <w:gridCol w:w="874"/>
        <w:gridCol w:w="202"/>
        <w:gridCol w:w="355"/>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noWrap w:val="0"/>
            <w:vAlign w:val="center"/>
          </w:tcPr>
          <w:p>
            <w:pPr>
              <w:widowControl/>
              <w:spacing w:line="500" w:lineRule="exact"/>
              <w:jc w:val="center"/>
              <w:rPr>
                <w:rFonts w:ascii="宋体" w:hAnsi="宋体" w:cs="宋体"/>
                <w:b/>
                <w:bCs/>
                <w:color w:val="auto"/>
                <w:kern w:val="0"/>
                <w:sz w:val="32"/>
                <w:szCs w:val="32"/>
              </w:rPr>
            </w:pPr>
            <w:r>
              <w:rPr>
                <w:rFonts w:hint="eastAsia" w:ascii="宋体" w:hAnsi="宋体" w:cs="宋体"/>
                <w:b/>
                <w:bCs/>
                <w:color w:val="auto"/>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noWrap w:val="0"/>
            <w:vAlign w:val="top"/>
          </w:tcPr>
          <w:p>
            <w:pPr>
              <w:widowControl/>
              <w:jc w:val="center"/>
              <w:rPr>
                <w:rFonts w:ascii="宋体" w:hAnsi="宋体" w:cs="宋体"/>
                <w:color w:val="auto"/>
                <w:kern w:val="0"/>
                <w:sz w:val="22"/>
              </w:rPr>
            </w:pPr>
            <w:r>
              <w:rPr>
                <w:rFonts w:hint="eastAsia" w:ascii="宋体" w:hAnsi="宋体" w:cs="宋体"/>
                <w:color w:val="auto"/>
                <w:kern w:val="0"/>
                <w:sz w:val="22"/>
              </w:rPr>
              <w:t>（</w:t>
            </w:r>
            <w:r>
              <w:rPr>
                <w:rFonts w:hint="eastAsia" w:ascii="宋体" w:hAnsi="宋体" w:cs="宋体"/>
                <w:color w:val="auto"/>
                <w:kern w:val="0"/>
                <w:sz w:val="22"/>
                <w:lang w:val="en-US" w:eastAsia="zh-CN"/>
              </w:rPr>
              <w:t>2023</w:t>
            </w:r>
            <w:r>
              <w:rPr>
                <w:rFonts w:hint="eastAsia" w:ascii="宋体" w:hAnsi="宋体" w:cs="宋体"/>
                <w:color w:val="auto"/>
                <w:kern w:val="0"/>
                <w:sz w:val="22"/>
              </w:rPr>
              <w:t>年度）</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项目名称</w:t>
            </w:r>
          </w:p>
        </w:tc>
        <w:tc>
          <w:tcPr>
            <w:tcW w:w="7381"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rPr>
              <w:t>上年结转日常运维费</w:t>
            </w:r>
          </w:p>
        </w:tc>
      </w:tr>
      <w:tr>
        <w:tblPrEx>
          <w:tblCellMar>
            <w:top w:w="0" w:type="dxa"/>
            <w:left w:w="108" w:type="dxa"/>
            <w:bottom w:w="0" w:type="dxa"/>
            <w:right w:w="108" w:type="dxa"/>
          </w:tblCellMar>
        </w:tblPrEx>
        <w:trPr>
          <w:trHeight w:val="53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主管部门</w:t>
            </w:r>
          </w:p>
        </w:tc>
        <w:tc>
          <w:tcPr>
            <w:tcW w:w="3999"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北京市通州区水务局</w:t>
            </w:r>
          </w:p>
        </w:tc>
        <w:tc>
          <w:tcPr>
            <w:tcW w:w="1076"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实施单位</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北京市通州区水资源与节约用水事务中心</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w:t>
            </w:r>
            <w:r>
              <w:rPr>
                <w:rFonts w:ascii="宋体" w:hAnsi="宋体" w:cs="宋体"/>
                <w:color w:val="auto"/>
                <w:kern w:val="0"/>
                <w:sz w:val="18"/>
                <w:szCs w:val="18"/>
              </w:rPr>
              <w:t>负责人</w:t>
            </w:r>
          </w:p>
        </w:tc>
        <w:tc>
          <w:tcPr>
            <w:tcW w:w="3999"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牛珺</w:t>
            </w:r>
          </w:p>
        </w:tc>
        <w:tc>
          <w:tcPr>
            <w:tcW w:w="1076"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ascii="宋体" w:hAnsi="宋体" w:cs="宋体"/>
                <w:color w:val="auto"/>
                <w:kern w:val="0"/>
                <w:sz w:val="18"/>
                <w:szCs w:val="18"/>
              </w:rPr>
              <w:t>联系电话</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010-61525395</w:t>
            </w:r>
          </w:p>
        </w:tc>
      </w:tr>
      <w:tr>
        <w:tblPrEx>
          <w:tblCellMar>
            <w:top w:w="0" w:type="dxa"/>
            <w:left w:w="108" w:type="dxa"/>
            <w:bottom w:w="0" w:type="dxa"/>
            <w:right w:w="108" w:type="dxa"/>
          </w:tblCellMar>
        </w:tblPrEx>
        <w:trPr>
          <w:trHeight w:val="559" w:hRule="exact"/>
          <w:jc w:val="center"/>
        </w:trPr>
        <w:tc>
          <w:tcPr>
            <w:tcW w:w="154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left"/>
              <w:rPr>
                <w:rFonts w:ascii="宋体" w:hAnsi="宋体" w:cs="宋体"/>
                <w:color w:val="auto"/>
                <w:kern w:val="0"/>
                <w:sz w:val="18"/>
                <w:szCs w:val="18"/>
              </w:rPr>
            </w:pPr>
            <w:r>
              <w:rPr>
                <w:rFonts w:hint="eastAsia" w:ascii="宋体" w:hAnsi="宋体" w:cs="宋体"/>
                <w:color w:val="auto"/>
                <w:kern w:val="0"/>
                <w:sz w:val="18"/>
                <w:szCs w:val="18"/>
              </w:rPr>
              <w:t>项目资金（万元）</w:t>
            </w: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年初</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14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076"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执行数</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执行率</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color w:val="auto"/>
                <w:kern w:val="0"/>
                <w:sz w:val="18"/>
                <w:szCs w:val="18"/>
              </w:rPr>
            </w:pPr>
            <w:r>
              <w:rPr>
                <w:rFonts w:hint="eastAsia" w:ascii="宋体" w:hAnsi="宋体" w:cs="宋体"/>
                <w:color w:val="auto"/>
                <w:kern w:val="0"/>
                <w:sz w:val="18"/>
                <w:szCs w:val="18"/>
              </w:rPr>
              <w:t>年度资金总额</w:t>
            </w:r>
          </w:p>
        </w:tc>
        <w:tc>
          <w:tcPr>
            <w:tcW w:w="105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1.458</w:t>
            </w:r>
          </w:p>
        </w:tc>
        <w:tc>
          <w:tcPr>
            <w:tcW w:w="114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1.458</w:t>
            </w:r>
          </w:p>
        </w:tc>
        <w:tc>
          <w:tcPr>
            <w:tcW w:w="1076"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1.458</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其中：当年财政拨款</w:t>
            </w:r>
          </w:p>
        </w:tc>
        <w:tc>
          <w:tcPr>
            <w:tcW w:w="105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1.458</w:t>
            </w:r>
          </w:p>
        </w:tc>
        <w:tc>
          <w:tcPr>
            <w:tcW w:w="114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w:t>
            </w:r>
            <w:bookmarkStart w:id="0" w:name="_GoBack"/>
            <w:bookmarkEnd w:id="0"/>
            <w:r>
              <w:rPr>
                <w:rFonts w:hint="eastAsia" w:ascii="宋体" w:hAnsi="宋体" w:cs="宋体"/>
                <w:color w:val="auto"/>
                <w:kern w:val="0"/>
                <w:sz w:val="18"/>
                <w:szCs w:val="18"/>
              </w:rPr>
              <w:t>458</w:t>
            </w:r>
          </w:p>
        </w:tc>
        <w:tc>
          <w:tcPr>
            <w:tcW w:w="1076"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1.458</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上年结转资金</w:t>
            </w:r>
          </w:p>
        </w:tc>
        <w:tc>
          <w:tcPr>
            <w:tcW w:w="105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4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76"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其他资金</w:t>
            </w:r>
          </w:p>
        </w:tc>
        <w:tc>
          <w:tcPr>
            <w:tcW w:w="1053"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4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76"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年度总体目标</w:t>
            </w:r>
          </w:p>
        </w:tc>
        <w:tc>
          <w:tcPr>
            <w:tcW w:w="4968"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预期目标</w:t>
            </w:r>
          </w:p>
        </w:tc>
        <w:tc>
          <w:tcPr>
            <w:tcW w:w="338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实际完成情况</w:t>
            </w:r>
          </w:p>
        </w:tc>
      </w:tr>
      <w:tr>
        <w:tblPrEx>
          <w:tblCellMar>
            <w:top w:w="0" w:type="dxa"/>
            <w:left w:w="108" w:type="dxa"/>
            <w:bottom w:w="0" w:type="dxa"/>
            <w:right w:w="108" w:type="dxa"/>
          </w:tblCellMar>
        </w:tblPrEx>
        <w:trPr>
          <w:trHeight w:val="915" w:hRule="exact"/>
          <w:jc w:val="center"/>
        </w:trPr>
        <w:tc>
          <w:tcPr>
            <w:tcW w:w="57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4968"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通过开展2套系统平台的运维，确保通州区远传水表采集系统和国控水资源水量监控系统平台正常运行。通过远传水表的运维工作，确保已安装远传水表正常运转和数据上传。</w:t>
            </w:r>
          </w:p>
        </w:tc>
        <w:tc>
          <w:tcPr>
            <w:tcW w:w="338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eastAsia="zh-CN"/>
              </w:rPr>
            </w:pPr>
            <w:r>
              <w:rPr>
                <w:rFonts w:hint="eastAsia" w:asciiTheme="minorEastAsia" w:hAnsiTheme="minorEastAsia" w:eastAsiaTheme="minorEastAsia" w:cstheme="minorEastAsia"/>
                <w:bCs/>
                <w:kern w:val="0"/>
                <w:sz w:val="18"/>
                <w:szCs w:val="18"/>
                <w:lang w:eastAsia="zh-CN"/>
              </w:rPr>
              <w:t>已完成年度总体目标，</w:t>
            </w:r>
            <w:r>
              <w:rPr>
                <w:rFonts w:hint="eastAsia" w:asciiTheme="minorEastAsia" w:hAnsiTheme="minorEastAsia" w:eastAsiaTheme="minorEastAsia" w:cstheme="minorEastAsia"/>
                <w:bCs/>
                <w:kern w:val="0"/>
                <w:sz w:val="18"/>
                <w:szCs w:val="18"/>
                <w:lang w:val="en-US" w:eastAsia="zh-CN"/>
              </w:rPr>
              <w:t>1.458万元项目尾款于项目验收合格后已拨付。</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绩</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效</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指</w:t>
            </w:r>
            <w:r>
              <w:rPr>
                <w:rFonts w:hint="eastAsia" w:asciiTheme="minorEastAsia" w:hAnsiTheme="minorEastAsia" w:eastAsiaTheme="minorEastAsia" w:cstheme="minorEastAsia"/>
                <w:color w:val="auto"/>
                <w:kern w:val="0"/>
                <w:sz w:val="18"/>
                <w:szCs w:val="18"/>
              </w:rPr>
              <w:br w:type="textWrapping"/>
            </w:r>
            <w:r>
              <w:rPr>
                <w:rFonts w:hint="eastAsia" w:asciiTheme="minorEastAsia" w:hAnsiTheme="minorEastAsia" w:eastAsiaTheme="minorEastAsia" w:cstheme="minorEastAsia"/>
                <w:color w:val="auto"/>
                <w:kern w:val="0"/>
                <w:sz w:val="18"/>
                <w:szCs w:val="18"/>
              </w:rPr>
              <w:t>标</w:t>
            </w:r>
          </w:p>
        </w:tc>
        <w:tc>
          <w:tcPr>
            <w:tcW w:w="9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一级指标</w:t>
            </w:r>
          </w:p>
        </w:tc>
        <w:tc>
          <w:tcPr>
            <w:tcW w:w="1086"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二级指标</w:t>
            </w:r>
          </w:p>
        </w:tc>
        <w:tc>
          <w:tcPr>
            <w:tcW w:w="141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三级指标</w:t>
            </w:r>
          </w:p>
        </w:tc>
        <w:tc>
          <w:tcPr>
            <w:tcW w:w="150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年度</w:t>
            </w:r>
          </w:p>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指标值</w:t>
            </w:r>
          </w:p>
        </w:tc>
        <w:tc>
          <w:tcPr>
            <w:tcW w:w="87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实际</w:t>
            </w:r>
          </w:p>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完成值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分值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得分</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产出指标</w:t>
            </w: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数量指标</w:t>
            </w:r>
          </w:p>
        </w:tc>
        <w:tc>
          <w:tcPr>
            <w:tcW w:w="141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系统平台运维</w:t>
            </w:r>
          </w:p>
        </w:tc>
        <w:tc>
          <w:tcPr>
            <w:tcW w:w="150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2套</w:t>
            </w:r>
          </w:p>
        </w:tc>
        <w:tc>
          <w:tcPr>
            <w:tcW w:w="87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2套</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118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41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远传水表运维</w:t>
            </w:r>
          </w:p>
        </w:tc>
        <w:tc>
          <w:tcPr>
            <w:tcW w:w="150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水表维修（含电池、UPS更换等）不少于50次。</w:t>
            </w:r>
          </w:p>
        </w:tc>
        <w:tc>
          <w:tcPr>
            <w:tcW w:w="87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eastAsia="zh-CN"/>
              </w:rPr>
              <w:t>大于</w:t>
            </w:r>
            <w:r>
              <w:rPr>
                <w:rFonts w:hint="eastAsia" w:asciiTheme="minorEastAsia" w:hAnsiTheme="minorEastAsia" w:eastAsiaTheme="minorEastAsia" w:cstheme="minorEastAsia"/>
                <w:color w:val="auto"/>
                <w:kern w:val="0"/>
                <w:sz w:val="18"/>
                <w:szCs w:val="18"/>
                <w:lang w:val="en-US" w:eastAsia="zh-CN"/>
              </w:rPr>
              <w:t>50次以上</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490"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质量指标</w:t>
            </w:r>
          </w:p>
        </w:tc>
        <w:tc>
          <w:tcPr>
            <w:tcW w:w="141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远传水表维修合格率</w:t>
            </w:r>
          </w:p>
        </w:tc>
        <w:tc>
          <w:tcPr>
            <w:tcW w:w="150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eastAsia="zh-CN"/>
              </w:rPr>
              <w:t>不低于</w:t>
            </w:r>
            <w:r>
              <w:rPr>
                <w:rFonts w:hint="eastAsia" w:asciiTheme="minorEastAsia" w:hAnsiTheme="minorEastAsia" w:eastAsiaTheme="minorEastAsia" w:cstheme="minorEastAsia"/>
                <w:color w:val="auto"/>
                <w:kern w:val="0"/>
                <w:sz w:val="18"/>
                <w:szCs w:val="18"/>
                <w:lang w:val="en-US" w:eastAsia="zh-CN"/>
              </w:rPr>
              <w:t>95%</w:t>
            </w:r>
          </w:p>
        </w:tc>
        <w:tc>
          <w:tcPr>
            <w:tcW w:w="87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eastAsia="zh-CN"/>
              </w:rPr>
              <w:t>不低于</w:t>
            </w:r>
            <w:r>
              <w:rPr>
                <w:rFonts w:hint="eastAsia" w:asciiTheme="minorEastAsia" w:hAnsiTheme="minorEastAsia" w:eastAsiaTheme="minorEastAsia" w:cstheme="minorEastAsia"/>
                <w:color w:val="auto"/>
                <w:kern w:val="0"/>
                <w:sz w:val="18"/>
                <w:szCs w:val="18"/>
                <w:lang w:val="en-US" w:eastAsia="zh-CN"/>
              </w:rPr>
              <w:t>95%</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968"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41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系统平台异常维修时限</w:t>
            </w:r>
          </w:p>
        </w:tc>
        <w:tc>
          <w:tcPr>
            <w:tcW w:w="150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每次不超过2个工作日</w:t>
            </w:r>
          </w:p>
        </w:tc>
        <w:tc>
          <w:tcPr>
            <w:tcW w:w="87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每次不超过2个工作日</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606"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时效指标</w:t>
            </w:r>
          </w:p>
        </w:tc>
        <w:tc>
          <w:tcPr>
            <w:tcW w:w="141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合同签订</w:t>
            </w:r>
          </w:p>
        </w:tc>
        <w:tc>
          <w:tcPr>
            <w:tcW w:w="150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2022年2月</w:t>
            </w:r>
          </w:p>
        </w:tc>
        <w:tc>
          <w:tcPr>
            <w:tcW w:w="87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2022年1月</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889"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41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项目完成</w:t>
            </w:r>
          </w:p>
        </w:tc>
        <w:tc>
          <w:tcPr>
            <w:tcW w:w="150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2022年12月</w:t>
            </w:r>
          </w:p>
        </w:tc>
        <w:tc>
          <w:tcPr>
            <w:tcW w:w="87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2023年1月完成验收</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9</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91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成本指标</w:t>
            </w:r>
          </w:p>
        </w:tc>
        <w:tc>
          <w:tcPr>
            <w:tcW w:w="141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水表维修单价</w:t>
            </w:r>
          </w:p>
        </w:tc>
        <w:tc>
          <w:tcPr>
            <w:tcW w:w="150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val="en-US" w:eastAsia="zh-CN"/>
              </w:rPr>
              <w:t>维修均</w:t>
            </w:r>
            <w:r>
              <w:rPr>
                <w:rFonts w:hint="eastAsia" w:asciiTheme="minorEastAsia" w:hAnsiTheme="minorEastAsia" w:eastAsiaTheme="minorEastAsia" w:cstheme="minorEastAsia"/>
                <w:color w:val="auto"/>
                <w:kern w:val="0"/>
                <w:sz w:val="18"/>
                <w:szCs w:val="18"/>
              </w:rPr>
              <w:t>价控制在2000元/次</w:t>
            </w:r>
          </w:p>
        </w:tc>
        <w:tc>
          <w:tcPr>
            <w:tcW w:w="87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eastAsia="zh-CN"/>
              </w:rPr>
            </w:pPr>
            <w:r>
              <w:rPr>
                <w:rFonts w:hint="eastAsia" w:asciiTheme="minorEastAsia" w:hAnsiTheme="minorEastAsia" w:eastAsiaTheme="minorEastAsia" w:cstheme="minorEastAsia"/>
                <w:color w:val="auto"/>
                <w:kern w:val="0"/>
                <w:sz w:val="18"/>
                <w:szCs w:val="18"/>
                <w:lang w:eastAsia="zh-CN"/>
              </w:rPr>
              <w:t>已控制单次之内</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77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效益指标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社会效益</w:t>
            </w:r>
          </w:p>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指标</w:t>
            </w:r>
          </w:p>
        </w:tc>
        <w:tc>
          <w:tcPr>
            <w:tcW w:w="141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rPr>
              <w:t>日常运维</w:t>
            </w:r>
          </w:p>
        </w:tc>
        <w:tc>
          <w:tcPr>
            <w:tcW w:w="150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系统正常运转，满足用水管理需要</w:t>
            </w:r>
          </w:p>
        </w:tc>
        <w:tc>
          <w:tcPr>
            <w:tcW w:w="87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eastAsia="zh-CN"/>
              </w:rPr>
              <w:t>已满足</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70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c>
          <w:tcPr>
            <w:tcW w:w="969" w:type="dxa"/>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满意度</w:t>
            </w:r>
          </w:p>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指标</w:t>
            </w:r>
          </w:p>
        </w:tc>
        <w:tc>
          <w:tcPr>
            <w:tcW w:w="1086"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服务对象满意度指标</w:t>
            </w:r>
          </w:p>
        </w:tc>
        <w:tc>
          <w:tcPr>
            <w:tcW w:w="141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水表用户满意度</w:t>
            </w:r>
          </w:p>
        </w:tc>
        <w:tc>
          <w:tcPr>
            <w:tcW w:w="150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lang w:val="en-US" w:eastAsia="zh-CN"/>
              </w:rPr>
              <w:t>90%以上</w:t>
            </w:r>
          </w:p>
        </w:tc>
        <w:tc>
          <w:tcPr>
            <w:tcW w:w="87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kern w:val="0"/>
                <w:sz w:val="18"/>
                <w:szCs w:val="18"/>
              </w:rPr>
              <w:t>未接到不满意</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总分</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100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99</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heme="minorEastAsia" w:hAnsiTheme="minorEastAsia" w:eastAsiaTheme="minorEastAsia" w:cstheme="minorEastAsia"/>
                <w:color w:val="auto"/>
                <w:kern w:val="0"/>
                <w:sz w:val="18"/>
                <w:szCs w:val="18"/>
              </w:rPr>
            </w:pPr>
          </w:p>
        </w:tc>
      </w:tr>
    </w:tbl>
    <w:p>
      <w:pPr>
        <w:widowControl/>
        <w:spacing w:line="480" w:lineRule="exact"/>
        <w:ind w:firstLine="440" w:firstLineChars="200"/>
        <w:jc w:val="left"/>
        <w:outlineLvl w:val="0"/>
        <w:rPr>
          <w:rFonts w:hint="eastAsia" w:ascii="宋体" w:hAnsi="宋体" w:eastAsia="宋体" w:cs="宋体"/>
          <w:color w:val="auto"/>
          <w:kern w:val="0"/>
          <w:sz w:val="22"/>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jZDE0MmVkNzYyMTY2OWY5ZTFjMTMwMWI4MjAzNmUifQ=="/>
  </w:docVars>
  <w:rsids>
    <w:rsidRoot w:val="00000000"/>
    <w:rsid w:val="01E64297"/>
    <w:rsid w:val="084A030E"/>
    <w:rsid w:val="0DDC662E"/>
    <w:rsid w:val="0E9C0543"/>
    <w:rsid w:val="10E05DA2"/>
    <w:rsid w:val="13FC4407"/>
    <w:rsid w:val="1EE01807"/>
    <w:rsid w:val="210E677D"/>
    <w:rsid w:val="33900E07"/>
    <w:rsid w:val="3986027C"/>
    <w:rsid w:val="3EB704C9"/>
    <w:rsid w:val="423E2D33"/>
    <w:rsid w:val="4A975A51"/>
    <w:rsid w:val="558D7B13"/>
    <w:rsid w:val="6E541716"/>
    <w:rsid w:val="74F125D6"/>
    <w:rsid w:val="7A6D4DF0"/>
    <w:rsid w:val="7B256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autoRedefine/>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2024-04-09T08:25:00Z</dcterms:created>
  <dc:creator>Administrator</dc:creator>
  <cp:lastModifiedBy>Administrator</cp:lastModifiedBy>
  <dcterms:modified xsi:type="dcterms:W3CDTF">2024-04-24T07:52:46Z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F5112F2958F74CB7B8A5E3D84BB9877C_12</vt:lpwstr>
  </property>
</Properties>
</file>