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tbl>
      <w:tblPr>
        <w:tblStyle w:val="3"/>
        <w:tblW w:w="1050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702"/>
        <w:gridCol w:w="658"/>
        <w:gridCol w:w="1547"/>
        <w:gridCol w:w="1069"/>
        <w:gridCol w:w="296"/>
        <w:gridCol w:w="1290"/>
        <w:gridCol w:w="1725"/>
        <w:gridCol w:w="825"/>
        <w:gridCol w:w="645"/>
        <w:gridCol w:w="345"/>
        <w:gridCol w:w="82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1050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1050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9229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排水管线及排水泵站设施养护项目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exact"/>
          <w:jc w:val="center"/>
        </w:trPr>
        <w:tc>
          <w:tcPr>
            <w:tcW w:w="1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8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北京市通州区水务局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64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北京市通州区供排水事务中心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8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64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28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22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年初 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全年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预算数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全年 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9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exact"/>
          <w:jc w:val="center"/>
        </w:trPr>
        <w:tc>
          <w:tcPr>
            <w:tcW w:w="12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.000000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.000000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999.998834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exact"/>
          <w:jc w:val="center"/>
        </w:trPr>
        <w:tc>
          <w:tcPr>
            <w:tcW w:w="12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.000000</w:t>
            </w: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.000000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999.99883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exact"/>
          <w:jc w:val="center"/>
        </w:trPr>
        <w:tc>
          <w:tcPr>
            <w:tcW w:w="12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2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5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36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3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1、做好通州城区排水设施维修养护工作,保障通州城区范围内排水管线畅通；确保城区居民排水正常；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2、保障排水设施运行状况良好,无设施病害隐患；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3、保障城区安全度汛，确保城区居民生命及财产安全；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4、为打造副中心优美水环境做好基础性工作；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1、2023年完成61.4公里排水管线养护，运维范围内设施未发生因维养不到位发生的堵冒事件；另外接诉即办工作中，全年接收居民12345热线69件，三率均为100%；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2、2023年完成结构病害修复，未发生因设施结构维护不到位发生的坍塌等危害；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3、汛前圆满完成清管行动等各项防汛准备，汛中做好防汛单元布控，整个汛期未发生影响居民生活、工作、出行的积滞水，未对居民生命、财产造成影响；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4、全年完成各项运维工作，助力副中心打造和谐宜居的优美水环境；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6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65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6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指标1：排水管线综合养护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489.233公里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Style w:val="6"/>
                <w:rFonts w:hint="default"/>
                <w:lang w:bidi="ar"/>
              </w:rPr>
              <w:t>489.233公里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指标2：检查井综合养护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10643座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Style w:val="6"/>
                <w:rFonts w:hint="default"/>
                <w:lang w:bidi="ar"/>
              </w:rPr>
              <w:t>10643座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指标3：雨水口维修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19464座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Style w:val="6"/>
                <w:rFonts w:hint="default"/>
                <w:lang w:bidi="ar"/>
              </w:rPr>
              <w:t>19464座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指标4：闸门检修、养护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48座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Style w:val="6"/>
                <w:rFonts w:hint="default"/>
                <w:lang w:bidi="ar"/>
              </w:rPr>
              <w:t>48座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指标5：泵站检修、维护、运行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19座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Style w:val="6"/>
                <w:rFonts w:hint="default"/>
                <w:lang w:bidi="ar"/>
              </w:rPr>
              <w:t>19座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指标6：入河排水口维修、养护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112座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Style w:val="6"/>
                <w:rFonts w:hint="default"/>
                <w:lang w:bidi="ar"/>
              </w:rPr>
              <w:t>112座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指标7：管道检测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≥100公里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Style w:val="6"/>
                <w:rFonts w:hint="default"/>
                <w:lang w:bidi="ar"/>
              </w:rPr>
              <w:t>126公里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指标8：排水设施巡查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周巡查1次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Style w:val="6"/>
                <w:rFonts w:hint="default"/>
                <w:lang w:bidi="ar"/>
              </w:rPr>
              <w:t>周巡查1次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指标9：防汛应急抢险任务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155平方公里运营范围内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Style w:val="6"/>
                <w:rFonts w:hint="default"/>
                <w:lang w:bidi="ar"/>
              </w:rPr>
              <w:t>155平方公里运营范围内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指标10：防汛抢险车辆及设备维修保养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38辆车、4类设备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Style w:val="6"/>
                <w:rFonts w:hint="default"/>
                <w:lang w:bidi="ar"/>
              </w:rPr>
              <w:t>38辆车、4类设备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6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指标1：排水管道综合养护达标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综合养护率100%，考核达标率95%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Style w:val="6"/>
                <w:rFonts w:hint="default"/>
                <w:lang w:bidi="ar"/>
              </w:rPr>
              <w:t>综合养护率100%，考核达标率99%以上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</w:t>
            </w:r>
            <w:bookmarkStart w:id="0" w:name="_GoBack"/>
            <w:bookmarkEnd w:id="0"/>
          </w:p>
        </w:tc>
        <w:tc>
          <w:tcPr>
            <w:tcW w:w="11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部分管段养护不达标，部分检查井防坠板未正确悬挂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指标2：检查井无井盖埋没、丢失、破损、淤积达标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综合养护率100%，考核达标率95%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99.60%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指标3：雨水口无篦子埋没、丢失、破损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综合养护率100%，考核达标率95%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99.80%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指标4：闸门启闭器设施损坏、丢失修复率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100%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指标5：泵站运行正常，故障及时维修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100%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指标6：入河口排出污水及时治理、挡墙、护坡裂缝、倾斜及时修复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100%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指标7：管道无变形、无裂缝、无下沉、无渗漏。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95%合格率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97%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指标8：排水设施巡察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周覆盖100%，合格率100%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Style w:val="6"/>
                <w:rFonts w:hint="default"/>
                <w:lang w:bidi="ar"/>
              </w:rPr>
              <w:t>100%合格率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部分区域巡查不及时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指标9：确保城区安全度汛，保证居民生命财产安全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100%合格率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Style w:val="6"/>
                <w:rFonts w:hint="default"/>
                <w:lang w:bidi="ar"/>
              </w:rPr>
              <w:t>100%合格率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指标10：38辆车、17台凸轮泵、9台大柴泵车、24组发电机组、75台自吸泵保养、维修合格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100%合格率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Style w:val="6"/>
                <w:rFonts w:hint="default"/>
                <w:lang w:bidi="ar"/>
              </w:rPr>
              <w:t>100%合格率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6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项目预计完成日期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2023年底前完成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Style w:val="6"/>
                <w:rFonts w:hint="default"/>
                <w:lang w:bidi="ar"/>
              </w:rPr>
              <w:t>2023年底前完成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6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1000万元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999.998834万元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6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项目实施减少了不进行养护而造成的管线、泵站大修、抢修费用，避免了排水管线不畅通形成的污水冒溢等现象而造成的经济损失。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减少经济损失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Style w:val="6"/>
                <w:rFonts w:hint="default"/>
                <w:lang w:bidi="ar"/>
              </w:rPr>
              <w:t>减少经济损失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6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保障城区所有排水设施状况良好、运转正常，车辆和设备的正常使用，确保城区安全度汛，保证城区居民生命、财产安全。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得到提升和保证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Style w:val="6"/>
                <w:rFonts w:hint="default"/>
                <w:lang w:bidi="ar"/>
              </w:rPr>
              <w:t>得到提升和保证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6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保障城区排水管线畅通，及时有效处置污水冒溢事件，污水截流率达到100%，无污水通过溢流口长期入河现象；有利于创建副中心良好的卫生环境和水环境。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得到提升和保证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Style w:val="6"/>
                <w:rFonts w:hint="default"/>
                <w:lang w:bidi="ar"/>
              </w:rPr>
              <w:t>得到提升和保证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6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项目实施可以延长管线和泵站的服役年限，有利于设施可持续发挥效益，达到长效机制。</w:t>
            </w:r>
          </w:p>
        </w:tc>
        <w:tc>
          <w:tcPr>
            <w:tcW w:w="15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可持续发挥效益</w:t>
            </w:r>
          </w:p>
        </w:tc>
        <w:tc>
          <w:tcPr>
            <w:tcW w:w="1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Style w:val="6"/>
                <w:rFonts w:hint="default"/>
                <w:lang w:bidi="ar"/>
              </w:rPr>
              <w:t>可持续发挥效益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6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6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指标1：受益群众满意度：95%及以上。</w:t>
            </w:r>
          </w:p>
        </w:tc>
        <w:tc>
          <w:tcPr>
            <w:tcW w:w="15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95%及以上</w:t>
            </w:r>
          </w:p>
        </w:tc>
        <w:tc>
          <w:tcPr>
            <w:tcW w:w="1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Style w:val="6"/>
                <w:rFonts w:hint="default"/>
                <w:lang w:bidi="ar"/>
              </w:rPr>
              <w:t>95%及以上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指标2：上级单位及监督部门的案件回复率：达到100%。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100%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exact"/>
          <w:jc w:val="center"/>
        </w:trPr>
        <w:tc>
          <w:tcPr>
            <w:tcW w:w="786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总分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98</w:t>
            </w: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C74667"/>
    <w:rsid w:val="002C2E88"/>
    <w:rsid w:val="00A72FBC"/>
    <w:rsid w:val="00C74667"/>
    <w:rsid w:val="01F9749D"/>
    <w:rsid w:val="028203C5"/>
    <w:rsid w:val="035A587B"/>
    <w:rsid w:val="0DAA1A5F"/>
    <w:rsid w:val="193F3E56"/>
    <w:rsid w:val="210E677D"/>
    <w:rsid w:val="22553101"/>
    <w:rsid w:val="26CE5E56"/>
    <w:rsid w:val="27157EE4"/>
    <w:rsid w:val="2C7E32CF"/>
    <w:rsid w:val="36D032AB"/>
    <w:rsid w:val="37010C83"/>
    <w:rsid w:val="378A30AA"/>
    <w:rsid w:val="3CB77D2A"/>
    <w:rsid w:val="50C24899"/>
    <w:rsid w:val="5B0E19ED"/>
    <w:rsid w:val="609F5CCE"/>
    <w:rsid w:val="63E34C09"/>
    <w:rsid w:val="74CD62E7"/>
    <w:rsid w:val="79F457A7"/>
    <w:rsid w:val="7A241F56"/>
    <w:rsid w:val="7CA516F2"/>
    <w:rsid w:val="7EC17CA9"/>
    <w:rsid w:val="7FD32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  <w:style w:type="character" w:customStyle="1" w:styleId="5">
    <w:name w:val="font0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6">
    <w:name w:val="font11"/>
    <w:basedOn w:val="4"/>
    <w:autoRedefine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7">
    <w:name w:val="font21"/>
    <w:basedOn w:val="4"/>
    <w:qFormat/>
    <w:uiPriority w:val="0"/>
    <w:rPr>
      <w:rFonts w:hint="eastAsia" w:ascii="宋体" w:hAnsi="宋体" w:eastAsia="宋体" w:cs="宋体"/>
      <w:color w:val="0000FF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449</Words>
  <Characters>2563</Characters>
  <Lines>21</Lines>
  <Paragraphs>6</Paragraphs>
  <TotalTime>17</TotalTime>
  <ScaleCrop>false</ScaleCrop>
  <LinksUpToDate>false</LinksUpToDate>
  <CharactersWithSpaces>3006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2024-04-23T09:20:25Z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F5112F2958F74CB7B8A5E3D84BB9877C_12</vt:lpwstr>
  </property>
</Properties>
</file>