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黑体"/>
          <w:sz w:val="32"/>
          <w:szCs w:val="32"/>
        </w:rPr>
      </w:pPr>
      <w:r>
        <w:rPr>
          <w:rFonts w:hint="eastAsia" w:ascii="黑体" w:hAnsi="黑体" w:eastAsia="黑体"/>
          <w:sz w:val="32"/>
          <w:szCs w:val="32"/>
        </w:rPr>
        <w:t>附件1-1</w:t>
      </w:r>
    </w:p>
    <w:tbl>
      <w:tblPr>
        <w:tblStyle w:val="3"/>
        <w:tblW w:w="11393" w:type="dxa"/>
        <w:jc w:val="center"/>
        <w:tblLayout w:type="fixed"/>
        <w:tblCellMar>
          <w:top w:w="0" w:type="dxa"/>
          <w:left w:w="108" w:type="dxa"/>
          <w:bottom w:w="0" w:type="dxa"/>
          <w:right w:w="108" w:type="dxa"/>
        </w:tblCellMar>
      </w:tblPr>
      <w:tblGrid>
        <w:gridCol w:w="532"/>
        <w:gridCol w:w="660"/>
        <w:gridCol w:w="630"/>
        <w:gridCol w:w="1230"/>
        <w:gridCol w:w="1470"/>
        <w:gridCol w:w="1815"/>
        <w:gridCol w:w="474"/>
        <w:gridCol w:w="1611"/>
        <w:gridCol w:w="630"/>
        <w:gridCol w:w="420"/>
        <w:gridCol w:w="165"/>
        <w:gridCol w:w="579"/>
        <w:gridCol w:w="291"/>
        <w:gridCol w:w="886"/>
      </w:tblGrid>
      <w:tr>
        <w:tblPrEx>
          <w:tblCellMar>
            <w:top w:w="0" w:type="dxa"/>
            <w:left w:w="108" w:type="dxa"/>
            <w:bottom w:w="0" w:type="dxa"/>
            <w:right w:w="108" w:type="dxa"/>
          </w:tblCellMar>
        </w:tblPrEx>
        <w:trPr>
          <w:trHeight w:val="440" w:hRule="exact"/>
          <w:jc w:val="center"/>
        </w:trPr>
        <w:tc>
          <w:tcPr>
            <w:tcW w:w="11393" w:type="dxa"/>
            <w:gridSpan w:val="14"/>
            <w:tcBorders>
              <w:top w:val="nil"/>
              <w:left w:val="nil"/>
              <w:bottom w:val="nil"/>
              <w:right w:val="nil"/>
            </w:tcBorders>
            <w:vAlign w:val="center"/>
          </w:tcPr>
          <w:p>
            <w:pPr>
              <w:widowControl/>
              <w:spacing w:line="50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11393" w:type="dxa"/>
            <w:gridSpan w:val="14"/>
            <w:tcBorders>
              <w:top w:val="nil"/>
              <w:left w:val="nil"/>
              <w:bottom w:val="nil"/>
              <w:right w:val="nil"/>
            </w:tcBorders>
          </w:tcPr>
          <w:p>
            <w:pPr>
              <w:widowControl/>
              <w:jc w:val="center"/>
              <w:rPr>
                <w:rFonts w:ascii="宋体" w:hAnsi="宋体" w:cs="宋体"/>
                <w:kern w:val="0"/>
                <w:sz w:val="22"/>
              </w:rPr>
            </w:pPr>
            <w:r>
              <w:rPr>
                <w:rFonts w:hint="eastAsia" w:ascii="宋体" w:hAnsi="宋体" w:cs="宋体"/>
                <w:kern w:val="0"/>
                <w:sz w:val="22"/>
              </w:rPr>
              <w:t>（2024年度）</w:t>
            </w:r>
          </w:p>
        </w:tc>
      </w:tr>
      <w:tr>
        <w:tblPrEx>
          <w:tblCellMar>
            <w:top w:w="0" w:type="dxa"/>
            <w:left w:w="108" w:type="dxa"/>
            <w:bottom w:w="0" w:type="dxa"/>
            <w:right w:w="108" w:type="dxa"/>
          </w:tblCellMar>
        </w:tblPrEx>
        <w:trPr>
          <w:trHeight w:val="291" w:hRule="exact"/>
          <w:jc w:val="center"/>
        </w:trPr>
        <w:tc>
          <w:tcPr>
            <w:tcW w:w="119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10201" w:type="dxa"/>
            <w:gridSpan w:val="1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北京市通州区乡镇排水管网污染溯源与排查评估项目</w:t>
            </w:r>
          </w:p>
        </w:tc>
      </w:tr>
      <w:tr>
        <w:tblPrEx>
          <w:tblCellMar>
            <w:top w:w="0" w:type="dxa"/>
            <w:left w:w="108" w:type="dxa"/>
            <w:bottom w:w="0" w:type="dxa"/>
            <w:right w:w="108" w:type="dxa"/>
          </w:tblCellMar>
        </w:tblPrEx>
        <w:trPr>
          <w:trHeight w:val="291" w:hRule="exact"/>
          <w:jc w:val="center"/>
        </w:trPr>
        <w:tc>
          <w:tcPr>
            <w:tcW w:w="119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5145" w:type="dxa"/>
            <w:gridSpan w:val="4"/>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北京市通州区水务局</w:t>
            </w:r>
          </w:p>
        </w:tc>
        <w:tc>
          <w:tcPr>
            <w:tcW w:w="20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971" w:type="dxa"/>
            <w:gridSpan w:val="6"/>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北京市通州区排水事务中心</w:t>
            </w:r>
          </w:p>
        </w:tc>
      </w:tr>
      <w:tr>
        <w:tblPrEx>
          <w:tblCellMar>
            <w:top w:w="0" w:type="dxa"/>
            <w:left w:w="108" w:type="dxa"/>
            <w:bottom w:w="0" w:type="dxa"/>
            <w:right w:w="108" w:type="dxa"/>
          </w:tblCellMar>
        </w:tblPrEx>
        <w:trPr>
          <w:trHeight w:val="291" w:hRule="exact"/>
          <w:jc w:val="center"/>
        </w:trPr>
        <w:tc>
          <w:tcPr>
            <w:tcW w:w="1192"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5145" w:type="dxa"/>
            <w:gridSpan w:val="4"/>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史雪飞</w:t>
            </w:r>
          </w:p>
        </w:tc>
        <w:tc>
          <w:tcPr>
            <w:tcW w:w="20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联系电话</w:t>
            </w:r>
          </w:p>
        </w:tc>
        <w:tc>
          <w:tcPr>
            <w:tcW w:w="2971" w:type="dxa"/>
            <w:gridSpan w:val="6"/>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60568655</w:t>
            </w:r>
          </w:p>
        </w:tc>
      </w:tr>
      <w:tr>
        <w:tblPrEx>
          <w:tblCellMar>
            <w:top w:w="0" w:type="dxa"/>
            <w:left w:w="108" w:type="dxa"/>
            <w:bottom w:w="0" w:type="dxa"/>
            <w:right w:w="108" w:type="dxa"/>
          </w:tblCellMar>
        </w:tblPrEx>
        <w:trPr>
          <w:trHeight w:val="559" w:hRule="exact"/>
          <w:jc w:val="center"/>
        </w:trPr>
        <w:tc>
          <w:tcPr>
            <w:tcW w:w="1192"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560" w:lineRule="exact"/>
              <w:jc w:val="left"/>
              <w:rPr>
                <w:rFonts w:ascii="宋体" w:hAnsi="宋体" w:cs="宋体"/>
                <w:kern w:val="0"/>
                <w:sz w:val="18"/>
                <w:szCs w:val="18"/>
              </w:rPr>
            </w:pPr>
            <w:r>
              <w:rPr>
                <w:rFonts w:hint="eastAsia" w:ascii="宋体" w:hAnsi="宋体" w:cs="宋体"/>
                <w:kern w:val="0"/>
                <w:sz w:val="18"/>
                <w:szCs w:val="18"/>
              </w:rPr>
              <w:t>项目资金（万元）</w:t>
            </w:r>
          </w:p>
        </w:tc>
        <w:tc>
          <w:tcPr>
            <w:tcW w:w="186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p>
        </w:tc>
        <w:tc>
          <w:tcPr>
            <w:tcW w:w="1470"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年初预</w:t>
            </w:r>
          </w:p>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算数</w:t>
            </w:r>
          </w:p>
        </w:tc>
        <w:tc>
          <w:tcPr>
            <w:tcW w:w="1815"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全年预</w:t>
            </w:r>
          </w:p>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算数</w:t>
            </w:r>
          </w:p>
        </w:tc>
        <w:tc>
          <w:tcPr>
            <w:tcW w:w="20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全年</w:t>
            </w:r>
          </w:p>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执行数</w:t>
            </w:r>
          </w:p>
        </w:tc>
        <w:tc>
          <w:tcPr>
            <w:tcW w:w="1050"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1035" w:type="dxa"/>
            <w:gridSpan w:val="3"/>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886"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19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6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left"/>
              <w:rPr>
                <w:rFonts w:ascii="宋体" w:hAnsi="宋体" w:cs="宋体"/>
                <w:kern w:val="0"/>
                <w:sz w:val="18"/>
                <w:szCs w:val="18"/>
              </w:rPr>
            </w:pPr>
            <w:r>
              <w:rPr>
                <w:rFonts w:hint="eastAsia" w:ascii="宋体" w:hAnsi="宋体" w:cs="宋体"/>
                <w:kern w:val="0"/>
                <w:sz w:val="18"/>
                <w:szCs w:val="18"/>
              </w:rPr>
              <w:t>年度资金总额</w:t>
            </w:r>
          </w:p>
        </w:tc>
        <w:tc>
          <w:tcPr>
            <w:tcW w:w="1470"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p>
        </w:tc>
        <w:tc>
          <w:tcPr>
            <w:tcW w:w="1815" w:type="dxa"/>
            <w:tcBorders>
              <w:top w:val="nil"/>
              <w:left w:val="nil"/>
              <w:bottom w:val="single" w:color="auto" w:sz="4" w:space="0"/>
              <w:right w:val="single" w:color="auto" w:sz="4" w:space="0"/>
            </w:tcBorders>
            <w:vAlign w:val="center"/>
          </w:tcPr>
          <w:p>
            <w:pPr>
              <w:widowControl/>
              <w:suppressAutoHyphens/>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rPr>
              <w:t>413.49</w:t>
            </w:r>
            <w:r>
              <w:rPr>
                <w:rFonts w:hint="eastAsia" w:ascii="宋体" w:hAnsi="宋体" w:cs="宋体"/>
                <w:kern w:val="0"/>
                <w:sz w:val="18"/>
                <w:szCs w:val="18"/>
                <w:lang w:val="en-US" w:eastAsia="zh-CN"/>
              </w:rPr>
              <w:t>0000</w:t>
            </w:r>
          </w:p>
        </w:tc>
        <w:tc>
          <w:tcPr>
            <w:tcW w:w="20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rPr>
              <w:t>413.49</w:t>
            </w:r>
            <w:r>
              <w:rPr>
                <w:rFonts w:hint="eastAsia" w:ascii="宋体" w:hAnsi="宋体" w:cs="宋体"/>
                <w:kern w:val="0"/>
                <w:sz w:val="18"/>
                <w:szCs w:val="18"/>
                <w:lang w:val="en-US" w:eastAsia="zh-CN"/>
              </w:rPr>
              <w:t>0000</w:t>
            </w:r>
          </w:p>
        </w:tc>
        <w:tc>
          <w:tcPr>
            <w:tcW w:w="1050"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035" w:type="dxa"/>
            <w:gridSpan w:val="3"/>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100</w:t>
            </w:r>
            <w:r>
              <w:rPr>
                <w:rFonts w:ascii="宋体" w:hAnsi="宋体" w:cs="宋体"/>
                <w:kern w:val="0"/>
                <w:sz w:val="18"/>
                <w:szCs w:val="18"/>
              </w:rPr>
              <w:t>%</w:t>
            </w:r>
          </w:p>
        </w:tc>
        <w:tc>
          <w:tcPr>
            <w:tcW w:w="886"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10</w:t>
            </w:r>
          </w:p>
        </w:tc>
      </w:tr>
      <w:tr>
        <w:tblPrEx>
          <w:tblCellMar>
            <w:top w:w="0" w:type="dxa"/>
            <w:left w:w="108" w:type="dxa"/>
            <w:bottom w:w="0" w:type="dxa"/>
            <w:right w:w="108" w:type="dxa"/>
          </w:tblCellMar>
        </w:tblPrEx>
        <w:trPr>
          <w:trHeight w:val="311" w:hRule="exact"/>
          <w:jc w:val="center"/>
        </w:trPr>
        <w:tc>
          <w:tcPr>
            <w:tcW w:w="119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6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470"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p>
        </w:tc>
        <w:tc>
          <w:tcPr>
            <w:tcW w:w="1815" w:type="dxa"/>
            <w:tcBorders>
              <w:top w:val="nil"/>
              <w:left w:val="nil"/>
              <w:bottom w:val="single" w:color="auto" w:sz="4" w:space="0"/>
              <w:right w:val="single" w:color="auto" w:sz="4" w:space="0"/>
            </w:tcBorders>
            <w:vAlign w:val="center"/>
          </w:tcPr>
          <w:p>
            <w:pPr>
              <w:widowControl/>
              <w:suppressAutoHyphens/>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rPr>
              <w:t>413.49</w:t>
            </w:r>
            <w:r>
              <w:rPr>
                <w:rFonts w:hint="eastAsia" w:ascii="宋体" w:hAnsi="宋体" w:cs="宋体"/>
                <w:kern w:val="0"/>
                <w:sz w:val="18"/>
                <w:szCs w:val="18"/>
                <w:lang w:val="en-US" w:eastAsia="zh-CN"/>
              </w:rPr>
              <w:t>0000</w:t>
            </w:r>
          </w:p>
        </w:tc>
        <w:tc>
          <w:tcPr>
            <w:tcW w:w="20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rPr>
              <w:t>413.49</w:t>
            </w:r>
            <w:r>
              <w:rPr>
                <w:rFonts w:hint="eastAsia" w:ascii="宋体" w:hAnsi="宋体" w:cs="宋体"/>
                <w:kern w:val="0"/>
                <w:sz w:val="18"/>
                <w:szCs w:val="18"/>
                <w:lang w:val="en-US" w:eastAsia="zh-CN"/>
              </w:rPr>
              <w:t>0000</w:t>
            </w:r>
          </w:p>
        </w:tc>
        <w:tc>
          <w:tcPr>
            <w:tcW w:w="1050"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035" w:type="dxa"/>
            <w:gridSpan w:val="3"/>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100</w:t>
            </w:r>
            <w:r>
              <w:rPr>
                <w:rFonts w:ascii="宋体" w:hAnsi="宋体" w:cs="宋体"/>
                <w:kern w:val="0"/>
                <w:sz w:val="18"/>
                <w:szCs w:val="18"/>
              </w:rPr>
              <w:t>%</w:t>
            </w:r>
          </w:p>
        </w:tc>
        <w:tc>
          <w:tcPr>
            <w:tcW w:w="886"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10</w:t>
            </w:r>
          </w:p>
        </w:tc>
      </w:tr>
      <w:tr>
        <w:tblPrEx>
          <w:tblCellMar>
            <w:top w:w="0" w:type="dxa"/>
            <w:left w:w="108" w:type="dxa"/>
            <w:bottom w:w="0" w:type="dxa"/>
            <w:right w:w="108" w:type="dxa"/>
          </w:tblCellMar>
        </w:tblPrEx>
        <w:trPr>
          <w:trHeight w:val="276" w:hRule="exact"/>
          <w:jc w:val="center"/>
        </w:trPr>
        <w:tc>
          <w:tcPr>
            <w:tcW w:w="119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6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470"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p>
        </w:tc>
        <w:tc>
          <w:tcPr>
            <w:tcW w:w="1815"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p>
        </w:tc>
        <w:tc>
          <w:tcPr>
            <w:tcW w:w="20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p>
        </w:tc>
        <w:tc>
          <w:tcPr>
            <w:tcW w:w="1050"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1035" w:type="dxa"/>
            <w:gridSpan w:val="3"/>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p>
        </w:tc>
        <w:tc>
          <w:tcPr>
            <w:tcW w:w="886"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19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6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470"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p>
        </w:tc>
        <w:tc>
          <w:tcPr>
            <w:tcW w:w="1815"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p>
        </w:tc>
        <w:tc>
          <w:tcPr>
            <w:tcW w:w="20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p>
        </w:tc>
        <w:tc>
          <w:tcPr>
            <w:tcW w:w="1050"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1035" w:type="dxa"/>
            <w:gridSpan w:val="3"/>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p>
        </w:tc>
        <w:tc>
          <w:tcPr>
            <w:tcW w:w="886"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3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6279"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458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5035" w:hRule="exact"/>
          <w:jc w:val="center"/>
        </w:trPr>
        <w:tc>
          <w:tcPr>
            <w:tcW w:w="53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279" w:type="dxa"/>
            <w:gridSpan w:val="6"/>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1、按统一的排水专业管理数据标准整理9个乡镇（镇中心区、次中心区或开发区，不含村庄）已有的排水（包括雨水、污水、合流）管线基础资料，并建立排水设施基础数据库，形成排水设施地理信息系统综合图。</w:t>
            </w:r>
          </w:p>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2、溯源调查，查清排水管道溢流污水的 、水量、水质等信息；对已有的排水管线数据进行复核完善，包括关键节点标高，雨污水性质等；对未掌握数据的排水管线进行补充测量，包括小区红线连接市政道路的支管以及一些未明确权属单位的公共排水管线等，并将修补测数据统一入库，形成通州区入河排口、排水管网、污染源一张图。</w:t>
            </w:r>
          </w:p>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3、对尚未开展检测工作的排水管线进行全面的检测，查明管道淤积、变形、破裂等结构性和功能性缺陷情况，排水管道错接、混接、漏接情况，提出管道修复与改造方案，为支撑规划建设方案提供依据。</w:t>
            </w:r>
          </w:p>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4、基于前述的摸查检测工作，对通州区乡镇排水管道进行现状分析评估，形成专项评估报告；梳理出重要排水节点，配装智能监测仪表，实时监测管道水位、流量等重要数据。为今后的排水管网建设、雨污分流改造等工程奠定基础。</w:t>
            </w:r>
          </w:p>
          <w:p>
            <w:pPr>
              <w:widowControl/>
              <w:suppressAutoHyphens/>
              <w:spacing w:line="240" w:lineRule="exact"/>
              <w:jc w:val="center"/>
              <w:rPr>
                <w:rFonts w:ascii="宋体" w:hAnsi="宋体" w:cs="宋体"/>
                <w:kern w:val="0"/>
                <w:sz w:val="18"/>
                <w:szCs w:val="18"/>
              </w:rPr>
            </w:pPr>
          </w:p>
        </w:tc>
        <w:tc>
          <w:tcPr>
            <w:tcW w:w="4582" w:type="dxa"/>
            <w:gridSpan w:val="7"/>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1、按统一的排水专业管理数据标准整理9个乡镇（镇中心区、次中心区或开发区，不含村庄）已有的排水（包括雨水、污水、合流）管线基础资料，并建立排水设施基础数据库，形成排水设施地理信息系统综合图。</w:t>
            </w:r>
          </w:p>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2、溯源调查，查清排水管道溢流污水的 、水量、水质等信息；对已有的排水管线数据进行复核完善，包括关键节点标高，雨污水性质等；对未掌握数据的排水管线进行补充测量，包括小区红线连接市政道路的支管以及一些未明确权属单位的公共排水管线等，并将修补测数据统一入库，形成通州区入河排口、排水管网、污染源一张图。</w:t>
            </w:r>
          </w:p>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3、对尚未开展检测工作的排水管线进行全面的检测，查明管道淤积、变形、破裂等结构性和功能性缺陷情况，排水管道错接、混接、漏接情况，提出管道修复与改造方案，为支撑规划建设方案提供依据。</w:t>
            </w:r>
          </w:p>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4、基于前述的摸查检测工作，对通州区乡镇排水管道进行现状分析评估，形成专项评估报告；梳理出重要排水节点，配装智能监测仪表，实时监测管道水位、流量等重要数据。为今后的排水管网建设、</w:t>
            </w:r>
            <w:bookmarkStart w:id="0" w:name="_GoBack"/>
            <w:bookmarkEnd w:id="0"/>
            <w:r>
              <w:rPr>
                <w:rFonts w:hint="eastAsia" w:ascii="宋体" w:hAnsi="宋体" w:cs="宋体"/>
                <w:kern w:val="0"/>
                <w:sz w:val="18"/>
                <w:szCs w:val="18"/>
              </w:rPr>
              <w:t>雨污分流改造等工程奠定基础。</w:t>
            </w:r>
          </w:p>
          <w:p>
            <w:pPr>
              <w:widowControl/>
              <w:suppressAutoHyphens/>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62" w:hRule="exact"/>
          <w:jc w:val="center"/>
        </w:trPr>
        <w:tc>
          <w:tcPr>
            <w:tcW w:w="532"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6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63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70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228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224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7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1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jc w:val="center"/>
        </w:trPr>
        <w:tc>
          <w:tcPr>
            <w:tcW w:w="53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63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70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乡镇排水管网排查评估公里数</w:t>
            </w:r>
          </w:p>
        </w:tc>
        <w:tc>
          <w:tcPr>
            <w:tcW w:w="2289"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923公里</w:t>
            </w:r>
          </w:p>
        </w:tc>
        <w:tc>
          <w:tcPr>
            <w:tcW w:w="2241"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923公里</w:t>
            </w:r>
          </w:p>
        </w:tc>
        <w:tc>
          <w:tcPr>
            <w:tcW w:w="5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3</w:t>
            </w:r>
          </w:p>
        </w:tc>
        <w:tc>
          <w:tcPr>
            <w:tcW w:w="579"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3</w:t>
            </w:r>
          </w:p>
        </w:tc>
        <w:tc>
          <w:tcPr>
            <w:tcW w:w="11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jc w:val="center"/>
        </w:trPr>
        <w:tc>
          <w:tcPr>
            <w:tcW w:w="53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70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水位水量监测仪表</w:t>
            </w:r>
          </w:p>
        </w:tc>
        <w:tc>
          <w:tcPr>
            <w:tcW w:w="2289"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50套</w:t>
            </w:r>
          </w:p>
        </w:tc>
        <w:tc>
          <w:tcPr>
            <w:tcW w:w="2241"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50套</w:t>
            </w:r>
          </w:p>
        </w:tc>
        <w:tc>
          <w:tcPr>
            <w:tcW w:w="5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3</w:t>
            </w:r>
          </w:p>
        </w:tc>
        <w:tc>
          <w:tcPr>
            <w:tcW w:w="579"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3</w:t>
            </w:r>
          </w:p>
        </w:tc>
        <w:tc>
          <w:tcPr>
            <w:tcW w:w="11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270" w:hRule="atLeast"/>
          <w:jc w:val="center"/>
        </w:trPr>
        <w:tc>
          <w:tcPr>
            <w:tcW w:w="53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70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系统整体评估报告</w:t>
            </w:r>
          </w:p>
        </w:tc>
        <w:tc>
          <w:tcPr>
            <w:tcW w:w="2289"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1、整体评估报告1项</w:t>
            </w:r>
          </w:p>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2、水环境污染分析报告1项</w:t>
            </w:r>
          </w:p>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3、治污控源实施方案1项</w:t>
            </w:r>
          </w:p>
        </w:tc>
        <w:tc>
          <w:tcPr>
            <w:tcW w:w="2241"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1、整体评估报告1项</w:t>
            </w:r>
          </w:p>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2、水环境污染分析报告1项</w:t>
            </w:r>
          </w:p>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3、治污控源实施方案1项</w:t>
            </w:r>
          </w:p>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4、污水处理厂布局优化分析报告1项</w:t>
            </w:r>
          </w:p>
        </w:tc>
        <w:tc>
          <w:tcPr>
            <w:tcW w:w="5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3</w:t>
            </w:r>
          </w:p>
        </w:tc>
        <w:tc>
          <w:tcPr>
            <w:tcW w:w="579"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3</w:t>
            </w:r>
          </w:p>
        </w:tc>
        <w:tc>
          <w:tcPr>
            <w:tcW w:w="11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jc w:val="center"/>
        </w:trPr>
        <w:tc>
          <w:tcPr>
            <w:tcW w:w="53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70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数据建库</w:t>
            </w:r>
          </w:p>
        </w:tc>
        <w:tc>
          <w:tcPr>
            <w:tcW w:w="2289"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1项</w:t>
            </w:r>
          </w:p>
        </w:tc>
        <w:tc>
          <w:tcPr>
            <w:tcW w:w="2241"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完成数据建库</w:t>
            </w:r>
          </w:p>
        </w:tc>
        <w:tc>
          <w:tcPr>
            <w:tcW w:w="5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3</w:t>
            </w:r>
          </w:p>
        </w:tc>
        <w:tc>
          <w:tcPr>
            <w:tcW w:w="579"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3</w:t>
            </w:r>
          </w:p>
        </w:tc>
        <w:tc>
          <w:tcPr>
            <w:tcW w:w="11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jc w:val="center"/>
        </w:trPr>
        <w:tc>
          <w:tcPr>
            <w:tcW w:w="53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70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QQV检测：设备满足CJJ181-2012 6.2.检测设备相关规定，检查方法满足6.3检测方法相关规定。</w:t>
            </w:r>
          </w:p>
        </w:tc>
        <w:tc>
          <w:tcPr>
            <w:tcW w:w="2289"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CJJ181-2012相关规定</w:t>
            </w:r>
          </w:p>
        </w:tc>
        <w:tc>
          <w:tcPr>
            <w:tcW w:w="2241"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QV检测成果符合CJJ181-2012 6.2、6.3相关规定。</w:t>
            </w:r>
          </w:p>
        </w:tc>
        <w:tc>
          <w:tcPr>
            <w:tcW w:w="5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3</w:t>
            </w:r>
          </w:p>
        </w:tc>
        <w:tc>
          <w:tcPr>
            <w:tcW w:w="579"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3</w:t>
            </w:r>
          </w:p>
        </w:tc>
        <w:tc>
          <w:tcPr>
            <w:tcW w:w="11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jc w:val="center"/>
        </w:trPr>
        <w:tc>
          <w:tcPr>
            <w:tcW w:w="53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70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CCTV检测：设备满足CJJ181-2012 4.2.检测设备相关规定，检查方法满足4.3检测方法相关规定，影像判读满足4.4影像判读相关规定。</w:t>
            </w:r>
          </w:p>
        </w:tc>
        <w:tc>
          <w:tcPr>
            <w:tcW w:w="2289"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CJJ181-2012相关规定</w:t>
            </w:r>
          </w:p>
        </w:tc>
        <w:tc>
          <w:tcPr>
            <w:tcW w:w="2241"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CCTV检测成果符合CJJ181-2012 4.2、4.3、4.4相关规定。</w:t>
            </w:r>
          </w:p>
        </w:tc>
        <w:tc>
          <w:tcPr>
            <w:tcW w:w="5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3</w:t>
            </w:r>
          </w:p>
        </w:tc>
        <w:tc>
          <w:tcPr>
            <w:tcW w:w="579"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3</w:t>
            </w:r>
          </w:p>
        </w:tc>
        <w:tc>
          <w:tcPr>
            <w:tcW w:w="11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640" w:hRule="atLeast"/>
          <w:jc w:val="center"/>
        </w:trPr>
        <w:tc>
          <w:tcPr>
            <w:tcW w:w="53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70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声呐检测：设备满足CJJ181-2012 5.2.检测设备相关规定，检查方法满足5.3检测方法相关规定，影像判读满足5.4轮廓判读相关规定。</w:t>
            </w:r>
          </w:p>
        </w:tc>
        <w:tc>
          <w:tcPr>
            <w:tcW w:w="2289"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CJJ181-2012相关规定</w:t>
            </w:r>
          </w:p>
        </w:tc>
        <w:tc>
          <w:tcPr>
            <w:tcW w:w="2241"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声呐检测成果符合CJJ181-2012 5.2、5.3、5.4相关规定</w:t>
            </w:r>
          </w:p>
        </w:tc>
        <w:tc>
          <w:tcPr>
            <w:tcW w:w="5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3</w:t>
            </w:r>
          </w:p>
        </w:tc>
        <w:tc>
          <w:tcPr>
            <w:tcW w:w="579"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3</w:t>
            </w:r>
          </w:p>
        </w:tc>
        <w:tc>
          <w:tcPr>
            <w:tcW w:w="11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600" w:hRule="atLeast"/>
          <w:jc w:val="center"/>
        </w:trPr>
        <w:tc>
          <w:tcPr>
            <w:tcW w:w="53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70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测绘：测量方法满足CJJ61-20176.2.1、6.2.5、规定。</w:t>
            </w:r>
          </w:p>
        </w:tc>
        <w:tc>
          <w:tcPr>
            <w:tcW w:w="2289"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CJJ61-2017相关规定</w:t>
            </w:r>
          </w:p>
        </w:tc>
        <w:tc>
          <w:tcPr>
            <w:tcW w:w="2241"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测量成果符合CJJ61-2017 6.2.1、6.2.5、相关规定</w:t>
            </w:r>
          </w:p>
        </w:tc>
        <w:tc>
          <w:tcPr>
            <w:tcW w:w="5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3</w:t>
            </w:r>
          </w:p>
        </w:tc>
        <w:tc>
          <w:tcPr>
            <w:tcW w:w="579"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3</w:t>
            </w:r>
          </w:p>
        </w:tc>
        <w:tc>
          <w:tcPr>
            <w:tcW w:w="11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720" w:hRule="atLeast"/>
          <w:jc w:val="center"/>
        </w:trPr>
        <w:tc>
          <w:tcPr>
            <w:tcW w:w="53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70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明确本项目任务列入《通州区2022年第三批市级污染防治项目》</w:t>
            </w:r>
          </w:p>
        </w:tc>
        <w:tc>
          <w:tcPr>
            <w:tcW w:w="2289"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2022年9月</w:t>
            </w:r>
          </w:p>
        </w:tc>
        <w:tc>
          <w:tcPr>
            <w:tcW w:w="2241"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2022年9月完成</w:t>
            </w:r>
          </w:p>
        </w:tc>
        <w:tc>
          <w:tcPr>
            <w:tcW w:w="5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2</w:t>
            </w:r>
          </w:p>
        </w:tc>
        <w:tc>
          <w:tcPr>
            <w:tcW w:w="579"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2</w:t>
            </w:r>
          </w:p>
        </w:tc>
        <w:tc>
          <w:tcPr>
            <w:tcW w:w="1177"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jc w:val="center"/>
        </w:trPr>
        <w:tc>
          <w:tcPr>
            <w:tcW w:w="53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70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实施方案编制</w:t>
            </w:r>
          </w:p>
        </w:tc>
        <w:tc>
          <w:tcPr>
            <w:tcW w:w="2289"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2022年10月</w:t>
            </w:r>
          </w:p>
        </w:tc>
        <w:tc>
          <w:tcPr>
            <w:tcW w:w="2241"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2022年10月完成</w:t>
            </w:r>
          </w:p>
        </w:tc>
        <w:tc>
          <w:tcPr>
            <w:tcW w:w="5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2</w:t>
            </w:r>
          </w:p>
        </w:tc>
        <w:tc>
          <w:tcPr>
            <w:tcW w:w="579"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2</w:t>
            </w:r>
          </w:p>
        </w:tc>
        <w:tc>
          <w:tcPr>
            <w:tcW w:w="1177"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jc w:val="center"/>
        </w:trPr>
        <w:tc>
          <w:tcPr>
            <w:tcW w:w="53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70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区财政局预算评审</w:t>
            </w:r>
          </w:p>
        </w:tc>
        <w:tc>
          <w:tcPr>
            <w:tcW w:w="2289"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2022年11月</w:t>
            </w:r>
          </w:p>
        </w:tc>
        <w:tc>
          <w:tcPr>
            <w:tcW w:w="2241"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2022年11月完成</w:t>
            </w:r>
          </w:p>
        </w:tc>
        <w:tc>
          <w:tcPr>
            <w:tcW w:w="5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2</w:t>
            </w:r>
          </w:p>
        </w:tc>
        <w:tc>
          <w:tcPr>
            <w:tcW w:w="579"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2</w:t>
            </w:r>
          </w:p>
        </w:tc>
        <w:tc>
          <w:tcPr>
            <w:tcW w:w="1177"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jc w:val="center"/>
        </w:trPr>
        <w:tc>
          <w:tcPr>
            <w:tcW w:w="53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70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选定本项目施工单位招投标及签订合同</w:t>
            </w:r>
          </w:p>
        </w:tc>
        <w:tc>
          <w:tcPr>
            <w:tcW w:w="2289"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2022年12月</w:t>
            </w:r>
          </w:p>
        </w:tc>
        <w:tc>
          <w:tcPr>
            <w:tcW w:w="2241"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2022年12月完成</w:t>
            </w:r>
          </w:p>
        </w:tc>
        <w:tc>
          <w:tcPr>
            <w:tcW w:w="5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2</w:t>
            </w:r>
          </w:p>
        </w:tc>
        <w:tc>
          <w:tcPr>
            <w:tcW w:w="579"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2</w:t>
            </w:r>
          </w:p>
        </w:tc>
        <w:tc>
          <w:tcPr>
            <w:tcW w:w="1177"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jc w:val="center"/>
        </w:trPr>
        <w:tc>
          <w:tcPr>
            <w:tcW w:w="53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70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本项目具体工作开展</w:t>
            </w:r>
          </w:p>
        </w:tc>
        <w:tc>
          <w:tcPr>
            <w:tcW w:w="2289"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2022年12月</w:t>
            </w:r>
          </w:p>
        </w:tc>
        <w:tc>
          <w:tcPr>
            <w:tcW w:w="2241"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2022年12月已开始</w:t>
            </w:r>
          </w:p>
        </w:tc>
        <w:tc>
          <w:tcPr>
            <w:tcW w:w="5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3</w:t>
            </w:r>
          </w:p>
        </w:tc>
        <w:tc>
          <w:tcPr>
            <w:tcW w:w="579"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3</w:t>
            </w:r>
          </w:p>
        </w:tc>
        <w:tc>
          <w:tcPr>
            <w:tcW w:w="1177"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jc w:val="center"/>
        </w:trPr>
        <w:tc>
          <w:tcPr>
            <w:tcW w:w="53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70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中期评审</w:t>
            </w:r>
          </w:p>
        </w:tc>
        <w:tc>
          <w:tcPr>
            <w:tcW w:w="2289"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2023年7月</w:t>
            </w:r>
          </w:p>
        </w:tc>
        <w:tc>
          <w:tcPr>
            <w:tcW w:w="2241"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2023年7月完成</w:t>
            </w:r>
          </w:p>
        </w:tc>
        <w:tc>
          <w:tcPr>
            <w:tcW w:w="5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5</w:t>
            </w:r>
          </w:p>
        </w:tc>
        <w:tc>
          <w:tcPr>
            <w:tcW w:w="579"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2</w:t>
            </w:r>
          </w:p>
        </w:tc>
        <w:tc>
          <w:tcPr>
            <w:tcW w:w="1177"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根据现场实际进度于2023年8月完成中期评审。</w:t>
            </w:r>
          </w:p>
        </w:tc>
      </w:tr>
      <w:tr>
        <w:tblPrEx>
          <w:tblCellMar>
            <w:top w:w="0" w:type="dxa"/>
            <w:left w:w="108" w:type="dxa"/>
            <w:bottom w:w="0" w:type="dxa"/>
            <w:right w:w="108" w:type="dxa"/>
          </w:tblCellMar>
        </w:tblPrEx>
        <w:trPr>
          <w:jc w:val="center"/>
        </w:trPr>
        <w:tc>
          <w:tcPr>
            <w:tcW w:w="53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70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项目验收</w:t>
            </w:r>
          </w:p>
        </w:tc>
        <w:tc>
          <w:tcPr>
            <w:tcW w:w="2289"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2023年12月</w:t>
            </w:r>
          </w:p>
        </w:tc>
        <w:tc>
          <w:tcPr>
            <w:tcW w:w="2241"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2023年12月完成</w:t>
            </w:r>
          </w:p>
        </w:tc>
        <w:tc>
          <w:tcPr>
            <w:tcW w:w="5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5</w:t>
            </w:r>
          </w:p>
        </w:tc>
        <w:tc>
          <w:tcPr>
            <w:tcW w:w="579"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5</w:t>
            </w:r>
          </w:p>
        </w:tc>
        <w:tc>
          <w:tcPr>
            <w:tcW w:w="1177"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85" w:hRule="atLeast"/>
          <w:jc w:val="center"/>
        </w:trPr>
        <w:tc>
          <w:tcPr>
            <w:tcW w:w="53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0"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270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项目总预算</w:t>
            </w:r>
          </w:p>
        </w:tc>
        <w:tc>
          <w:tcPr>
            <w:tcW w:w="2289"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≤2491.80</w:t>
            </w:r>
          </w:p>
        </w:tc>
        <w:tc>
          <w:tcPr>
            <w:tcW w:w="2241"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≤项目总预算</w:t>
            </w:r>
          </w:p>
        </w:tc>
        <w:tc>
          <w:tcPr>
            <w:tcW w:w="5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5</w:t>
            </w:r>
          </w:p>
        </w:tc>
        <w:tc>
          <w:tcPr>
            <w:tcW w:w="579"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ascii="宋体" w:hAnsi="宋体" w:cs="宋体"/>
                <w:kern w:val="0"/>
                <w:sz w:val="18"/>
                <w:szCs w:val="18"/>
              </w:rPr>
              <w:t>5</w:t>
            </w:r>
          </w:p>
        </w:tc>
        <w:tc>
          <w:tcPr>
            <w:tcW w:w="1177"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jc w:val="center"/>
        </w:trPr>
        <w:tc>
          <w:tcPr>
            <w:tcW w:w="53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0"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630"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70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排水管网的渗漏、开裂、可能造成的路面塌陷、空洞、积水、冒水等结构性评估，流水能力不足、淤积淤堵、内壁锈蚀等功能性缺陷评估。</w:t>
            </w:r>
          </w:p>
        </w:tc>
        <w:tc>
          <w:tcPr>
            <w:tcW w:w="2289"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完成检测管线结构性及功能性缺陷的评估</w:t>
            </w:r>
          </w:p>
        </w:tc>
        <w:tc>
          <w:tcPr>
            <w:tcW w:w="2241"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按照道路出具管线检测评估报告。</w:t>
            </w:r>
          </w:p>
        </w:tc>
        <w:tc>
          <w:tcPr>
            <w:tcW w:w="5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79"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177"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030" w:hRule="atLeast"/>
          <w:jc w:val="center"/>
        </w:trPr>
        <w:tc>
          <w:tcPr>
            <w:tcW w:w="53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0"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70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掌握乡镇主要排水户、排水量及水质</w:t>
            </w:r>
          </w:p>
        </w:tc>
        <w:tc>
          <w:tcPr>
            <w:tcW w:w="2289"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建立乡镇主要污染源（排水户）信息台账</w:t>
            </w:r>
          </w:p>
        </w:tc>
        <w:tc>
          <w:tcPr>
            <w:tcW w:w="2241"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建立乡镇主要污染源（排水户）信息台账</w:t>
            </w:r>
          </w:p>
        </w:tc>
        <w:tc>
          <w:tcPr>
            <w:tcW w:w="585" w:type="dxa"/>
            <w:gridSpan w:val="2"/>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79" w:type="dxa"/>
            <w:tcBorders>
              <w:top w:val="nil"/>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177"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jc w:val="center"/>
        </w:trPr>
        <w:tc>
          <w:tcPr>
            <w:tcW w:w="532" w:type="dxa"/>
            <w:vMerge w:val="continue"/>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270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为下一步乡镇排水规划、水环境系统治理提供数据支撑</w:t>
            </w:r>
          </w:p>
        </w:tc>
        <w:tc>
          <w:tcPr>
            <w:tcW w:w="2289"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1、整体评估报告</w:t>
            </w:r>
          </w:p>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2、水环境污染分析报告</w:t>
            </w:r>
          </w:p>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3、治污控源实施方案</w:t>
            </w:r>
          </w:p>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4、乡镇排水管网图。</w:t>
            </w:r>
          </w:p>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5、数据建库。</w:t>
            </w:r>
          </w:p>
        </w:tc>
        <w:tc>
          <w:tcPr>
            <w:tcW w:w="2241"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1、整体评估报告</w:t>
            </w:r>
          </w:p>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2、水环境污染分析报告</w:t>
            </w:r>
          </w:p>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3、治污控源实施方案</w:t>
            </w:r>
          </w:p>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4、污水处理厂布局优化分析报告</w:t>
            </w:r>
          </w:p>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5、乡镇排水管网图。</w:t>
            </w:r>
          </w:p>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6、数据建库。</w:t>
            </w:r>
          </w:p>
        </w:tc>
        <w:tc>
          <w:tcPr>
            <w:tcW w:w="585"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79" w:type="dxa"/>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177"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165" w:hRule="atLeast"/>
          <w:jc w:val="center"/>
        </w:trPr>
        <w:tc>
          <w:tcPr>
            <w:tcW w:w="53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60"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700"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乡镇满意度</w:t>
            </w:r>
          </w:p>
        </w:tc>
        <w:tc>
          <w:tcPr>
            <w:tcW w:w="2289"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大于等于85%</w:t>
            </w:r>
          </w:p>
        </w:tc>
        <w:tc>
          <w:tcPr>
            <w:tcW w:w="2241"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满意度大于等于95%</w:t>
            </w:r>
          </w:p>
        </w:tc>
        <w:tc>
          <w:tcPr>
            <w:tcW w:w="585"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79" w:type="dxa"/>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177" w:type="dxa"/>
            <w:gridSpan w:val="2"/>
            <w:tcBorders>
              <w:top w:val="single" w:color="auto" w:sz="4" w:space="0"/>
              <w:left w:val="nil"/>
              <w:bottom w:val="single" w:color="auto" w:sz="4" w:space="0"/>
              <w:right w:val="single" w:color="auto" w:sz="4" w:space="0"/>
            </w:tcBorders>
            <w:vAlign w:val="center"/>
          </w:tcPr>
          <w:p>
            <w:pPr>
              <w:widowControl/>
              <w:suppressAutoHyphens/>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91" w:hRule="exact"/>
          <w:jc w:val="center"/>
        </w:trPr>
        <w:tc>
          <w:tcPr>
            <w:tcW w:w="9052" w:type="dxa"/>
            <w:gridSpan w:val="9"/>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总分</w:t>
            </w:r>
          </w:p>
        </w:tc>
        <w:tc>
          <w:tcPr>
            <w:tcW w:w="58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7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97</w:t>
            </w:r>
          </w:p>
        </w:tc>
        <w:tc>
          <w:tcPr>
            <w:tcW w:w="117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pPr>
        <w:widowControl/>
        <w:spacing w:line="480" w:lineRule="exact"/>
        <w:ind w:firstLine="440" w:firstLineChars="200"/>
        <w:jc w:val="left"/>
        <w:outlineLvl w:val="0"/>
        <w:rPr>
          <w:rFonts w:ascii="宋体" w:hAnsi="宋体" w:cs="宋体"/>
          <w:kern w:val="0"/>
          <w:sz w:val="22"/>
        </w:rPr>
      </w:pPr>
    </w:p>
    <w:p>
      <w:pPr>
        <w:widowControl/>
        <w:spacing w:line="480" w:lineRule="exact"/>
        <w:ind w:firstLine="440" w:firstLineChars="200"/>
        <w:jc w:val="left"/>
        <w:outlineLvl w:val="0"/>
        <w:rPr>
          <w:rFonts w:ascii="宋体" w:hAnsi="宋体" w:cs="宋体"/>
          <w:kern w:val="0"/>
          <w:sz w:val="2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jZDE0MmVkNzYyMTY2OWY5ZTFjMTMwMWI4MjAzNmUifQ=="/>
  </w:docVars>
  <w:rsids>
    <w:rsidRoot w:val="00ED3227"/>
    <w:rsid w:val="00D01A72"/>
    <w:rsid w:val="00ED3227"/>
    <w:rsid w:val="01494F35"/>
    <w:rsid w:val="02777BFD"/>
    <w:rsid w:val="07944A4F"/>
    <w:rsid w:val="19A84967"/>
    <w:rsid w:val="1EF10E80"/>
    <w:rsid w:val="20C14487"/>
    <w:rsid w:val="210E677D"/>
    <w:rsid w:val="297D349C"/>
    <w:rsid w:val="493F7755"/>
    <w:rsid w:val="60D05A95"/>
    <w:rsid w:val="69EB1780"/>
    <w:rsid w:val="7CED5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autoRedefine/>
    <w:semiHidden/>
    <w:unhideWhenUsed/>
    <w:uiPriority w:val="99"/>
    <w:tblPr>
      <w:tblCellMar>
        <w:top w:w="0" w:type="dxa"/>
        <w:left w:w="108" w:type="dxa"/>
        <w:bottom w:w="0" w:type="dxa"/>
        <w:right w:w="108" w:type="dxa"/>
      </w:tblCellMar>
    </w:tblPr>
  </w:style>
  <w:style w:type="paragraph" w:styleId="2">
    <w:name w:val="Normal Indent"/>
    <w:basedOn w:val="1"/>
    <w:next w:val="1"/>
    <w:autoRedefine/>
    <w:qFormat/>
    <w:uiPriority w:val="0"/>
    <w:pPr>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529</Words>
  <Characters>3018</Characters>
  <Lines>25</Lines>
  <Paragraphs>7</Paragraphs>
  <TotalTime>10</TotalTime>
  <ScaleCrop>false</ScaleCrop>
  <LinksUpToDate>false</LinksUpToDate>
  <CharactersWithSpaces>3540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2024-04-09T08:25:00Z</dcterms:created>
  <dc:creator>Administrator</dc:creator>
  <cp:lastModifiedBy>Administrator</cp:lastModifiedBy>
  <cp:lastPrinted>2024-05-09T08:28:25Z</cp:lastPrinted>
  <dcterms:modified xsi:type="dcterms:W3CDTF">2024-05-09T08:28:48Z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B167375C224B4A46B1C4819CBD1A7E01_13</vt:lpwstr>
  </property>
</Properties>
</file>