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3"/>
        <w:tblW w:w="11124" w:type="dxa"/>
        <w:jc w:val="center"/>
        <w:tblLayout w:type="fixed"/>
        <w:tblCellMar>
          <w:top w:w="0" w:type="dxa"/>
          <w:left w:w="108" w:type="dxa"/>
          <w:bottom w:w="0" w:type="dxa"/>
          <w:right w:w="108" w:type="dxa"/>
        </w:tblCellMar>
      </w:tblPr>
      <w:tblGrid>
        <w:gridCol w:w="597"/>
        <w:gridCol w:w="645"/>
        <w:gridCol w:w="600"/>
        <w:gridCol w:w="1329"/>
        <w:gridCol w:w="611"/>
        <w:gridCol w:w="1069"/>
        <w:gridCol w:w="1286"/>
        <w:gridCol w:w="1440"/>
        <w:gridCol w:w="585"/>
        <w:gridCol w:w="445"/>
        <w:gridCol w:w="585"/>
        <w:gridCol w:w="552"/>
        <w:gridCol w:w="588"/>
        <w:gridCol w:w="792"/>
      </w:tblGrid>
      <w:tr>
        <w:tblPrEx>
          <w:tblCellMar>
            <w:top w:w="0" w:type="dxa"/>
            <w:left w:w="108" w:type="dxa"/>
            <w:bottom w:w="0" w:type="dxa"/>
            <w:right w:w="108" w:type="dxa"/>
          </w:tblCellMar>
        </w:tblPrEx>
        <w:trPr>
          <w:trHeight w:val="440" w:hRule="exact"/>
          <w:jc w:val="center"/>
        </w:trPr>
        <w:tc>
          <w:tcPr>
            <w:tcW w:w="11124"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11124"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2023</w:t>
            </w:r>
            <w:r>
              <w:rPr>
                <w:rFonts w:hint="eastAsia" w:ascii="宋体" w:hAnsi="宋体" w:cs="宋体"/>
                <w:color w:val="auto"/>
                <w:kern w:val="0"/>
                <w:sz w:val="22"/>
              </w:rPr>
              <w:t xml:space="preserve"> 年度）</w:t>
            </w:r>
          </w:p>
        </w:tc>
      </w:tr>
      <w:tr>
        <w:tblPrEx>
          <w:tblCellMar>
            <w:top w:w="0" w:type="dxa"/>
            <w:left w:w="108" w:type="dxa"/>
            <w:bottom w:w="0" w:type="dxa"/>
            <w:right w:w="108" w:type="dxa"/>
          </w:tblCellMar>
        </w:tblPrEx>
        <w:trPr>
          <w:trHeight w:val="291" w:hRule="exac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988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2023年度安全生产第三方服务费</w:t>
            </w:r>
          </w:p>
        </w:tc>
      </w:tr>
      <w:tr>
        <w:tblPrEx>
          <w:tblCellMar>
            <w:top w:w="0" w:type="dxa"/>
            <w:left w:w="108" w:type="dxa"/>
            <w:bottom w:w="0" w:type="dxa"/>
            <w:right w:w="108" w:type="dxa"/>
          </w:tblCellMar>
        </w:tblPrEx>
        <w:trPr>
          <w:trHeight w:val="251" w:hRule="exac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89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eastAsia="zh-CN"/>
              </w:rPr>
              <w:t>通州区水务局</w:t>
            </w:r>
            <w:bookmarkStart w:id="0" w:name="_GoBack"/>
            <w:bookmarkEnd w:id="0"/>
          </w:p>
        </w:tc>
        <w:tc>
          <w:tcPr>
            <w:tcW w:w="2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96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通州区水务局</w:t>
            </w:r>
          </w:p>
        </w:tc>
      </w:tr>
      <w:tr>
        <w:tblPrEx>
          <w:tblCellMar>
            <w:top w:w="0" w:type="dxa"/>
            <w:left w:w="108" w:type="dxa"/>
            <w:bottom w:w="0" w:type="dxa"/>
            <w:right w:w="108" w:type="dxa"/>
          </w:tblCellMar>
        </w:tblPrEx>
        <w:trPr>
          <w:trHeight w:val="241" w:hRule="exac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89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刘北</w:t>
            </w:r>
          </w:p>
        </w:tc>
        <w:tc>
          <w:tcPr>
            <w:tcW w:w="2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96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15110006560</w:t>
            </w:r>
          </w:p>
        </w:tc>
      </w:tr>
      <w:tr>
        <w:tblPrEx>
          <w:tblCellMar>
            <w:top w:w="0" w:type="dxa"/>
            <w:left w:w="108" w:type="dxa"/>
            <w:bottom w:w="0" w:type="dxa"/>
            <w:right w:w="108" w:type="dxa"/>
          </w:tblCellMar>
        </w:tblPrEx>
        <w:trPr>
          <w:trHeight w:val="309" w:hRule="exact"/>
          <w:jc w:val="center"/>
        </w:trPr>
        <w:tc>
          <w:tcPr>
            <w:tcW w:w="124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9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6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年初预算数</w:t>
            </w:r>
          </w:p>
        </w:tc>
        <w:tc>
          <w:tcPr>
            <w:tcW w:w="12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全年预算数</w:t>
            </w:r>
          </w:p>
        </w:tc>
        <w:tc>
          <w:tcPr>
            <w:tcW w:w="2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全年执行数</w:t>
            </w:r>
          </w:p>
        </w:tc>
        <w:tc>
          <w:tcPr>
            <w:tcW w:w="103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11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7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36" w:hRule="exact"/>
          <w:jc w:val="center"/>
        </w:trPr>
        <w:tc>
          <w:tcPr>
            <w:tcW w:w="124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6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26.360000</w:t>
            </w:r>
          </w:p>
        </w:tc>
        <w:tc>
          <w:tcPr>
            <w:tcW w:w="128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26.360000</w:t>
            </w:r>
          </w:p>
        </w:tc>
        <w:tc>
          <w:tcPr>
            <w:tcW w:w="2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26.360000</w:t>
            </w:r>
          </w:p>
        </w:tc>
        <w:tc>
          <w:tcPr>
            <w:tcW w:w="103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79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41" w:hRule="exact"/>
          <w:jc w:val="center"/>
        </w:trPr>
        <w:tc>
          <w:tcPr>
            <w:tcW w:w="124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6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20.000000</w:t>
            </w:r>
          </w:p>
        </w:tc>
        <w:tc>
          <w:tcPr>
            <w:tcW w:w="128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20.000000</w:t>
            </w:r>
          </w:p>
        </w:tc>
        <w:tc>
          <w:tcPr>
            <w:tcW w:w="2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20.000000</w:t>
            </w:r>
          </w:p>
        </w:tc>
        <w:tc>
          <w:tcPr>
            <w:tcW w:w="103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11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7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24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6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6.360000</w:t>
            </w:r>
          </w:p>
        </w:tc>
        <w:tc>
          <w:tcPr>
            <w:tcW w:w="128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6.360000</w:t>
            </w:r>
          </w:p>
        </w:tc>
        <w:tc>
          <w:tcPr>
            <w:tcW w:w="2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6.360000</w:t>
            </w:r>
          </w:p>
        </w:tc>
        <w:tc>
          <w:tcPr>
            <w:tcW w:w="103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11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7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51" w:hRule="exact"/>
          <w:jc w:val="center"/>
        </w:trPr>
        <w:tc>
          <w:tcPr>
            <w:tcW w:w="124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68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2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2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3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11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97"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6980"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547"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1320" w:hRule="exact"/>
          <w:jc w:val="center"/>
        </w:trPr>
        <w:tc>
          <w:tcPr>
            <w:tcW w:w="59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80" w:type="dxa"/>
            <w:gridSpan w:val="7"/>
            <w:tcBorders>
              <w:top w:val="single" w:color="auto" w:sz="4" w:space="0"/>
              <w:left w:val="nil"/>
              <w:bottom w:val="single" w:color="auto" w:sz="4" w:space="0"/>
              <w:right w:val="single" w:color="auto" w:sz="4" w:space="0"/>
            </w:tcBorders>
            <w:noWrap w:val="0"/>
            <w:vAlign w:val="center"/>
          </w:tcPr>
          <w:p>
            <w:pPr>
              <w:widowControl/>
              <w:tabs>
                <w:tab w:val="left" w:pos="1821"/>
              </w:tabs>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引进第三方服务机构，一是安全专家协助检查企事业单位隐患和责任制落实，提供安全技术服务，二是修订完善水务系统安全预案，三是开展水务行业安全宣传、培训活动，四是满足专职安全员日常办公及外业检查需求，提升安全员技能水平。通过项目实施，确保按要求完成区政府年度安全生产任务书和绩效考核中各项指标任务，有效预防水务行业重大安全隐患，促进水务行业安全生产状况持续向好。</w:t>
            </w:r>
          </w:p>
        </w:tc>
        <w:tc>
          <w:tcPr>
            <w:tcW w:w="3547"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lang w:val="en-US" w:eastAsia="zh-CN"/>
              </w:rPr>
            </w:pPr>
            <w:r>
              <w:rPr>
                <w:rFonts w:hint="eastAsia" w:ascii="宋体" w:hAnsi="宋体" w:cs="宋体"/>
                <w:color w:val="auto"/>
                <w:kern w:val="0"/>
                <w:sz w:val="18"/>
                <w:szCs w:val="18"/>
                <w:lang w:eastAsia="zh-CN"/>
              </w:rPr>
              <w:t>已按需求提供</w:t>
            </w:r>
            <w:r>
              <w:rPr>
                <w:rFonts w:hint="eastAsia" w:ascii="宋体" w:hAnsi="宋体" w:cs="宋体"/>
                <w:color w:val="auto"/>
                <w:kern w:val="0"/>
                <w:sz w:val="18"/>
                <w:szCs w:val="18"/>
              </w:rPr>
              <w:t>安全技术服务</w:t>
            </w:r>
            <w:r>
              <w:rPr>
                <w:rFonts w:hint="eastAsia" w:ascii="宋体" w:hAnsi="宋体" w:cs="宋体"/>
                <w:color w:val="auto"/>
                <w:kern w:val="0"/>
                <w:sz w:val="18"/>
                <w:szCs w:val="18"/>
                <w:lang w:eastAsia="zh-CN"/>
              </w:rPr>
              <w:t>及</w:t>
            </w:r>
            <w:r>
              <w:rPr>
                <w:rFonts w:hint="eastAsia" w:ascii="宋体" w:hAnsi="宋体" w:cs="宋体"/>
                <w:color w:val="auto"/>
                <w:kern w:val="0"/>
                <w:sz w:val="18"/>
                <w:szCs w:val="18"/>
              </w:rPr>
              <w:t>专职安全员后勤保障</w:t>
            </w:r>
            <w:r>
              <w:rPr>
                <w:rFonts w:hint="eastAsia" w:ascii="宋体" w:hAnsi="宋体" w:cs="宋体"/>
                <w:color w:val="auto"/>
                <w:kern w:val="0"/>
                <w:sz w:val="18"/>
                <w:szCs w:val="18"/>
                <w:lang w:eastAsia="zh-CN"/>
              </w:rPr>
              <w:t>，共开展</w:t>
            </w:r>
            <w:r>
              <w:rPr>
                <w:rFonts w:hint="eastAsia" w:ascii="宋体" w:hAnsi="宋体" w:cs="宋体"/>
                <w:color w:val="auto"/>
                <w:kern w:val="0"/>
                <w:sz w:val="18"/>
                <w:szCs w:val="18"/>
                <w:lang w:val="en-US" w:eastAsia="zh-CN"/>
              </w:rPr>
              <w:t>99个工作日隐患排查、2次宣传培训，并结合实际修订了</w:t>
            </w:r>
            <w:r>
              <w:rPr>
                <w:rFonts w:hint="eastAsia" w:ascii="宋体" w:hAnsi="宋体" w:cs="宋体"/>
                <w:color w:val="auto"/>
                <w:kern w:val="0"/>
                <w:sz w:val="18"/>
                <w:szCs w:val="18"/>
                <w:lang w:eastAsia="zh-CN"/>
              </w:rPr>
              <w:t>应急预案。</w:t>
            </w:r>
          </w:p>
        </w:tc>
      </w:tr>
      <w:tr>
        <w:tblPrEx>
          <w:tblCellMar>
            <w:top w:w="0" w:type="dxa"/>
            <w:left w:w="108" w:type="dxa"/>
            <w:bottom w:w="0" w:type="dxa"/>
            <w:right w:w="108" w:type="dxa"/>
          </w:tblCellMar>
        </w:tblPrEx>
        <w:trPr>
          <w:trHeight w:val="517" w:hRule="exact"/>
          <w:jc w:val="center"/>
        </w:trPr>
        <w:tc>
          <w:tcPr>
            <w:tcW w:w="597"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64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60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330"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600"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安全技术服务时间</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99个工作日</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99个工作日</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01"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专职安全员后勤保障时间</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12个月</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12个月</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4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Theme="minorEastAsia" w:hAnsiTheme="minorEastAsia" w:eastAsiaTheme="minorEastAsia" w:cstheme="minorEastAsia"/>
                <w:color w:val="auto"/>
                <w:kern w:val="0"/>
                <w:sz w:val="18"/>
                <w:szCs w:val="18"/>
              </w:rPr>
              <w:t>安全生产宣传培训（6月和11月）次数</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2次</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2次</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0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sz w:val="18"/>
                <w:szCs w:val="18"/>
              </w:rPr>
              <w:t>应急预案修订次数</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w:t>
            </w:r>
            <w:r>
              <w:rPr>
                <w:rFonts w:hint="eastAsia"/>
                <w:sz w:val="18"/>
                <w:szCs w:val="18"/>
              </w:rPr>
              <w:t>次</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w:t>
            </w:r>
            <w:r>
              <w:rPr>
                <w:rFonts w:hint="eastAsia"/>
                <w:sz w:val="18"/>
                <w:szCs w:val="18"/>
              </w:rPr>
              <w:t>次</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1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安全技术服务</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安排安全专家服务，符合技术标准，提供服务报告</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已</w:t>
            </w:r>
            <w:r>
              <w:rPr>
                <w:rFonts w:hint="eastAsia" w:ascii="宋体" w:hAnsi="宋体" w:cs="宋体"/>
                <w:color w:val="auto"/>
                <w:kern w:val="0"/>
                <w:sz w:val="18"/>
                <w:szCs w:val="18"/>
              </w:rPr>
              <w:t>安排安全专家服务，符合技术标准，</w:t>
            </w:r>
            <w:r>
              <w:rPr>
                <w:rFonts w:hint="eastAsia" w:ascii="宋体" w:hAnsi="宋体" w:cs="宋体"/>
                <w:color w:val="auto"/>
                <w:kern w:val="0"/>
                <w:sz w:val="18"/>
                <w:szCs w:val="18"/>
                <w:lang w:eastAsia="zh-CN"/>
              </w:rPr>
              <w:t>并</w:t>
            </w:r>
            <w:r>
              <w:rPr>
                <w:rFonts w:hint="eastAsia" w:ascii="宋体" w:hAnsi="宋体" w:cs="宋体"/>
                <w:color w:val="auto"/>
                <w:kern w:val="0"/>
                <w:sz w:val="18"/>
                <w:szCs w:val="18"/>
              </w:rPr>
              <w:t>提供</w:t>
            </w:r>
            <w:r>
              <w:rPr>
                <w:rFonts w:hint="eastAsia" w:ascii="宋体" w:hAnsi="宋体" w:cs="宋体"/>
                <w:color w:val="auto"/>
                <w:kern w:val="0"/>
                <w:sz w:val="18"/>
                <w:szCs w:val="18"/>
                <w:lang w:eastAsia="zh-CN"/>
              </w:rPr>
              <w:t>了</w:t>
            </w:r>
            <w:r>
              <w:rPr>
                <w:rFonts w:hint="eastAsia" w:ascii="宋体" w:hAnsi="宋体" w:cs="宋体"/>
                <w:color w:val="auto"/>
                <w:kern w:val="0"/>
                <w:sz w:val="18"/>
                <w:szCs w:val="18"/>
              </w:rPr>
              <w:t>服务报告</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10"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专职安全员后勤保障</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提供满足专职安全员办公及后勤保障服务</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eastAsia="zh-CN"/>
              </w:rPr>
              <w:t>已</w:t>
            </w:r>
            <w:r>
              <w:rPr>
                <w:rFonts w:hint="eastAsia" w:ascii="宋体" w:hAnsi="宋体" w:cs="宋体"/>
                <w:color w:val="auto"/>
                <w:kern w:val="0"/>
                <w:sz w:val="18"/>
                <w:szCs w:val="18"/>
              </w:rPr>
              <w:t>提供满足专职安全员办公及后勤保障服务</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475"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安全生产宣传培训（6月和11月）</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按照活动方案要求于6月和11月开展两期培训</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eastAsia="zh-CN"/>
              </w:rPr>
              <w:t>已</w:t>
            </w:r>
            <w:r>
              <w:rPr>
                <w:rFonts w:hint="eastAsia" w:ascii="宋体" w:hAnsi="宋体" w:cs="宋体"/>
                <w:color w:val="auto"/>
                <w:kern w:val="0"/>
                <w:sz w:val="18"/>
                <w:szCs w:val="18"/>
              </w:rPr>
              <w:t>按照活动方案要求于6月和11月开展两期培训</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13"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应急预案修订</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按照预案编制规范，完成应急预案修订，提供修订成果</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已修订</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7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restart"/>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bidi="ar-SA"/>
              </w:rPr>
            </w:pPr>
            <w:r>
              <w:rPr>
                <w:rFonts w:hint="eastAsia"/>
                <w:sz w:val="18"/>
                <w:szCs w:val="18"/>
              </w:rPr>
              <w:t>项目预算控制数</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20万元</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20万元</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3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bidi="ar-SA"/>
              </w:rPr>
            </w:pPr>
            <w:r>
              <w:rPr>
                <w:rFonts w:hint="eastAsia" w:asciiTheme="minorEastAsia" w:hAnsiTheme="minorEastAsia" w:eastAsiaTheme="minorEastAsia" w:cstheme="minorEastAsia"/>
                <w:sz w:val="18"/>
                <w:szCs w:val="18"/>
              </w:rPr>
              <w:t>安全技术服务</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预算数约15万元</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约15万元</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48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专职安全员后勤保障</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预算数约0.2万元</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约0.2万元</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471"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安全生产宣传培训（6月和11月）</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预算数约2万元</w:t>
            </w:r>
          </w:p>
        </w:tc>
        <w:tc>
          <w:tcPr>
            <w:tcW w:w="2470" w:type="dxa"/>
            <w:gridSpan w:val="3"/>
            <w:tcBorders>
              <w:top w:val="nil"/>
              <w:left w:val="nil"/>
              <w:bottom w:val="single" w:color="auto" w:sz="4" w:space="0"/>
              <w:right w:val="single" w:color="auto" w:sz="4" w:space="0"/>
            </w:tcBorders>
            <w:noWrap w:val="0"/>
            <w:vAlign w:val="center"/>
          </w:tcPr>
          <w:p>
            <w:pPr>
              <w:widowControl/>
              <w:tabs>
                <w:tab w:val="left" w:pos="232"/>
              </w:tabs>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约2万元</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30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0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应急预案修订</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预算数约2.8万元</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约2.8万元</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801"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600"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指标</w:t>
            </w: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水务行业生产安全性</w:t>
            </w:r>
          </w:p>
        </w:tc>
        <w:tc>
          <w:tcPr>
            <w:tcW w:w="2355"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有效预防、排查、整治水务行业重大安全隐患，保持水务行业安全整体稳定</w:t>
            </w:r>
          </w:p>
        </w:tc>
        <w:tc>
          <w:tcPr>
            <w:tcW w:w="247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水务行业安全整体稳定</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30</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30</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326" w:hRule="exact"/>
          <w:jc w:val="center"/>
        </w:trPr>
        <w:tc>
          <w:tcPr>
            <w:tcW w:w="597"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45"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60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194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水务企业满意度</w:t>
            </w:r>
          </w:p>
        </w:tc>
        <w:tc>
          <w:tcPr>
            <w:tcW w:w="2355"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90%以上</w:t>
            </w:r>
          </w:p>
        </w:tc>
        <w:tc>
          <w:tcPr>
            <w:tcW w:w="24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90%以上</w:t>
            </w:r>
          </w:p>
        </w:tc>
        <w:tc>
          <w:tcPr>
            <w:tcW w:w="58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8607" w:type="dxa"/>
            <w:gridSpan w:val="10"/>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85"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039C53F2"/>
    <w:rsid w:val="07FE4382"/>
    <w:rsid w:val="0AD81552"/>
    <w:rsid w:val="0FFF1A9C"/>
    <w:rsid w:val="11C713CA"/>
    <w:rsid w:val="210E677D"/>
    <w:rsid w:val="25522911"/>
    <w:rsid w:val="29FE695C"/>
    <w:rsid w:val="32285089"/>
    <w:rsid w:val="44476729"/>
    <w:rsid w:val="47645D69"/>
    <w:rsid w:val="5D6175C7"/>
    <w:rsid w:val="657769D5"/>
    <w:rsid w:val="6F733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2024-04-24T06:25:58Z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