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left"/>
        <w:rPr>
          <w:rFonts w:hint="eastAsia"/>
        </w:rPr>
      </w:pPr>
      <w:r>
        <w:rPr>
          <w:rFonts w:hint="eastAsia" w:ascii="仿宋_GB2312" w:hAnsi="宋体" w:eastAsia="仿宋_GB2312" w:cs="宋体"/>
          <w:color w:val="000000"/>
          <w:kern w:val="0"/>
          <w:sz w:val="32"/>
          <w:szCs w:val="32"/>
        </w:rPr>
        <w:t>附件1</w:t>
      </w: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rPr>
        <w:t>：</w:t>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jc w:val="center"/>
        <w:rPr>
          <w:rFonts w:ascii="仿宋_GB2312" w:hAnsi="宋体" w:eastAsia="仿宋_GB2312"/>
          <w:sz w:val="28"/>
          <w:szCs w:val="28"/>
        </w:rPr>
      </w:pPr>
      <w:r>
        <w:rPr>
          <w:rFonts w:hint="eastAsia" w:ascii="仿宋_GB2312" w:hAnsi="宋体" w:eastAsia="仿宋_GB2312"/>
          <w:sz w:val="28"/>
          <w:szCs w:val="28"/>
        </w:rPr>
        <w:t xml:space="preserve">（ </w:t>
      </w:r>
      <w:r>
        <w:rPr>
          <w:rFonts w:ascii="仿宋_GB2312" w:hAnsi="宋体" w:eastAsia="仿宋_GB2312"/>
          <w:sz w:val="28"/>
          <w:szCs w:val="28"/>
        </w:rPr>
        <w:t>202</w:t>
      </w:r>
      <w:r>
        <w:rPr>
          <w:rFonts w:hint="eastAsia" w:ascii="仿宋_GB2312" w:hAnsi="宋体" w:eastAsia="仿宋_GB2312"/>
          <w:sz w:val="28"/>
          <w:szCs w:val="28"/>
          <w:lang w:val="en-US" w:eastAsia="zh-CN"/>
        </w:rPr>
        <w:t>3</w:t>
      </w:r>
      <w:r>
        <w:rPr>
          <w:rFonts w:hint="eastAsia" w:ascii="仿宋_GB2312" w:hAnsi="宋体" w:eastAsia="仿宋_GB2312"/>
          <w:sz w:val="28"/>
          <w:szCs w:val="28"/>
        </w:rPr>
        <w:t xml:space="preserve"> 年度）</w:t>
      </w:r>
    </w:p>
    <w:p>
      <w:pPr>
        <w:spacing w:line="240" w:lineRule="exact"/>
        <w:rPr>
          <w:rFonts w:ascii="仿宋_GB2312" w:hAnsi="宋体" w:eastAsia="仿宋_GB2312"/>
          <w:sz w:val="30"/>
          <w:szCs w:val="30"/>
        </w:rPr>
      </w:pPr>
    </w:p>
    <w:tbl>
      <w:tblPr>
        <w:tblStyle w:val="9"/>
        <w:tblW w:w="9038" w:type="dxa"/>
        <w:jc w:val="center"/>
        <w:tblLayout w:type="fixed"/>
        <w:tblCellMar>
          <w:top w:w="0" w:type="dxa"/>
          <w:left w:w="108" w:type="dxa"/>
          <w:bottom w:w="0" w:type="dxa"/>
          <w:right w:w="108" w:type="dxa"/>
        </w:tblCellMar>
      </w:tblPr>
      <w:tblGrid>
        <w:gridCol w:w="585"/>
        <w:gridCol w:w="604"/>
        <w:gridCol w:w="1035"/>
        <w:gridCol w:w="825"/>
        <w:gridCol w:w="765"/>
        <w:gridCol w:w="1613"/>
        <w:gridCol w:w="1351"/>
        <w:gridCol w:w="59"/>
        <w:gridCol w:w="562"/>
        <w:gridCol w:w="83"/>
        <w:gridCol w:w="457"/>
        <w:gridCol w:w="389"/>
        <w:gridCol w:w="710"/>
      </w:tblGrid>
      <w:tr>
        <w:tblPrEx>
          <w:tblCellMar>
            <w:top w:w="0" w:type="dxa"/>
            <w:left w:w="108" w:type="dxa"/>
            <w:bottom w:w="0" w:type="dxa"/>
            <w:right w:w="108" w:type="dxa"/>
          </w:tblCellMar>
        </w:tblPrEx>
        <w:trPr>
          <w:trHeight w:val="306" w:hRule="exact"/>
          <w:jc w:val="center"/>
        </w:trPr>
        <w:tc>
          <w:tcPr>
            <w:tcW w:w="118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项目名称</w:t>
            </w:r>
          </w:p>
        </w:tc>
        <w:tc>
          <w:tcPr>
            <w:tcW w:w="7849" w:type="dxa"/>
            <w:gridSpan w:val="11"/>
            <w:tcBorders>
              <w:top w:val="single" w:color="auto" w:sz="4" w:space="0"/>
              <w:left w:val="nil"/>
              <w:bottom w:val="single" w:color="auto" w:sz="4" w:space="0"/>
              <w:right w:val="single" w:color="auto" w:sz="4" w:space="0"/>
            </w:tcBorders>
            <w:noWrap w:val="0"/>
            <w:vAlign w:val="center"/>
          </w:tcPr>
          <w:p>
            <w:pPr>
              <w:widowControl/>
              <w:bidi w:val="0"/>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黑臭水体治理工程</w:t>
            </w:r>
            <w:r>
              <w:rPr>
                <w:rFonts w:hint="eastAsia" w:ascii="宋体" w:hAnsi="宋体" w:eastAsia="宋体" w:cs="宋体"/>
                <w:kern w:val="0"/>
                <w:sz w:val="18"/>
                <w:szCs w:val="18"/>
                <w:lang w:val="en-US" w:eastAsia="zh-CN"/>
              </w:rPr>
              <w:t>可用性</w:t>
            </w:r>
            <w:r>
              <w:rPr>
                <w:rFonts w:hint="eastAsia" w:ascii="宋体" w:hAnsi="宋体" w:eastAsia="宋体" w:cs="宋体"/>
                <w:kern w:val="0"/>
                <w:sz w:val="18"/>
                <w:szCs w:val="18"/>
              </w:rPr>
              <w:t>服务费（PPP项目）</w:t>
            </w:r>
          </w:p>
        </w:tc>
      </w:tr>
      <w:tr>
        <w:tblPrEx>
          <w:tblCellMar>
            <w:top w:w="0" w:type="dxa"/>
            <w:left w:w="108" w:type="dxa"/>
            <w:bottom w:w="0" w:type="dxa"/>
            <w:right w:w="108" w:type="dxa"/>
          </w:tblCellMar>
        </w:tblPrEx>
        <w:trPr>
          <w:trHeight w:val="306" w:hRule="exact"/>
          <w:jc w:val="center"/>
        </w:trPr>
        <w:tc>
          <w:tcPr>
            <w:tcW w:w="118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主管部门</w:t>
            </w:r>
          </w:p>
        </w:tc>
        <w:tc>
          <w:tcPr>
            <w:tcW w:w="4238"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北京市通州区水务局</w:t>
            </w:r>
          </w:p>
        </w:tc>
        <w:tc>
          <w:tcPr>
            <w:tcW w:w="13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实施单位</w:t>
            </w:r>
          </w:p>
        </w:tc>
        <w:tc>
          <w:tcPr>
            <w:tcW w:w="226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北京市通州区水务局</w:t>
            </w:r>
          </w:p>
        </w:tc>
      </w:tr>
      <w:tr>
        <w:tblPrEx>
          <w:tblCellMar>
            <w:top w:w="0" w:type="dxa"/>
            <w:left w:w="108" w:type="dxa"/>
            <w:bottom w:w="0" w:type="dxa"/>
            <w:right w:w="108" w:type="dxa"/>
          </w:tblCellMar>
        </w:tblPrEx>
        <w:trPr>
          <w:trHeight w:val="306" w:hRule="exact"/>
          <w:jc w:val="center"/>
        </w:trPr>
        <w:tc>
          <w:tcPr>
            <w:tcW w:w="118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项目负责人</w:t>
            </w:r>
          </w:p>
        </w:tc>
        <w:tc>
          <w:tcPr>
            <w:tcW w:w="4238"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赵媛</w:t>
            </w:r>
          </w:p>
        </w:tc>
        <w:tc>
          <w:tcPr>
            <w:tcW w:w="13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联系电话</w:t>
            </w:r>
          </w:p>
        </w:tc>
        <w:tc>
          <w:tcPr>
            <w:tcW w:w="226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80887080</w:t>
            </w:r>
          </w:p>
        </w:tc>
      </w:tr>
      <w:tr>
        <w:tblPrEx>
          <w:tblCellMar>
            <w:top w:w="0" w:type="dxa"/>
            <w:left w:w="108" w:type="dxa"/>
            <w:bottom w:w="0" w:type="dxa"/>
            <w:right w:w="108" w:type="dxa"/>
          </w:tblCellMar>
        </w:tblPrEx>
        <w:trPr>
          <w:trHeight w:val="862" w:hRule="exact"/>
          <w:jc w:val="center"/>
        </w:trPr>
        <w:tc>
          <w:tcPr>
            <w:tcW w:w="1189"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6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7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年初预</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算数</w:t>
            </w:r>
          </w:p>
        </w:tc>
        <w:tc>
          <w:tcPr>
            <w:tcW w:w="161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全年预</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算数</w:t>
            </w:r>
          </w:p>
        </w:tc>
        <w:tc>
          <w:tcPr>
            <w:tcW w:w="13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执行数</w:t>
            </w:r>
          </w:p>
        </w:tc>
        <w:tc>
          <w:tcPr>
            <w:tcW w:w="704"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分值</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执行率</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686" w:hRule="exact"/>
          <w:jc w:val="center"/>
        </w:trPr>
        <w:tc>
          <w:tcPr>
            <w:tcW w:w="118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86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宋体" w:hAnsi="宋体" w:eastAsia="宋体" w:cs="宋体"/>
                <w:kern w:val="0"/>
                <w:sz w:val="18"/>
                <w:szCs w:val="18"/>
              </w:rPr>
            </w:pPr>
            <w:r>
              <w:rPr>
                <w:rFonts w:hint="eastAsia" w:ascii="宋体" w:hAnsi="宋体" w:eastAsia="宋体" w:cs="宋体"/>
                <w:kern w:val="0"/>
                <w:sz w:val="18"/>
                <w:szCs w:val="18"/>
              </w:rPr>
              <w:t>年度资金总额</w:t>
            </w:r>
          </w:p>
        </w:tc>
        <w:tc>
          <w:tcPr>
            <w:tcW w:w="76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735.</w:t>
            </w:r>
            <w:bookmarkStart w:id="0" w:name="_GoBack"/>
            <w:bookmarkEnd w:id="0"/>
            <w:r>
              <w:rPr>
                <w:rFonts w:hint="eastAsia" w:ascii="宋体" w:hAnsi="宋体" w:cs="宋体"/>
                <w:kern w:val="0"/>
                <w:sz w:val="18"/>
                <w:szCs w:val="18"/>
                <w:lang w:val="en-US" w:eastAsia="zh-CN"/>
              </w:rPr>
              <w:t>000000</w:t>
            </w:r>
          </w:p>
        </w:tc>
        <w:tc>
          <w:tcPr>
            <w:tcW w:w="161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4406.42</w:t>
            </w:r>
            <w:r>
              <w:rPr>
                <w:rFonts w:hint="eastAsia" w:ascii="宋体" w:hAnsi="宋体" w:cs="宋体"/>
                <w:kern w:val="0"/>
                <w:sz w:val="18"/>
                <w:szCs w:val="18"/>
                <w:lang w:val="en-US" w:eastAsia="zh-CN"/>
              </w:rPr>
              <w:t>0000</w:t>
            </w:r>
          </w:p>
        </w:tc>
        <w:tc>
          <w:tcPr>
            <w:tcW w:w="13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4406.42</w:t>
            </w:r>
            <w:r>
              <w:rPr>
                <w:rFonts w:hint="eastAsia" w:ascii="宋体" w:hAnsi="宋体" w:cs="宋体"/>
                <w:kern w:val="0"/>
                <w:sz w:val="18"/>
                <w:szCs w:val="18"/>
                <w:lang w:val="en-US" w:eastAsia="zh-CN"/>
              </w:rPr>
              <w:t>0000</w:t>
            </w:r>
          </w:p>
        </w:tc>
        <w:tc>
          <w:tcPr>
            <w:tcW w:w="704"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100</w:t>
            </w:r>
            <w:r>
              <w:rPr>
                <w:rFonts w:hint="eastAsia" w:ascii="宋体" w:hAnsi="宋体" w:eastAsia="宋体" w:cs="宋体"/>
                <w:kern w:val="0"/>
                <w:sz w:val="18"/>
                <w:szCs w:val="18"/>
              </w:rPr>
              <w:t>%</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676" w:hRule="exact"/>
          <w:jc w:val="center"/>
        </w:trPr>
        <w:tc>
          <w:tcPr>
            <w:tcW w:w="118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86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其中：当年财政拨款</w:t>
            </w:r>
          </w:p>
        </w:tc>
        <w:tc>
          <w:tcPr>
            <w:tcW w:w="76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735.000000</w:t>
            </w:r>
          </w:p>
        </w:tc>
        <w:tc>
          <w:tcPr>
            <w:tcW w:w="161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4406.42</w:t>
            </w:r>
            <w:r>
              <w:rPr>
                <w:rFonts w:hint="eastAsia" w:ascii="宋体" w:hAnsi="宋体" w:cs="宋体"/>
                <w:kern w:val="0"/>
                <w:sz w:val="18"/>
                <w:szCs w:val="18"/>
                <w:lang w:val="en-US" w:eastAsia="zh-CN"/>
              </w:rPr>
              <w:t>0000</w:t>
            </w:r>
          </w:p>
        </w:tc>
        <w:tc>
          <w:tcPr>
            <w:tcW w:w="13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4406.42</w:t>
            </w:r>
            <w:r>
              <w:rPr>
                <w:rFonts w:hint="eastAsia" w:ascii="宋体" w:hAnsi="宋体" w:cs="宋体"/>
                <w:kern w:val="0"/>
                <w:sz w:val="18"/>
                <w:szCs w:val="18"/>
                <w:lang w:val="en-US" w:eastAsia="zh-CN"/>
              </w:rPr>
              <w:t>0000</w:t>
            </w:r>
          </w:p>
        </w:tc>
        <w:tc>
          <w:tcPr>
            <w:tcW w:w="704"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2" w:hRule="exact"/>
          <w:jc w:val="center"/>
        </w:trPr>
        <w:tc>
          <w:tcPr>
            <w:tcW w:w="118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86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7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61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3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704"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6" w:hRule="exact"/>
          <w:jc w:val="center"/>
        </w:trPr>
        <w:tc>
          <w:tcPr>
            <w:tcW w:w="118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86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7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61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3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704"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73" w:hRule="exact"/>
          <w:jc w:val="center"/>
        </w:trPr>
        <w:tc>
          <w:tcPr>
            <w:tcW w:w="585"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年度总体目标</w:t>
            </w:r>
          </w:p>
        </w:tc>
        <w:tc>
          <w:tcPr>
            <w:tcW w:w="4842"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预期目标</w:t>
            </w:r>
          </w:p>
        </w:tc>
        <w:tc>
          <w:tcPr>
            <w:tcW w:w="3611"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787" w:hRule="exact"/>
          <w:jc w:val="center"/>
        </w:trPr>
        <w:tc>
          <w:tcPr>
            <w:tcW w:w="58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4842"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设施可用，在考虑投标收益率基础上结合绩效评价结果返还建设期投资。</w:t>
            </w:r>
          </w:p>
          <w:p>
            <w:pPr>
              <w:widowControl/>
              <w:spacing w:line="240" w:lineRule="exact"/>
              <w:jc w:val="left"/>
              <w:rPr>
                <w:rFonts w:hint="eastAsia" w:ascii="宋体" w:hAnsi="宋体" w:eastAsia="宋体" w:cs="宋体"/>
                <w:kern w:val="0"/>
                <w:sz w:val="18"/>
                <w:szCs w:val="18"/>
              </w:rPr>
            </w:pPr>
            <w:r>
              <w:rPr>
                <w:rFonts w:hint="eastAsia" w:ascii="宋体" w:hAnsi="宋体" w:cs="宋体"/>
                <w:kern w:val="0"/>
                <w:sz w:val="18"/>
                <w:szCs w:val="18"/>
              </w:rPr>
              <w:t>达到的效果：河道水质满足指标，河道环境保洁，岸坡养护到位，河面无成片垃圾，河道沿河无未经处理的污水直排现场；截污管线及提升泵站设施完好，运行稳定正常，消除黑臭水体。</w:t>
            </w:r>
          </w:p>
        </w:tc>
        <w:tc>
          <w:tcPr>
            <w:tcW w:w="3611"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设施可用，在考虑投标收益率基础上结合绩效评价结果返还建设期投资。</w:t>
            </w:r>
          </w:p>
          <w:p>
            <w:pPr>
              <w:widowControl/>
              <w:spacing w:line="240" w:lineRule="exact"/>
              <w:jc w:val="left"/>
              <w:rPr>
                <w:rFonts w:hint="eastAsia" w:ascii="宋体" w:hAnsi="宋体" w:eastAsia="宋体" w:cs="宋体"/>
                <w:kern w:val="0"/>
                <w:sz w:val="18"/>
                <w:szCs w:val="18"/>
              </w:rPr>
            </w:pPr>
            <w:r>
              <w:rPr>
                <w:rFonts w:hint="eastAsia" w:ascii="宋体" w:hAnsi="宋体" w:cs="宋体"/>
                <w:kern w:val="0"/>
                <w:sz w:val="18"/>
                <w:szCs w:val="18"/>
              </w:rPr>
              <w:t>达到的效果：河道水质满足指标，河道环境保洁，岸坡养护到位，河面无成片垃圾，河道沿河无未经处理的污水直排现场；截污管线及提升泵站设施完好，运行稳定正常，消除黑臭水体。</w:t>
            </w:r>
          </w:p>
        </w:tc>
      </w:tr>
      <w:tr>
        <w:tblPrEx>
          <w:tblCellMar>
            <w:top w:w="0" w:type="dxa"/>
            <w:left w:w="108" w:type="dxa"/>
            <w:bottom w:w="0" w:type="dxa"/>
            <w:right w:w="108" w:type="dxa"/>
          </w:tblCellMar>
        </w:tblPrEx>
        <w:trPr>
          <w:trHeight w:val="835"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60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一级指标</w:t>
            </w:r>
          </w:p>
        </w:tc>
        <w:tc>
          <w:tcPr>
            <w:tcW w:w="103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二级指标</w:t>
            </w:r>
          </w:p>
        </w:tc>
        <w:tc>
          <w:tcPr>
            <w:tcW w:w="159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三级指标</w:t>
            </w:r>
          </w:p>
        </w:tc>
        <w:tc>
          <w:tcPr>
            <w:tcW w:w="161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指标值</w:t>
            </w:r>
          </w:p>
        </w:tc>
        <w:tc>
          <w:tcPr>
            <w:tcW w:w="14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完成值</w:t>
            </w:r>
          </w:p>
        </w:tc>
        <w:tc>
          <w:tcPr>
            <w:tcW w:w="56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分值</w:t>
            </w:r>
          </w:p>
        </w:tc>
        <w:tc>
          <w:tcPr>
            <w:tcW w:w="5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得分</w:t>
            </w:r>
          </w:p>
        </w:tc>
        <w:tc>
          <w:tcPr>
            <w:tcW w:w="109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1568"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60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产出指标（</w:t>
            </w:r>
            <w:r>
              <w:rPr>
                <w:rFonts w:hint="eastAsia" w:ascii="宋体" w:hAnsi="宋体" w:cs="宋体"/>
                <w:kern w:val="0"/>
                <w:sz w:val="18"/>
                <w:szCs w:val="18"/>
                <w:lang w:val="en-US" w:eastAsia="zh-CN"/>
              </w:rPr>
              <w:t>5</w:t>
            </w:r>
            <w:r>
              <w:rPr>
                <w:rFonts w:hint="eastAsia" w:ascii="宋体" w:hAnsi="宋体" w:eastAsia="宋体" w:cs="宋体"/>
                <w:kern w:val="0"/>
                <w:sz w:val="18"/>
                <w:szCs w:val="18"/>
                <w:lang w:val="en-US" w:eastAsia="zh-CN"/>
              </w:rPr>
              <w:t>0分</w:t>
            </w:r>
            <w:r>
              <w:rPr>
                <w:rFonts w:hint="eastAsia" w:ascii="宋体" w:hAnsi="宋体" w:eastAsia="宋体" w:cs="宋体"/>
                <w:kern w:val="0"/>
                <w:sz w:val="18"/>
                <w:szCs w:val="18"/>
              </w:rPr>
              <w:t>）</w:t>
            </w:r>
          </w:p>
        </w:tc>
        <w:tc>
          <w:tcPr>
            <w:tcW w:w="103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数量指标（15</w:t>
            </w:r>
            <w:r>
              <w:rPr>
                <w:rFonts w:hint="eastAsia" w:ascii="宋体" w:hAnsi="宋体" w:eastAsia="宋体" w:cs="宋体"/>
                <w:kern w:val="0"/>
                <w:sz w:val="18"/>
                <w:szCs w:val="18"/>
                <w:lang w:val="en-US" w:eastAsia="zh-CN"/>
              </w:rPr>
              <w:t>分</w:t>
            </w:r>
            <w:r>
              <w:rPr>
                <w:rFonts w:hint="eastAsia" w:ascii="宋体" w:hAnsi="宋体" w:eastAsia="宋体" w:cs="宋体"/>
                <w:kern w:val="0"/>
                <w:sz w:val="18"/>
                <w:szCs w:val="18"/>
              </w:rPr>
              <w:t>）</w:t>
            </w:r>
          </w:p>
        </w:tc>
        <w:tc>
          <w:tcPr>
            <w:tcW w:w="1590" w:type="dxa"/>
            <w:gridSpan w:val="2"/>
            <w:tcBorders>
              <w:top w:val="single" w:color="auto" w:sz="4" w:space="0"/>
              <w:left w:val="nil"/>
              <w:bottom w:val="single" w:color="auto" w:sz="4" w:space="0"/>
              <w:right w:val="single" w:color="auto" w:sz="4" w:space="0"/>
            </w:tcBorders>
            <w:noWrap w:val="0"/>
            <w:vAlign w:val="center"/>
          </w:tcPr>
          <w:p>
            <w:pPr>
              <w:widowControl/>
              <w:suppressAutoHyphen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养护</w:t>
            </w:r>
            <w:r>
              <w:rPr>
                <w:rFonts w:hint="eastAsia" w:ascii="宋体" w:hAnsi="宋体" w:eastAsia="宋体" w:cs="宋体"/>
                <w:color w:val="000000"/>
                <w:kern w:val="0"/>
                <w:sz w:val="18"/>
                <w:szCs w:val="18"/>
              </w:rPr>
              <w:t>河道长度</w:t>
            </w:r>
            <w:r>
              <w:rPr>
                <w:rFonts w:hint="eastAsia" w:ascii="宋体" w:hAnsi="宋体" w:eastAsia="宋体" w:cs="宋体"/>
                <w:color w:val="000000"/>
                <w:kern w:val="0"/>
                <w:sz w:val="18"/>
                <w:szCs w:val="18"/>
                <w:lang w:val="en-US" w:eastAsia="zh-CN"/>
              </w:rPr>
              <w:t>91.6</w:t>
            </w:r>
            <w:r>
              <w:rPr>
                <w:rFonts w:hint="eastAsia" w:ascii="宋体" w:hAnsi="宋体" w:eastAsia="宋体" w:cs="宋体"/>
                <w:color w:val="000000"/>
                <w:kern w:val="0"/>
                <w:sz w:val="18"/>
                <w:szCs w:val="18"/>
              </w:rPr>
              <w:t>公里</w:t>
            </w:r>
          </w:p>
        </w:tc>
        <w:tc>
          <w:tcPr>
            <w:tcW w:w="1613" w:type="dxa"/>
            <w:tcBorders>
              <w:top w:val="single" w:color="auto" w:sz="4" w:space="0"/>
              <w:left w:val="nil"/>
              <w:bottom w:val="single" w:color="auto" w:sz="4" w:space="0"/>
              <w:right w:val="single" w:color="auto" w:sz="4" w:space="0"/>
            </w:tcBorders>
            <w:noWrap w:val="0"/>
            <w:vAlign w:val="center"/>
          </w:tcPr>
          <w:p>
            <w:pPr>
              <w:widowControl/>
              <w:suppressAutoHyphen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91.6</w:t>
            </w:r>
            <w:r>
              <w:rPr>
                <w:rFonts w:hint="eastAsia" w:ascii="宋体" w:hAnsi="宋体" w:eastAsia="宋体" w:cs="宋体"/>
                <w:color w:val="000000"/>
                <w:kern w:val="0"/>
                <w:sz w:val="18"/>
                <w:szCs w:val="18"/>
              </w:rPr>
              <w:t>公里河道进行养护，沟坡无垃圾、杂草、杂物，河面无漂浮垃圾。</w:t>
            </w:r>
          </w:p>
        </w:tc>
        <w:tc>
          <w:tcPr>
            <w:tcW w:w="1410" w:type="dxa"/>
            <w:gridSpan w:val="2"/>
            <w:tcBorders>
              <w:top w:val="single" w:color="auto" w:sz="4" w:space="0"/>
              <w:left w:val="nil"/>
              <w:bottom w:val="single" w:color="auto" w:sz="4" w:space="0"/>
              <w:right w:val="single" w:color="auto" w:sz="4" w:space="0"/>
            </w:tcBorders>
            <w:noWrap w:val="0"/>
            <w:vAlign w:val="center"/>
          </w:tcPr>
          <w:p>
            <w:pPr>
              <w:widowControl/>
              <w:suppressAutoHyphen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91.6</w:t>
            </w:r>
            <w:r>
              <w:rPr>
                <w:rFonts w:hint="eastAsia" w:ascii="宋体" w:hAnsi="宋体" w:eastAsia="宋体" w:cs="宋体"/>
                <w:color w:val="000000"/>
                <w:kern w:val="0"/>
                <w:sz w:val="18"/>
                <w:szCs w:val="18"/>
              </w:rPr>
              <w:t>公里河道进行养护，沟坡无垃圾、杂草、杂物，河面无漂浮垃圾。</w:t>
            </w:r>
          </w:p>
        </w:tc>
        <w:tc>
          <w:tcPr>
            <w:tcW w:w="56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5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109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75"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60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3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590" w:type="dxa"/>
            <w:gridSpan w:val="2"/>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维护</w:t>
            </w:r>
            <w:r>
              <w:rPr>
                <w:rFonts w:hint="eastAsia" w:ascii="宋体" w:hAnsi="宋体" w:eastAsia="宋体" w:cs="宋体"/>
                <w:color w:val="000000"/>
                <w:kern w:val="0"/>
                <w:sz w:val="18"/>
                <w:szCs w:val="18"/>
              </w:rPr>
              <w:t>提升泵站数量</w:t>
            </w:r>
            <w:r>
              <w:rPr>
                <w:rFonts w:hint="eastAsia" w:ascii="宋体" w:hAnsi="宋体" w:eastAsia="宋体" w:cs="宋体"/>
                <w:color w:val="000000"/>
                <w:kern w:val="0"/>
                <w:sz w:val="18"/>
                <w:szCs w:val="18"/>
                <w:lang w:val="en-US" w:eastAsia="zh-CN"/>
              </w:rPr>
              <w:t>28座</w:t>
            </w:r>
          </w:p>
        </w:tc>
        <w:tc>
          <w:tcPr>
            <w:tcW w:w="1613" w:type="dxa"/>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泵站</w:t>
            </w:r>
            <w:r>
              <w:rPr>
                <w:rFonts w:hint="eastAsia" w:ascii="宋体" w:hAnsi="宋体" w:eastAsia="宋体" w:cs="宋体"/>
                <w:color w:val="000000"/>
                <w:kern w:val="0"/>
                <w:sz w:val="18"/>
                <w:szCs w:val="18"/>
                <w:lang w:val="en-US" w:eastAsia="zh-CN"/>
              </w:rPr>
              <w:t>28</w:t>
            </w:r>
            <w:r>
              <w:rPr>
                <w:rFonts w:hint="eastAsia" w:ascii="宋体" w:hAnsi="宋体" w:eastAsia="宋体" w:cs="宋体"/>
                <w:color w:val="000000"/>
                <w:kern w:val="0"/>
                <w:sz w:val="18"/>
                <w:szCs w:val="18"/>
              </w:rPr>
              <w:t>座</w:t>
            </w:r>
          </w:p>
        </w:tc>
        <w:tc>
          <w:tcPr>
            <w:tcW w:w="1410" w:type="dxa"/>
            <w:gridSpan w:val="2"/>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泵站</w:t>
            </w:r>
            <w:r>
              <w:rPr>
                <w:rFonts w:hint="eastAsia" w:ascii="宋体" w:hAnsi="宋体" w:eastAsia="宋体" w:cs="宋体"/>
                <w:color w:val="000000"/>
                <w:kern w:val="0"/>
                <w:sz w:val="18"/>
                <w:szCs w:val="18"/>
                <w:lang w:val="en-US" w:eastAsia="zh-CN"/>
              </w:rPr>
              <w:t>28</w:t>
            </w:r>
            <w:r>
              <w:rPr>
                <w:rFonts w:hint="eastAsia" w:ascii="宋体" w:hAnsi="宋体" w:eastAsia="宋体" w:cs="宋体"/>
                <w:color w:val="000000"/>
                <w:kern w:val="0"/>
                <w:sz w:val="18"/>
                <w:szCs w:val="18"/>
              </w:rPr>
              <w:t>座</w:t>
            </w:r>
          </w:p>
        </w:tc>
        <w:tc>
          <w:tcPr>
            <w:tcW w:w="56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5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109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643"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60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3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590" w:type="dxa"/>
            <w:gridSpan w:val="2"/>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维护</w:t>
            </w:r>
            <w:r>
              <w:rPr>
                <w:rFonts w:hint="eastAsia" w:ascii="宋体" w:hAnsi="宋体" w:eastAsia="宋体" w:cs="宋体"/>
                <w:color w:val="000000"/>
                <w:kern w:val="0"/>
                <w:sz w:val="18"/>
                <w:szCs w:val="18"/>
              </w:rPr>
              <w:t>管线</w:t>
            </w:r>
            <w:r>
              <w:rPr>
                <w:rFonts w:hint="eastAsia" w:ascii="宋体" w:hAnsi="宋体" w:eastAsia="宋体" w:cs="宋体"/>
                <w:color w:val="000000"/>
                <w:kern w:val="0"/>
                <w:sz w:val="18"/>
                <w:szCs w:val="18"/>
                <w:lang w:val="en-US" w:eastAsia="zh-CN"/>
              </w:rPr>
              <w:t>长度122.86公里</w:t>
            </w:r>
          </w:p>
        </w:tc>
        <w:tc>
          <w:tcPr>
            <w:tcW w:w="1613" w:type="dxa"/>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122.86</w:t>
            </w:r>
            <w:r>
              <w:rPr>
                <w:rFonts w:hint="eastAsia" w:ascii="宋体" w:hAnsi="宋体" w:eastAsia="宋体" w:cs="宋体"/>
                <w:color w:val="000000"/>
                <w:kern w:val="0"/>
                <w:sz w:val="18"/>
                <w:szCs w:val="18"/>
              </w:rPr>
              <w:t>公里</w:t>
            </w:r>
          </w:p>
        </w:tc>
        <w:tc>
          <w:tcPr>
            <w:tcW w:w="1410" w:type="dxa"/>
            <w:gridSpan w:val="2"/>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122.86</w:t>
            </w:r>
            <w:r>
              <w:rPr>
                <w:rFonts w:hint="eastAsia" w:ascii="宋体" w:hAnsi="宋体" w:eastAsia="宋体" w:cs="宋体"/>
                <w:color w:val="000000"/>
                <w:kern w:val="0"/>
                <w:sz w:val="18"/>
                <w:szCs w:val="18"/>
              </w:rPr>
              <w:t>公里</w:t>
            </w:r>
          </w:p>
        </w:tc>
        <w:tc>
          <w:tcPr>
            <w:tcW w:w="56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5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109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652"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60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35"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质量指标（</w:t>
            </w:r>
            <w:r>
              <w:rPr>
                <w:rFonts w:hint="eastAsia" w:ascii="宋体" w:hAnsi="宋体" w:eastAsia="宋体" w:cs="宋体"/>
                <w:kern w:val="0"/>
                <w:sz w:val="18"/>
                <w:szCs w:val="18"/>
                <w:lang w:val="en-US" w:eastAsia="zh-CN"/>
              </w:rPr>
              <w:t>20分</w:t>
            </w:r>
            <w:r>
              <w:rPr>
                <w:rFonts w:hint="eastAsia" w:ascii="宋体" w:hAnsi="宋体" w:eastAsia="宋体" w:cs="宋体"/>
                <w:kern w:val="0"/>
                <w:sz w:val="18"/>
                <w:szCs w:val="18"/>
              </w:rPr>
              <w:t>）</w:t>
            </w:r>
          </w:p>
        </w:tc>
        <w:tc>
          <w:tcPr>
            <w:tcW w:w="1590" w:type="dxa"/>
            <w:gridSpan w:val="2"/>
            <w:tcBorders>
              <w:top w:val="single" w:color="auto" w:sz="4" w:space="0"/>
              <w:left w:val="nil"/>
              <w:bottom w:val="single" w:color="auto" w:sz="4" w:space="0"/>
              <w:right w:val="single" w:color="auto" w:sz="4" w:space="0"/>
            </w:tcBorders>
            <w:noWrap w:val="0"/>
            <w:vAlign w:val="center"/>
          </w:tcPr>
          <w:p>
            <w:pPr>
              <w:widowControl/>
              <w:suppressAutoHyphen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河道设施功能齐全</w:t>
            </w:r>
          </w:p>
        </w:tc>
        <w:tc>
          <w:tcPr>
            <w:tcW w:w="1613" w:type="dxa"/>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河道边坡未出现水毁</w:t>
            </w:r>
          </w:p>
        </w:tc>
        <w:tc>
          <w:tcPr>
            <w:tcW w:w="1410" w:type="dxa"/>
            <w:gridSpan w:val="2"/>
            <w:tcBorders>
              <w:top w:val="single" w:color="auto" w:sz="4" w:space="0"/>
              <w:left w:val="nil"/>
              <w:bottom w:val="single" w:color="auto" w:sz="4" w:space="0"/>
              <w:right w:val="single" w:color="auto" w:sz="4" w:space="0"/>
            </w:tcBorders>
            <w:noWrap w:val="0"/>
            <w:vAlign w:val="center"/>
          </w:tcPr>
          <w:p>
            <w:pPr>
              <w:widowControl/>
              <w:suppressAutoHyphens w:val="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河道设施功能齐全</w:t>
            </w:r>
          </w:p>
        </w:tc>
        <w:tc>
          <w:tcPr>
            <w:tcW w:w="56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5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109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1852"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60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35" w:type="dxa"/>
            <w:vMerge w:val="continue"/>
            <w:tcBorders>
              <w:left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590" w:type="dxa"/>
            <w:gridSpan w:val="2"/>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河道水质监测达标</w:t>
            </w:r>
          </w:p>
        </w:tc>
        <w:tc>
          <w:tcPr>
            <w:tcW w:w="1613" w:type="dxa"/>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各沟渠水质达标，各项指标均在《城市黑臭水体整治工作指南》要求黑臭指标控制标准之内</w:t>
            </w:r>
          </w:p>
        </w:tc>
        <w:tc>
          <w:tcPr>
            <w:tcW w:w="1410" w:type="dxa"/>
            <w:gridSpan w:val="2"/>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河道水质监测达标</w:t>
            </w:r>
          </w:p>
        </w:tc>
        <w:tc>
          <w:tcPr>
            <w:tcW w:w="56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sz w:val="18"/>
                <w:szCs w:val="18"/>
                <w:lang w:eastAsia="zh-CN"/>
              </w:rPr>
            </w:pPr>
            <w:r>
              <w:rPr>
                <w:rFonts w:hint="eastAsia" w:ascii="宋体" w:hAnsi="宋体" w:eastAsia="宋体" w:cs="宋体"/>
                <w:kern w:val="0"/>
                <w:sz w:val="18"/>
                <w:szCs w:val="18"/>
                <w:lang w:val="en-US" w:eastAsia="zh-CN"/>
              </w:rPr>
              <w:t>5</w:t>
            </w:r>
          </w:p>
        </w:tc>
        <w:tc>
          <w:tcPr>
            <w:tcW w:w="5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sz w:val="18"/>
                <w:szCs w:val="18"/>
                <w:lang w:eastAsia="zh-CN"/>
              </w:rPr>
            </w:pPr>
            <w:r>
              <w:rPr>
                <w:rFonts w:hint="eastAsia" w:ascii="宋体" w:hAnsi="宋体" w:eastAsia="宋体" w:cs="宋体"/>
                <w:kern w:val="0"/>
                <w:sz w:val="18"/>
                <w:szCs w:val="18"/>
                <w:lang w:val="en-US" w:eastAsia="zh-CN"/>
              </w:rPr>
              <w:t>5</w:t>
            </w:r>
          </w:p>
        </w:tc>
        <w:tc>
          <w:tcPr>
            <w:tcW w:w="109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909"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60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35" w:type="dxa"/>
            <w:vMerge w:val="continue"/>
            <w:tcBorders>
              <w:left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590" w:type="dxa"/>
            <w:gridSpan w:val="2"/>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截污管线及检查井等设施完好</w:t>
            </w:r>
          </w:p>
        </w:tc>
        <w:tc>
          <w:tcPr>
            <w:tcW w:w="1613" w:type="dxa"/>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截污管线未淤堵检查井设施完好</w:t>
            </w:r>
          </w:p>
        </w:tc>
        <w:tc>
          <w:tcPr>
            <w:tcW w:w="1410" w:type="dxa"/>
            <w:gridSpan w:val="2"/>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截污管线及检查井等设施完好（25%）</w:t>
            </w:r>
          </w:p>
        </w:tc>
        <w:tc>
          <w:tcPr>
            <w:tcW w:w="56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sz w:val="18"/>
                <w:szCs w:val="18"/>
                <w:lang w:eastAsia="zh-CN"/>
              </w:rPr>
            </w:pPr>
            <w:r>
              <w:rPr>
                <w:rFonts w:hint="eastAsia" w:ascii="宋体" w:hAnsi="宋体" w:eastAsia="宋体" w:cs="宋体"/>
                <w:kern w:val="0"/>
                <w:sz w:val="18"/>
                <w:szCs w:val="18"/>
                <w:lang w:val="en-US" w:eastAsia="zh-CN"/>
              </w:rPr>
              <w:t>5</w:t>
            </w:r>
          </w:p>
        </w:tc>
        <w:tc>
          <w:tcPr>
            <w:tcW w:w="5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sz w:val="18"/>
                <w:szCs w:val="18"/>
                <w:lang w:eastAsia="zh-CN"/>
              </w:rPr>
            </w:pPr>
            <w:r>
              <w:rPr>
                <w:rFonts w:hint="eastAsia" w:ascii="宋体" w:hAnsi="宋体" w:eastAsia="宋体" w:cs="宋体"/>
                <w:kern w:val="0"/>
                <w:sz w:val="18"/>
                <w:szCs w:val="18"/>
                <w:lang w:val="en-US" w:eastAsia="zh-CN"/>
              </w:rPr>
              <w:t>5</w:t>
            </w:r>
          </w:p>
        </w:tc>
        <w:tc>
          <w:tcPr>
            <w:tcW w:w="109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102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60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35"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590" w:type="dxa"/>
            <w:gridSpan w:val="2"/>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提升泵站全年收水正常，设备运营正常</w:t>
            </w:r>
          </w:p>
        </w:tc>
        <w:tc>
          <w:tcPr>
            <w:tcW w:w="1613" w:type="dxa"/>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泵站功能设施完善</w:t>
            </w:r>
          </w:p>
        </w:tc>
        <w:tc>
          <w:tcPr>
            <w:tcW w:w="1410" w:type="dxa"/>
            <w:gridSpan w:val="2"/>
            <w:tcBorders>
              <w:top w:val="single" w:color="auto" w:sz="4" w:space="0"/>
              <w:left w:val="nil"/>
              <w:bottom w:val="single" w:color="auto" w:sz="4" w:space="0"/>
              <w:right w:val="single" w:color="auto" w:sz="4" w:space="0"/>
            </w:tcBorders>
            <w:noWrap w:val="0"/>
            <w:vAlign w:val="center"/>
          </w:tcPr>
          <w:p>
            <w:pPr>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提升泵站全年收水正常，设备运营正常（25%）</w:t>
            </w:r>
          </w:p>
        </w:tc>
        <w:tc>
          <w:tcPr>
            <w:tcW w:w="56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sz w:val="18"/>
                <w:szCs w:val="18"/>
                <w:lang w:eastAsia="zh-CN"/>
              </w:rPr>
            </w:pPr>
            <w:r>
              <w:rPr>
                <w:rFonts w:hint="eastAsia" w:ascii="宋体" w:hAnsi="宋体" w:eastAsia="宋体" w:cs="宋体"/>
                <w:kern w:val="0"/>
                <w:sz w:val="18"/>
                <w:szCs w:val="18"/>
                <w:lang w:val="en-US" w:eastAsia="zh-CN"/>
              </w:rPr>
              <w:t>5</w:t>
            </w:r>
          </w:p>
        </w:tc>
        <w:tc>
          <w:tcPr>
            <w:tcW w:w="5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sz w:val="18"/>
                <w:szCs w:val="18"/>
                <w:lang w:eastAsia="zh-CN"/>
              </w:rPr>
            </w:pPr>
            <w:r>
              <w:rPr>
                <w:rFonts w:hint="eastAsia" w:ascii="宋体" w:hAnsi="宋体" w:eastAsia="宋体" w:cs="宋体"/>
                <w:kern w:val="0"/>
                <w:sz w:val="18"/>
                <w:szCs w:val="18"/>
                <w:lang w:val="en-US" w:eastAsia="zh-CN"/>
              </w:rPr>
              <w:t>5</w:t>
            </w:r>
          </w:p>
        </w:tc>
        <w:tc>
          <w:tcPr>
            <w:tcW w:w="109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809"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60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3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成本指标（</w:t>
            </w:r>
            <w:r>
              <w:rPr>
                <w:rFonts w:hint="eastAsia" w:ascii="宋体" w:hAnsi="宋体" w:eastAsia="宋体" w:cs="宋体"/>
                <w:kern w:val="0"/>
                <w:sz w:val="18"/>
                <w:szCs w:val="18"/>
                <w:lang w:val="en-US" w:eastAsia="zh-CN"/>
              </w:rPr>
              <w:t>15分</w:t>
            </w:r>
            <w:r>
              <w:rPr>
                <w:rFonts w:hint="eastAsia" w:ascii="宋体" w:hAnsi="宋体" w:eastAsia="宋体" w:cs="宋体"/>
                <w:kern w:val="0"/>
                <w:sz w:val="18"/>
                <w:szCs w:val="18"/>
              </w:rPr>
              <w:t>）</w:t>
            </w:r>
          </w:p>
        </w:tc>
        <w:tc>
          <w:tcPr>
            <w:tcW w:w="1590" w:type="dxa"/>
            <w:gridSpan w:val="2"/>
            <w:vMerge w:val="restart"/>
            <w:tcBorders>
              <w:top w:val="single" w:color="auto" w:sz="4" w:space="0"/>
              <w:left w:val="nil"/>
              <w:right w:val="single" w:color="auto" w:sz="4" w:space="0"/>
            </w:tcBorders>
            <w:noWrap w:val="0"/>
            <w:vAlign w:val="center"/>
          </w:tcPr>
          <w:p>
            <w:pPr>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613"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不超过结算审定确定的基准值</w:t>
            </w:r>
          </w:p>
        </w:tc>
        <w:tc>
          <w:tcPr>
            <w:tcW w:w="14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不超过结算审定确定的基准值</w:t>
            </w:r>
          </w:p>
        </w:tc>
        <w:tc>
          <w:tcPr>
            <w:tcW w:w="56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09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719"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60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3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590" w:type="dxa"/>
            <w:gridSpan w:val="2"/>
            <w:vMerge w:val="continue"/>
            <w:tcBorders>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rPr>
            </w:pPr>
          </w:p>
        </w:tc>
        <w:tc>
          <w:tcPr>
            <w:tcW w:w="1613"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全年预算总额</w:t>
            </w:r>
            <w:r>
              <w:rPr>
                <w:rFonts w:hint="eastAsia" w:ascii="宋体" w:hAnsi="宋体" w:eastAsia="宋体" w:cs="宋体"/>
                <w:color w:val="000000"/>
                <w:kern w:val="0"/>
                <w:sz w:val="18"/>
                <w:szCs w:val="18"/>
                <w:lang w:val="en-US" w:eastAsia="zh-CN"/>
              </w:rPr>
              <w:t>4406.42</w:t>
            </w:r>
            <w:r>
              <w:rPr>
                <w:rFonts w:hint="eastAsia" w:ascii="宋体" w:hAnsi="宋体" w:eastAsia="宋体" w:cs="宋体"/>
                <w:color w:val="000000"/>
                <w:kern w:val="0"/>
                <w:sz w:val="18"/>
                <w:szCs w:val="18"/>
              </w:rPr>
              <w:t>万</w:t>
            </w:r>
          </w:p>
        </w:tc>
        <w:tc>
          <w:tcPr>
            <w:tcW w:w="14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全年预算</w:t>
            </w:r>
            <w:r>
              <w:rPr>
                <w:rFonts w:hint="eastAsia" w:ascii="宋体" w:hAnsi="宋体" w:eastAsia="宋体" w:cs="宋体"/>
                <w:color w:val="000000"/>
                <w:kern w:val="0"/>
                <w:sz w:val="18"/>
                <w:szCs w:val="18"/>
                <w:lang w:val="en-US" w:eastAsia="zh-CN"/>
              </w:rPr>
              <w:t>控制在</w:t>
            </w:r>
            <w:r>
              <w:rPr>
                <w:rFonts w:hint="eastAsia" w:ascii="宋体" w:hAnsi="宋体" w:eastAsia="宋体" w:cs="宋体"/>
                <w:color w:val="000000"/>
                <w:kern w:val="0"/>
                <w:sz w:val="18"/>
                <w:szCs w:val="18"/>
              </w:rPr>
              <w:t>总额</w:t>
            </w:r>
            <w:r>
              <w:rPr>
                <w:rFonts w:hint="eastAsia" w:ascii="宋体" w:hAnsi="宋体" w:eastAsia="宋体" w:cs="宋体"/>
                <w:color w:val="000000"/>
                <w:kern w:val="0"/>
                <w:sz w:val="18"/>
                <w:szCs w:val="18"/>
                <w:lang w:val="en-US" w:eastAsia="zh-CN"/>
              </w:rPr>
              <w:t>4406.42</w:t>
            </w:r>
            <w:r>
              <w:rPr>
                <w:rFonts w:hint="eastAsia" w:ascii="宋体" w:hAnsi="宋体" w:eastAsia="宋体" w:cs="宋体"/>
                <w:color w:val="000000"/>
                <w:kern w:val="0"/>
                <w:sz w:val="18"/>
                <w:szCs w:val="18"/>
              </w:rPr>
              <w:t>万</w:t>
            </w:r>
            <w:r>
              <w:rPr>
                <w:rFonts w:hint="eastAsia" w:ascii="宋体" w:hAnsi="宋体" w:eastAsia="宋体" w:cs="宋体"/>
                <w:color w:val="000000"/>
                <w:kern w:val="0"/>
                <w:sz w:val="18"/>
                <w:szCs w:val="18"/>
                <w:lang w:val="en-US" w:eastAsia="zh-CN"/>
              </w:rPr>
              <w:t>以内</w:t>
            </w:r>
          </w:p>
        </w:tc>
        <w:tc>
          <w:tcPr>
            <w:tcW w:w="56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5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109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995"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604" w:type="dxa"/>
            <w:vMerge w:val="continue"/>
            <w:tcBorders>
              <w:left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35" w:type="dxa"/>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指标</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10分</w:t>
            </w:r>
            <w:r>
              <w:rPr>
                <w:rFonts w:hint="eastAsia" w:ascii="宋体" w:hAnsi="宋体" w:eastAsia="宋体" w:cs="宋体"/>
                <w:kern w:val="0"/>
                <w:sz w:val="18"/>
                <w:szCs w:val="18"/>
                <w:lang w:eastAsia="zh-CN"/>
              </w:rPr>
              <w:t>）</w:t>
            </w:r>
          </w:p>
        </w:tc>
        <w:tc>
          <w:tcPr>
            <w:tcW w:w="1590" w:type="dxa"/>
            <w:gridSpan w:val="2"/>
            <w:tcBorders>
              <w:top w:val="single" w:color="auto" w:sz="4" w:space="0"/>
              <w:left w:val="nil"/>
              <w:right w:val="single" w:color="auto" w:sz="4" w:space="0"/>
            </w:tcBorders>
            <w:noWrap w:val="0"/>
            <w:vAlign w:val="center"/>
          </w:tcPr>
          <w:p>
            <w:pPr>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社会效益</w:t>
            </w:r>
          </w:p>
        </w:tc>
        <w:tc>
          <w:tcPr>
            <w:tcW w:w="1613" w:type="dxa"/>
            <w:tcBorders>
              <w:top w:val="single" w:color="auto" w:sz="4" w:space="0"/>
              <w:left w:val="nil"/>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cs="宋体"/>
                <w:color w:val="000000"/>
                <w:kern w:val="0"/>
                <w:sz w:val="18"/>
                <w:szCs w:val="18"/>
              </w:rPr>
              <w:t>实现运维范围内黑臭水体长治久清。</w:t>
            </w:r>
          </w:p>
        </w:tc>
        <w:tc>
          <w:tcPr>
            <w:tcW w:w="1410" w:type="dxa"/>
            <w:gridSpan w:val="2"/>
            <w:tcBorders>
              <w:top w:val="single" w:color="auto" w:sz="4" w:space="0"/>
              <w:left w:val="nil"/>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cs="宋体"/>
                <w:color w:val="000000"/>
                <w:kern w:val="0"/>
                <w:sz w:val="18"/>
                <w:szCs w:val="18"/>
              </w:rPr>
              <w:t>实现运维范围内黑臭水体长治久清。</w:t>
            </w:r>
          </w:p>
        </w:tc>
        <w:tc>
          <w:tcPr>
            <w:tcW w:w="562" w:type="dxa"/>
            <w:tcBorders>
              <w:top w:val="single" w:color="auto" w:sz="4" w:space="0"/>
              <w:left w:val="nil"/>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40" w:type="dxa"/>
            <w:gridSpan w:val="2"/>
            <w:tcBorders>
              <w:top w:val="single" w:color="auto" w:sz="4" w:space="0"/>
              <w:left w:val="nil"/>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09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47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604" w:type="dxa"/>
            <w:vMerge w:val="continue"/>
            <w:tcBorders>
              <w:left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r>
              <w:rPr>
                <w:rFonts w:hint="eastAsia" w:ascii="宋体" w:hAnsi="宋体" w:eastAsia="宋体" w:cs="宋体"/>
                <w:kern w:val="0"/>
                <w:sz w:val="18"/>
                <w:szCs w:val="18"/>
                <w:lang w:val="en-US" w:eastAsia="zh-CN"/>
              </w:rPr>
              <w:t>5分</w:t>
            </w:r>
            <w:r>
              <w:rPr>
                <w:rFonts w:hint="eastAsia" w:ascii="宋体" w:hAnsi="宋体" w:eastAsia="宋体" w:cs="宋体"/>
                <w:kern w:val="0"/>
                <w:sz w:val="18"/>
                <w:szCs w:val="18"/>
              </w:rPr>
              <w:t>）</w:t>
            </w:r>
          </w:p>
        </w:tc>
        <w:tc>
          <w:tcPr>
            <w:tcW w:w="159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生态效益</w:t>
            </w:r>
          </w:p>
        </w:tc>
        <w:tc>
          <w:tcPr>
            <w:tcW w:w="1613"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kern w:val="0"/>
                <w:sz w:val="18"/>
                <w:szCs w:val="18"/>
              </w:rPr>
            </w:pPr>
            <w:r>
              <w:rPr>
                <w:rFonts w:hint="eastAsia" w:ascii="宋体" w:hAnsi="宋体" w:cs="宋体"/>
                <w:color w:val="000000"/>
                <w:kern w:val="0"/>
                <w:sz w:val="18"/>
                <w:szCs w:val="18"/>
              </w:rPr>
              <w:t>提高本地水环境效益。管线及污水处理站正常运行，污水得到及时收集并有效处理，改善水质。恢复水体的生态功能，为加快副中心周边地区城市化进程和中心城区的产业转移提供良好的生态条件。</w:t>
            </w:r>
          </w:p>
        </w:tc>
        <w:tc>
          <w:tcPr>
            <w:tcW w:w="14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kern w:val="0"/>
                <w:sz w:val="18"/>
                <w:szCs w:val="18"/>
              </w:rPr>
            </w:pPr>
            <w:r>
              <w:rPr>
                <w:rFonts w:hint="eastAsia" w:ascii="宋体" w:hAnsi="宋体" w:cs="宋体"/>
                <w:color w:val="000000"/>
                <w:kern w:val="0"/>
                <w:sz w:val="18"/>
                <w:szCs w:val="18"/>
              </w:rPr>
              <w:t>提高本地水环境效益。管线及污水处理站正常运行，污水得到及时收集并有效处理，改善水质。恢复水体的生态功能，为加快副中心周边地区城市化进程和中心城区的产业转移提供良好的生态条件。</w:t>
            </w:r>
          </w:p>
        </w:tc>
        <w:tc>
          <w:tcPr>
            <w:tcW w:w="56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15</w:t>
            </w:r>
          </w:p>
        </w:tc>
        <w:tc>
          <w:tcPr>
            <w:tcW w:w="5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15</w:t>
            </w:r>
          </w:p>
        </w:tc>
        <w:tc>
          <w:tcPr>
            <w:tcW w:w="109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38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604"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可持续影响指标（</w:t>
            </w:r>
            <w:r>
              <w:rPr>
                <w:rFonts w:hint="eastAsia" w:ascii="宋体" w:hAnsi="宋体" w:eastAsia="宋体" w:cs="宋体"/>
                <w:kern w:val="0"/>
                <w:sz w:val="18"/>
                <w:szCs w:val="18"/>
                <w:lang w:val="en-US" w:eastAsia="zh-CN"/>
              </w:rPr>
              <w:t>5分</w:t>
            </w:r>
            <w:r>
              <w:rPr>
                <w:rFonts w:hint="eastAsia" w:ascii="宋体" w:hAnsi="宋体" w:eastAsia="宋体" w:cs="宋体"/>
                <w:kern w:val="0"/>
                <w:sz w:val="18"/>
                <w:szCs w:val="18"/>
              </w:rPr>
              <w:t>）</w:t>
            </w:r>
          </w:p>
        </w:tc>
        <w:tc>
          <w:tcPr>
            <w:tcW w:w="159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可持续影响</w:t>
            </w:r>
          </w:p>
        </w:tc>
        <w:tc>
          <w:tcPr>
            <w:tcW w:w="161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通过对河道内源及外源控制，为生物的生存繁衍创造适宜的环境。运营期内实现长效管护机制正常运转，持续发挥效益。</w:t>
            </w:r>
          </w:p>
        </w:tc>
        <w:tc>
          <w:tcPr>
            <w:tcW w:w="14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通过对河道内源及外源控制，为生物的生存繁衍创造适宜的环境。运营期内实现长效管护机制正常运转，持续发挥效益。</w:t>
            </w:r>
          </w:p>
        </w:tc>
        <w:tc>
          <w:tcPr>
            <w:tcW w:w="56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09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670"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c>
          <w:tcPr>
            <w:tcW w:w="60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指标（10</w:t>
            </w:r>
            <w:r>
              <w:rPr>
                <w:rFonts w:hint="eastAsia" w:ascii="宋体" w:hAnsi="宋体" w:eastAsia="宋体" w:cs="宋体"/>
                <w:kern w:val="0"/>
                <w:sz w:val="18"/>
                <w:szCs w:val="18"/>
                <w:lang w:val="en-US" w:eastAsia="zh-CN"/>
              </w:rPr>
              <w:t>分</w:t>
            </w:r>
            <w:r>
              <w:rPr>
                <w:rFonts w:hint="eastAsia" w:ascii="宋体" w:hAnsi="宋体" w:eastAsia="宋体" w:cs="宋体"/>
                <w:kern w:val="0"/>
                <w:sz w:val="18"/>
                <w:szCs w:val="18"/>
              </w:rPr>
              <w:t>）</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服务对象满意度标</w:t>
            </w:r>
          </w:p>
        </w:tc>
        <w:tc>
          <w:tcPr>
            <w:tcW w:w="1590"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本年度无公众投诉和新闻媒体的负面报道，区水务局满意度达90%以上。</w:t>
            </w:r>
          </w:p>
        </w:tc>
        <w:tc>
          <w:tcPr>
            <w:tcW w:w="161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≥90%</w:t>
            </w:r>
          </w:p>
        </w:tc>
        <w:tc>
          <w:tcPr>
            <w:tcW w:w="1410"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95%</w:t>
            </w:r>
          </w:p>
        </w:tc>
        <w:tc>
          <w:tcPr>
            <w:tcW w:w="562"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540"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09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77" w:hRule="exact"/>
          <w:jc w:val="center"/>
        </w:trPr>
        <w:tc>
          <w:tcPr>
            <w:tcW w:w="6837"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09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p>
        </w:tc>
      </w:tr>
    </w:tbl>
    <w:p>
      <w:pPr>
        <w:rPr>
          <w:rFonts w:ascii="仿宋_GB2312" w:eastAsia="仿宋_GB2312"/>
          <w:vanish/>
          <w:sz w:val="32"/>
          <w:szCs w:val="32"/>
        </w:rPr>
      </w:pPr>
    </w:p>
    <w:p>
      <w:pPr>
        <w:spacing w:line="600" w:lineRule="exact"/>
        <w:rPr>
          <w:rFonts w:hint="eastAsia"/>
        </w:rPr>
      </w:pPr>
    </w:p>
    <w:sectPr>
      <w:footerReference r:id="rId3" w:type="default"/>
      <w:type w:val="continuous"/>
      <w:pgSz w:w="11906" w:h="16838"/>
      <w:pgMar w:top="1440" w:right="1800" w:bottom="1440" w:left="1800" w:header="720" w:footer="720" w:gutter="0"/>
      <w:pgNumType w:fmt="decimalFullWidt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宋体"/>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6"/>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４</w:t>
                          </w:r>
                          <w:r>
                            <w:rPr>
                              <w:rFonts w:ascii="宋体" w:hAnsi="宋体"/>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pPr>
                      <w:pStyle w:val="6"/>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４</w:t>
                    </w:r>
                    <w:r>
                      <w:rPr>
                        <w:rFonts w:ascii="宋体" w:hAnsi="宋体"/>
                        <w:sz w:val="28"/>
                        <w:szCs w:val="28"/>
                      </w:rPr>
                      <w:fldChar w:fldCharType="end"/>
                    </w:r>
                  </w:p>
                </w:txbxContent>
              </v:textbox>
            </v:shape>
          </w:pict>
        </mc:Fallback>
      </mc:AlternateContent>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0"/>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jZDE0MmVkNzYyMTY2OWY5ZTFjMTMwMWI4MjAzNmUifQ=="/>
  </w:docVars>
  <w:rsids>
    <w:rsidRoot w:val="00A8346E"/>
    <w:rsid w:val="00072D53"/>
    <w:rsid w:val="001205F9"/>
    <w:rsid w:val="002F4A26"/>
    <w:rsid w:val="003D297B"/>
    <w:rsid w:val="00570D8C"/>
    <w:rsid w:val="00624C5C"/>
    <w:rsid w:val="006F2807"/>
    <w:rsid w:val="008F6FCA"/>
    <w:rsid w:val="00A8346E"/>
    <w:rsid w:val="00AB2725"/>
    <w:rsid w:val="00B93F2F"/>
    <w:rsid w:val="00C67FC0"/>
    <w:rsid w:val="00CD612E"/>
    <w:rsid w:val="00E267BC"/>
    <w:rsid w:val="00F523BA"/>
    <w:rsid w:val="00FB286C"/>
    <w:rsid w:val="00FE3933"/>
    <w:rsid w:val="030376E3"/>
    <w:rsid w:val="09D27E0F"/>
    <w:rsid w:val="0E1B1B12"/>
    <w:rsid w:val="11B85B3D"/>
    <w:rsid w:val="12DB6A4C"/>
    <w:rsid w:val="151B4D60"/>
    <w:rsid w:val="16D2144F"/>
    <w:rsid w:val="189270E7"/>
    <w:rsid w:val="1C3404B6"/>
    <w:rsid w:val="1C3C5A5F"/>
    <w:rsid w:val="1CFF349A"/>
    <w:rsid w:val="20CF69FF"/>
    <w:rsid w:val="21110DC5"/>
    <w:rsid w:val="212B00D9"/>
    <w:rsid w:val="2492046F"/>
    <w:rsid w:val="28AA3FD9"/>
    <w:rsid w:val="299A3196"/>
    <w:rsid w:val="2DD85145"/>
    <w:rsid w:val="2FA50776"/>
    <w:rsid w:val="33A37FA3"/>
    <w:rsid w:val="36897924"/>
    <w:rsid w:val="37AE6F16"/>
    <w:rsid w:val="37B7F11A"/>
    <w:rsid w:val="38B0177B"/>
    <w:rsid w:val="38C347DE"/>
    <w:rsid w:val="39627FB8"/>
    <w:rsid w:val="3D0575D8"/>
    <w:rsid w:val="3E7762B4"/>
    <w:rsid w:val="3F1A65A5"/>
    <w:rsid w:val="3FBEC19A"/>
    <w:rsid w:val="3FD634AE"/>
    <w:rsid w:val="426923B8"/>
    <w:rsid w:val="43CF26EE"/>
    <w:rsid w:val="46A30048"/>
    <w:rsid w:val="4EA1287D"/>
    <w:rsid w:val="4FB01626"/>
    <w:rsid w:val="51021669"/>
    <w:rsid w:val="54BA5B2A"/>
    <w:rsid w:val="589A7301"/>
    <w:rsid w:val="59553A4D"/>
    <w:rsid w:val="5B1A64ED"/>
    <w:rsid w:val="5B716BAD"/>
    <w:rsid w:val="5CE45391"/>
    <w:rsid w:val="61A94D45"/>
    <w:rsid w:val="64A47615"/>
    <w:rsid w:val="64D70FAB"/>
    <w:rsid w:val="6A4470E3"/>
    <w:rsid w:val="6EED3343"/>
    <w:rsid w:val="6F1936ED"/>
    <w:rsid w:val="71036841"/>
    <w:rsid w:val="717D0A73"/>
    <w:rsid w:val="72276050"/>
    <w:rsid w:val="76170F90"/>
    <w:rsid w:val="79497308"/>
    <w:rsid w:val="79DD54C5"/>
    <w:rsid w:val="7AE75F94"/>
    <w:rsid w:val="7EA271C7"/>
    <w:rsid w:val="7F431ED6"/>
    <w:rsid w:val="7F592AE6"/>
    <w:rsid w:val="7FF57F6E"/>
    <w:rsid w:val="7FF9D0A8"/>
    <w:rsid w:val="9DDEDA00"/>
    <w:rsid w:val="BBFF1BE9"/>
    <w:rsid w:val="D4FFFE6F"/>
    <w:rsid w:val="DFEBEA7F"/>
    <w:rsid w:val="EE52F388"/>
    <w:rsid w:val="FBFF612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9"/>
    <w:pPr>
      <w:keepNext/>
      <w:keepLines/>
      <w:spacing w:line="360" w:lineRule="auto"/>
      <w:jc w:val="center"/>
      <w:outlineLvl w:val="0"/>
    </w:pPr>
    <w:rPr>
      <w:b/>
      <w:bCs/>
      <w:kern w:val="44"/>
      <w:sz w:val="36"/>
      <w:szCs w:val="44"/>
    </w:rPr>
  </w:style>
  <w:style w:type="character" w:default="1" w:styleId="10">
    <w:name w:val="Default Paragraph Font"/>
    <w:autoRedefine/>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200" w:firstLineChars="200"/>
    </w:pPr>
  </w:style>
  <w:style w:type="paragraph" w:styleId="4">
    <w:name w:val="caption"/>
    <w:basedOn w:val="1"/>
    <w:autoRedefine/>
    <w:qFormat/>
    <w:uiPriority w:val="0"/>
    <w:pPr>
      <w:widowControl w:val="0"/>
      <w:suppressLineNumbers/>
      <w:suppressAutoHyphens/>
      <w:spacing w:before="120" w:after="120"/>
    </w:pPr>
    <w:rPr>
      <w:i/>
      <w:iCs/>
      <w:sz w:val="24"/>
      <w:szCs w:val="24"/>
    </w:rPr>
  </w:style>
  <w:style w:type="paragraph" w:styleId="5">
    <w:name w:val="Body Text"/>
    <w:basedOn w:val="1"/>
    <w:autoRedefine/>
    <w:uiPriority w:val="0"/>
    <w:pPr>
      <w:spacing w:before="0" w:after="140" w:line="276" w:lineRule="auto"/>
    </w:pPr>
  </w:style>
  <w:style w:type="paragraph" w:styleId="6">
    <w:name w:val="footer"/>
    <w:basedOn w:val="1"/>
    <w:autoRedefine/>
    <w:qFormat/>
    <w:uiPriority w:val="99"/>
    <w:pPr>
      <w:tabs>
        <w:tab w:val="center" w:pos="4153"/>
        <w:tab w:val="right" w:pos="8306"/>
      </w:tabs>
      <w:snapToGrid w:val="0"/>
      <w:jc w:val="left"/>
    </w:pPr>
    <w:rPr>
      <w:sz w:val="18"/>
      <w:szCs w:val="20"/>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w:basedOn w:val="5"/>
    <w:qFormat/>
    <w:uiPriority w:val="0"/>
  </w:style>
  <w:style w:type="character" w:customStyle="1" w:styleId="11">
    <w:name w:val="默认段落字体1"/>
    <w:autoRedefine/>
    <w:uiPriority w:val="0"/>
  </w:style>
  <w:style w:type="paragraph" w:customStyle="1" w:styleId="12">
    <w:name w:val="Index"/>
    <w:basedOn w:val="1"/>
    <w:autoRedefine/>
    <w:qFormat/>
    <w:uiPriority w:val="0"/>
    <w:pPr>
      <w:widowControl w:val="0"/>
      <w:suppressLineNumbers/>
      <w:suppressAutoHyphens/>
    </w:pPr>
  </w:style>
  <w:style w:type="paragraph" w:customStyle="1" w:styleId="13">
    <w:name w:val="Heading"/>
    <w:basedOn w:val="1"/>
    <w:next w:val="5"/>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376</Words>
  <Characters>2145</Characters>
  <Lines>17</Lines>
  <Paragraphs>5</Paragraphs>
  <TotalTime>4</TotalTime>
  <ScaleCrop>false</ScaleCrop>
  <LinksUpToDate>false</LinksUpToDate>
  <CharactersWithSpaces>2516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2022-07-05T23:52:00Z</dcterms:created>
  <dc:creator>user</dc:creator>
  <cp:lastModifiedBy>Administrator</cp:lastModifiedBy>
  <cp:lastPrinted>2024-05-09T08:54:18Z</cp:lastPrinted>
  <dcterms:modified xsi:type="dcterms:W3CDTF">2024-05-09T08:54:36Z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DADAC42AAE37484987EB068AA428307E_13</vt:lpwstr>
  </property>
</Properties>
</file>