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仿宋_GB2312" w:eastAsia="黑体"/>
          <w:color w:val="auto"/>
          <w:sz w:val="32"/>
          <w:szCs w:val="32"/>
          <w:lang w:val="en-US" w:eastAsia="zh-CN"/>
        </w:rPr>
      </w:pPr>
      <w:r>
        <w:rPr>
          <w:rFonts w:hint="eastAsia" w:ascii="黑体" w:hAnsi="黑体" w:eastAsia="黑体"/>
          <w:color w:val="auto"/>
          <w:sz w:val="32"/>
          <w:szCs w:val="32"/>
        </w:rPr>
        <w:t>附件1</w:t>
      </w:r>
      <w:r>
        <w:rPr>
          <w:rFonts w:hint="eastAsia" w:ascii="黑体" w:hAnsi="黑体" w:eastAsia="黑体"/>
          <w:color w:val="auto"/>
          <w:sz w:val="32"/>
          <w:szCs w:val="32"/>
          <w:lang w:val="en-US" w:eastAsia="zh-CN"/>
        </w:rPr>
        <w:t>-1</w:t>
      </w:r>
    </w:p>
    <w:tbl>
      <w:tblPr>
        <w:tblStyle w:val="6"/>
        <w:tblW w:w="8928" w:type="dxa"/>
        <w:jc w:val="center"/>
        <w:tblLayout w:type="fixed"/>
        <w:tblCellMar>
          <w:top w:w="0" w:type="dxa"/>
          <w:left w:w="108" w:type="dxa"/>
          <w:bottom w:w="0" w:type="dxa"/>
          <w:right w:w="108" w:type="dxa"/>
        </w:tblCellMar>
      </w:tblPr>
      <w:tblGrid>
        <w:gridCol w:w="578"/>
        <w:gridCol w:w="586"/>
        <w:gridCol w:w="1469"/>
        <w:gridCol w:w="511"/>
        <w:gridCol w:w="1170"/>
        <w:gridCol w:w="320"/>
        <w:gridCol w:w="938"/>
        <w:gridCol w:w="848"/>
        <w:gridCol w:w="279"/>
        <w:gridCol w:w="350"/>
        <w:gridCol w:w="344"/>
        <w:gridCol w:w="308"/>
        <w:gridCol w:w="528"/>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noWrap w:val="0"/>
            <w:vAlign w:val="center"/>
          </w:tcPr>
          <w:p>
            <w:pPr>
              <w:widowControl/>
              <w:spacing w:line="500" w:lineRule="exact"/>
              <w:jc w:val="center"/>
              <w:rPr>
                <w:rFonts w:ascii="宋体" w:hAnsi="宋体" w:cs="宋体"/>
                <w:b/>
                <w:bCs/>
                <w:color w:val="auto"/>
                <w:kern w:val="0"/>
                <w:sz w:val="32"/>
                <w:szCs w:val="32"/>
              </w:rPr>
            </w:pPr>
            <w:r>
              <w:rPr>
                <w:rFonts w:hint="eastAsia" w:ascii="宋体" w:hAnsi="宋体" w:cs="宋体"/>
                <w:b/>
                <w:bCs/>
                <w:color w:val="auto"/>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noWrap w:val="0"/>
            <w:vAlign w:val="top"/>
          </w:tcPr>
          <w:p>
            <w:pPr>
              <w:widowControl/>
              <w:jc w:val="center"/>
              <w:rPr>
                <w:rFonts w:ascii="宋体" w:hAnsi="宋体" w:cs="宋体"/>
                <w:color w:val="auto"/>
                <w:kern w:val="0"/>
                <w:sz w:val="22"/>
              </w:rPr>
            </w:pPr>
            <w:r>
              <w:rPr>
                <w:rFonts w:hint="eastAsia" w:ascii="宋体" w:hAnsi="宋体" w:cs="宋体"/>
                <w:color w:val="auto"/>
                <w:kern w:val="0"/>
                <w:sz w:val="22"/>
              </w:rPr>
              <w:t>（</w:t>
            </w:r>
            <w:r>
              <w:rPr>
                <w:rFonts w:hint="eastAsia" w:ascii="宋体" w:hAnsi="宋体" w:cs="宋体"/>
                <w:color w:val="auto"/>
                <w:kern w:val="0"/>
                <w:sz w:val="22"/>
                <w:lang w:val="en-US" w:eastAsia="zh-CN"/>
              </w:rPr>
              <w:t>2023</w:t>
            </w:r>
            <w:r>
              <w:rPr>
                <w:rFonts w:hint="eastAsia" w:ascii="宋体" w:hAnsi="宋体" w:cs="宋体"/>
                <w:color w:val="auto"/>
                <w:kern w:val="0"/>
                <w:sz w:val="22"/>
              </w:rPr>
              <w:t>年度）</w:t>
            </w:r>
          </w:p>
        </w:tc>
      </w:tr>
      <w:tr>
        <w:tblPrEx>
          <w:tblCellMar>
            <w:top w:w="0" w:type="dxa"/>
            <w:left w:w="108" w:type="dxa"/>
            <w:bottom w:w="0" w:type="dxa"/>
            <w:right w:w="108" w:type="dxa"/>
          </w:tblCellMar>
        </w:tblPrEx>
        <w:trPr>
          <w:trHeight w:val="291" w:hRule="exact"/>
          <w:jc w:val="center"/>
        </w:trPr>
        <w:tc>
          <w:tcPr>
            <w:tcW w:w="116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项目名称</w:t>
            </w:r>
          </w:p>
        </w:tc>
        <w:tc>
          <w:tcPr>
            <w:tcW w:w="7764"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北京城市副中心合流制排口汛期对河道水质污染的监测分析与控制方案研究</w:t>
            </w:r>
          </w:p>
        </w:tc>
      </w:tr>
      <w:tr>
        <w:tblPrEx>
          <w:tblCellMar>
            <w:top w:w="0" w:type="dxa"/>
            <w:left w:w="108" w:type="dxa"/>
            <w:bottom w:w="0" w:type="dxa"/>
            <w:right w:w="108" w:type="dxa"/>
          </w:tblCellMar>
        </w:tblPrEx>
        <w:trPr>
          <w:trHeight w:val="291" w:hRule="exact"/>
          <w:jc w:val="center"/>
        </w:trPr>
        <w:tc>
          <w:tcPr>
            <w:tcW w:w="116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主管部门</w:t>
            </w:r>
          </w:p>
        </w:tc>
        <w:tc>
          <w:tcPr>
            <w:tcW w:w="440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eastAsia="zh-CN"/>
              </w:rPr>
              <w:t>北京通州区水务局</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实施单位</w:t>
            </w:r>
          </w:p>
        </w:tc>
        <w:tc>
          <w:tcPr>
            <w:tcW w:w="2229"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eastAsia="zh-CN"/>
              </w:rPr>
              <w:t>供排水管理科</w:t>
            </w:r>
          </w:p>
        </w:tc>
      </w:tr>
      <w:tr>
        <w:tblPrEx>
          <w:tblCellMar>
            <w:top w:w="0" w:type="dxa"/>
            <w:left w:w="108" w:type="dxa"/>
            <w:bottom w:w="0" w:type="dxa"/>
            <w:right w:w="108" w:type="dxa"/>
          </w:tblCellMar>
        </w:tblPrEx>
        <w:trPr>
          <w:trHeight w:val="291" w:hRule="exact"/>
          <w:jc w:val="center"/>
        </w:trPr>
        <w:tc>
          <w:tcPr>
            <w:tcW w:w="1164"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w:t>
            </w:r>
            <w:r>
              <w:rPr>
                <w:rFonts w:ascii="宋体" w:hAnsi="宋体" w:cs="宋体"/>
                <w:color w:val="auto"/>
                <w:kern w:val="0"/>
                <w:sz w:val="18"/>
                <w:szCs w:val="18"/>
              </w:rPr>
              <w:t>负责人</w:t>
            </w:r>
          </w:p>
        </w:tc>
        <w:tc>
          <w:tcPr>
            <w:tcW w:w="440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r>
              <w:rPr>
                <w:rFonts w:hint="eastAsia" w:ascii="宋体" w:hAnsi="宋体" w:cs="宋体"/>
                <w:color w:val="auto"/>
                <w:kern w:val="0"/>
                <w:sz w:val="18"/>
                <w:szCs w:val="18"/>
                <w:lang w:eastAsia="zh-CN"/>
              </w:rPr>
              <w:t>赵媛</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ascii="宋体" w:hAnsi="宋体" w:cs="宋体"/>
                <w:color w:val="auto"/>
                <w:kern w:val="0"/>
                <w:sz w:val="18"/>
                <w:szCs w:val="18"/>
              </w:rPr>
              <w:t>联系电话</w:t>
            </w:r>
          </w:p>
        </w:tc>
        <w:tc>
          <w:tcPr>
            <w:tcW w:w="2229"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80887080</w:t>
            </w:r>
          </w:p>
        </w:tc>
      </w:tr>
      <w:tr>
        <w:tblPrEx>
          <w:tblCellMar>
            <w:top w:w="0" w:type="dxa"/>
            <w:left w:w="108" w:type="dxa"/>
            <w:bottom w:w="0" w:type="dxa"/>
            <w:right w:w="108" w:type="dxa"/>
          </w:tblCellMar>
        </w:tblPrEx>
        <w:trPr>
          <w:trHeight w:val="559" w:hRule="exact"/>
          <w:jc w:val="center"/>
        </w:trPr>
        <w:tc>
          <w:tcPr>
            <w:tcW w:w="1164"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left"/>
              <w:rPr>
                <w:rFonts w:ascii="宋体" w:hAnsi="宋体" w:cs="宋体"/>
                <w:color w:val="auto"/>
                <w:kern w:val="0"/>
                <w:sz w:val="18"/>
                <w:szCs w:val="18"/>
              </w:rPr>
            </w:pPr>
            <w:r>
              <w:rPr>
                <w:rFonts w:hint="eastAsia" w:ascii="宋体" w:hAnsi="宋体" w:cs="宋体"/>
                <w:color w:val="auto"/>
                <w:kern w:val="0"/>
                <w:sz w:val="18"/>
                <w:szCs w:val="18"/>
              </w:rPr>
              <w:t>项目资金（万元）</w:t>
            </w:r>
          </w:p>
        </w:tc>
        <w:tc>
          <w:tcPr>
            <w:tcW w:w="19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7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cs="宋体"/>
                <w:color w:val="auto"/>
                <w:kern w:val="0"/>
                <w:sz w:val="18"/>
                <w:szCs w:val="18"/>
              </w:rPr>
              <w:t>年初</w:t>
            </w:r>
            <w:r>
              <w:rPr>
                <w:rFonts w:hint="eastAsia" w:ascii="宋体" w:hAnsi="宋体" w:cs="宋体"/>
                <w:color w:val="auto"/>
                <w:kern w:val="0"/>
                <w:sz w:val="18"/>
                <w:szCs w:val="18"/>
                <w:lang w:val="en-US" w:eastAsia="zh-CN"/>
              </w:rPr>
              <w:t xml:space="preserve">     </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预算数</w:t>
            </w:r>
          </w:p>
        </w:tc>
        <w:tc>
          <w:tcPr>
            <w:tcW w:w="125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预算数</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执行数</w:t>
            </w:r>
          </w:p>
        </w:tc>
        <w:tc>
          <w:tcPr>
            <w:tcW w:w="69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执行率</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r>
      <w:tr>
        <w:tblPrEx>
          <w:tblCellMar>
            <w:top w:w="0" w:type="dxa"/>
            <w:left w:w="108" w:type="dxa"/>
            <w:bottom w:w="0" w:type="dxa"/>
            <w:right w:w="108" w:type="dxa"/>
          </w:tblCellMar>
        </w:tblPrEx>
        <w:trPr>
          <w:trHeight w:val="291" w:hRule="exact"/>
          <w:jc w:val="center"/>
        </w:trPr>
        <w:tc>
          <w:tcPr>
            <w:tcW w:w="116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9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cs="宋体"/>
                <w:color w:val="auto"/>
                <w:kern w:val="0"/>
                <w:sz w:val="18"/>
                <w:szCs w:val="18"/>
              </w:rPr>
            </w:pPr>
            <w:r>
              <w:rPr>
                <w:rFonts w:hint="eastAsia" w:ascii="宋体" w:hAnsi="宋体" w:cs="宋体"/>
                <w:color w:val="auto"/>
                <w:kern w:val="0"/>
                <w:sz w:val="18"/>
                <w:szCs w:val="18"/>
              </w:rPr>
              <w:t>年度资金总额</w:t>
            </w:r>
          </w:p>
        </w:tc>
        <w:tc>
          <w:tcPr>
            <w:tcW w:w="11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100.000000</w:t>
            </w:r>
          </w:p>
        </w:tc>
        <w:tc>
          <w:tcPr>
            <w:tcW w:w="125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100.000000</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100.000000</w:t>
            </w:r>
          </w:p>
        </w:tc>
        <w:tc>
          <w:tcPr>
            <w:tcW w:w="69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16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9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其中：当年财政拨款</w:t>
            </w:r>
          </w:p>
        </w:tc>
        <w:tc>
          <w:tcPr>
            <w:tcW w:w="11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100.000000</w:t>
            </w:r>
          </w:p>
        </w:tc>
        <w:tc>
          <w:tcPr>
            <w:tcW w:w="125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100.000000</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100.000000</w:t>
            </w:r>
          </w:p>
        </w:tc>
        <w:tc>
          <w:tcPr>
            <w:tcW w:w="69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16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9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上年结转资金</w:t>
            </w:r>
          </w:p>
        </w:tc>
        <w:tc>
          <w:tcPr>
            <w:tcW w:w="117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25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164"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98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其他资金</w:t>
            </w:r>
          </w:p>
        </w:tc>
        <w:tc>
          <w:tcPr>
            <w:tcW w:w="117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258"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年度总体目标</w:t>
            </w:r>
          </w:p>
        </w:tc>
        <w:tc>
          <w:tcPr>
            <w:tcW w:w="499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预期目标</w:t>
            </w:r>
          </w:p>
        </w:tc>
        <w:tc>
          <w:tcPr>
            <w:tcW w:w="335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实际完成情况</w:t>
            </w:r>
          </w:p>
        </w:tc>
      </w:tr>
      <w:tr>
        <w:tblPrEx>
          <w:tblCellMar>
            <w:top w:w="0" w:type="dxa"/>
            <w:left w:w="108" w:type="dxa"/>
            <w:bottom w:w="0" w:type="dxa"/>
            <w:right w:w="108" w:type="dxa"/>
          </w:tblCellMar>
        </w:tblPrEx>
        <w:trPr>
          <w:trHeight w:val="890" w:hRule="exact"/>
          <w:jc w:val="center"/>
        </w:trPr>
        <w:tc>
          <w:tcPr>
            <w:tcW w:w="57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99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eastAsia="zh-CN"/>
              </w:rPr>
            </w:pPr>
            <w:r>
              <w:rPr>
                <w:rFonts w:hint="eastAsia" w:ascii="宋体" w:hAnsi="宋体" w:cs="宋体"/>
                <w:color w:val="auto"/>
                <w:kern w:val="0"/>
                <w:sz w:val="18"/>
                <w:szCs w:val="18"/>
              </w:rPr>
              <w:t>对主要合流制排口汛期污染情况进行监测评价，提交合流制排口污染特征分析报告；提出副中心合流制溢流污染控制标准；提出副中心合流系统改造模式和初步治理方案。</w:t>
            </w:r>
          </w:p>
        </w:tc>
        <w:tc>
          <w:tcPr>
            <w:tcW w:w="335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eastAsia="zh-CN"/>
              </w:rPr>
            </w:pPr>
            <w:r>
              <w:rPr>
                <w:rFonts w:hint="eastAsia" w:ascii="宋体" w:hAnsi="宋体" w:cs="宋体"/>
                <w:color w:val="auto"/>
                <w:kern w:val="0"/>
                <w:sz w:val="18"/>
                <w:szCs w:val="18"/>
                <w:lang w:eastAsia="zh-CN"/>
              </w:rPr>
              <w:t>完成</w:t>
            </w:r>
            <w:r>
              <w:rPr>
                <w:rFonts w:hint="eastAsia" w:ascii="宋体" w:hAnsi="宋体" w:cs="宋体"/>
                <w:color w:val="auto"/>
                <w:kern w:val="0"/>
                <w:sz w:val="18"/>
                <w:szCs w:val="18"/>
              </w:rPr>
              <w:t>治理方案</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绩</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效</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标</w:t>
            </w:r>
          </w:p>
        </w:tc>
        <w:tc>
          <w:tcPr>
            <w:tcW w:w="58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一级指标</w:t>
            </w:r>
          </w:p>
        </w:tc>
        <w:tc>
          <w:tcPr>
            <w:tcW w:w="14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二级指标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三级指标</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指标值</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完成值</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偏差原因分析及改进措施</w:t>
            </w:r>
          </w:p>
        </w:tc>
      </w:tr>
      <w:tr>
        <w:tblPrEx>
          <w:tblCellMar>
            <w:top w:w="0" w:type="dxa"/>
            <w:left w:w="108" w:type="dxa"/>
            <w:bottom w:w="0" w:type="dxa"/>
            <w:right w:w="108" w:type="dxa"/>
          </w:tblCellMar>
        </w:tblPrEx>
        <w:trPr>
          <w:trHeight w:val="617"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86"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469"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rPr>
            </w:pPr>
            <w:r>
              <w:rPr>
                <w:rFonts w:hint="eastAsia" w:ascii="宋体" w:hAnsi="宋体" w:eastAsia="宋体" w:cs="宋体"/>
                <w:color w:val="000000"/>
                <w:kern w:val="0"/>
                <w:sz w:val="18"/>
                <w:szCs w:val="18"/>
              </w:rPr>
              <w:t>副中心合流系统改造模式和治理方案</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治理方案编制</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cs="宋体"/>
                <w:kern w:val="0"/>
                <w:sz w:val="18"/>
                <w:szCs w:val="18"/>
                <w:lang w:val="en-US" w:eastAsia="zh-CN"/>
              </w:rPr>
              <w:t>完成</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eastAsia="宋体" w:cs="宋体"/>
                <w:color w:val="auto"/>
                <w:kern w:val="0"/>
                <w:sz w:val="18"/>
                <w:szCs w:val="18"/>
                <w:lang w:val="en-US" w:eastAsia="zh-CN"/>
              </w:rPr>
              <w:t>15</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eastAsia="宋体" w:cs="宋体"/>
                <w:color w:val="auto"/>
                <w:kern w:val="0"/>
                <w:sz w:val="18"/>
                <w:szCs w:val="18"/>
                <w:lang w:val="en-US" w:eastAsia="zh-CN"/>
              </w:rPr>
              <w:t>15</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032"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469"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lang w:val="en-US" w:eastAsia="zh-CN"/>
              </w:rPr>
            </w:pPr>
            <w:r>
              <w:rPr>
                <w:rFonts w:hint="eastAsia" w:ascii="宋体" w:hAnsi="宋体" w:eastAsia="宋体" w:cs="宋体"/>
                <w:color w:val="000000"/>
                <w:kern w:val="0"/>
                <w:sz w:val="18"/>
                <w:szCs w:val="18"/>
              </w:rPr>
              <w:t>编制报告和方案符合的标准</w:t>
            </w:r>
            <w:r>
              <w:rPr>
                <w:rFonts w:hint="eastAsia" w:ascii="宋体" w:hAnsi="宋体" w:cs="宋体"/>
                <w:color w:val="000000"/>
                <w:kern w:val="0"/>
                <w:sz w:val="18"/>
                <w:szCs w:val="18"/>
                <w:lang w:eastAsia="zh-CN"/>
              </w:rPr>
              <w:t>，成果数据的真实性、可靠性、规范性</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eastAsia="宋体" w:cs="宋体"/>
                <w:kern w:val="0"/>
                <w:sz w:val="18"/>
                <w:szCs w:val="18"/>
              </w:rPr>
              <w:t>数据真实准确符合真实情况求</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cs="宋体"/>
                <w:kern w:val="0"/>
                <w:sz w:val="18"/>
                <w:szCs w:val="18"/>
                <w:lang w:eastAsia="zh-CN"/>
              </w:rPr>
              <w:t>完成</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eastAsia="宋体" w:cs="宋体"/>
                <w:color w:val="auto"/>
                <w:kern w:val="0"/>
                <w:sz w:val="18"/>
                <w:szCs w:val="18"/>
                <w:lang w:val="en-US" w:eastAsia="zh-CN"/>
              </w:rPr>
              <w:t>15</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eastAsia="宋体" w:cs="宋体"/>
                <w:color w:val="auto"/>
                <w:kern w:val="0"/>
                <w:sz w:val="18"/>
                <w:szCs w:val="18"/>
                <w:lang w:val="en-US" w:eastAsia="zh-CN"/>
              </w:rPr>
              <w:t>15</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p>
        </w:tc>
      </w:tr>
      <w:tr>
        <w:tblPrEx>
          <w:tblCellMar>
            <w:top w:w="0" w:type="dxa"/>
            <w:left w:w="108" w:type="dxa"/>
            <w:bottom w:w="0" w:type="dxa"/>
            <w:right w:w="108" w:type="dxa"/>
          </w:tblCellMar>
        </w:tblPrEx>
        <w:trPr>
          <w:trHeight w:val="603"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469"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lang w:eastAsia="zh-CN"/>
              </w:rPr>
            </w:pPr>
            <w:r>
              <w:rPr>
                <w:rFonts w:hint="eastAsia" w:ascii="宋体" w:hAnsi="宋体" w:eastAsia="宋体" w:cs="宋体"/>
                <w:color w:val="000000"/>
                <w:kern w:val="0"/>
                <w:sz w:val="18"/>
                <w:szCs w:val="18"/>
                <w:lang w:val="en-US" w:eastAsia="zh-CN"/>
              </w:rPr>
              <w:t>完成</w:t>
            </w:r>
            <w:r>
              <w:rPr>
                <w:rFonts w:hint="eastAsia" w:ascii="宋体" w:hAnsi="宋体" w:eastAsia="宋体" w:cs="宋体"/>
                <w:color w:val="000000"/>
                <w:kern w:val="0"/>
                <w:sz w:val="18"/>
                <w:szCs w:val="18"/>
              </w:rPr>
              <w:t>治理方案</w:t>
            </w:r>
            <w:r>
              <w:rPr>
                <w:rFonts w:hint="eastAsia" w:ascii="宋体" w:hAnsi="宋体" w:cs="宋体"/>
                <w:color w:val="000000"/>
                <w:kern w:val="0"/>
                <w:sz w:val="18"/>
                <w:szCs w:val="18"/>
                <w:lang w:eastAsia="zh-CN"/>
              </w:rPr>
              <w:t>编制</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cs="宋体"/>
                <w:kern w:val="0"/>
                <w:sz w:val="18"/>
                <w:szCs w:val="18"/>
                <w:lang w:eastAsia="zh-CN"/>
              </w:rPr>
              <w:t>按期完成</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eastAsia="宋体" w:cs="宋体"/>
                <w:color w:val="auto"/>
                <w:kern w:val="0"/>
                <w:sz w:val="18"/>
                <w:szCs w:val="18"/>
                <w:lang w:val="en-US" w:eastAsia="zh-CN"/>
              </w:rPr>
              <w:t>完成</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eastAsia="宋体" w:cs="宋体"/>
                <w:color w:val="auto"/>
                <w:kern w:val="0"/>
                <w:sz w:val="18"/>
                <w:szCs w:val="18"/>
                <w:lang w:val="en-US" w:eastAsia="zh-CN"/>
              </w:rPr>
              <w:t>10</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eastAsia="宋体" w:cs="宋体"/>
                <w:color w:val="auto"/>
                <w:kern w:val="0"/>
                <w:sz w:val="18"/>
                <w:szCs w:val="18"/>
                <w:lang w:val="en-US" w:eastAsia="zh-CN"/>
              </w:rPr>
              <w:t>10</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val="en-US" w:eastAsia="zh-CN" w:bidi="ar-SA"/>
              </w:rPr>
            </w:pPr>
          </w:p>
        </w:tc>
      </w:tr>
      <w:tr>
        <w:tblPrEx>
          <w:tblCellMar>
            <w:top w:w="0" w:type="dxa"/>
            <w:left w:w="108" w:type="dxa"/>
            <w:bottom w:w="0" w:type="dxa"/>
            <w:right w:w="108" w:type="dxa"/>
          </w:tblCellMar>
        </w:tblPrEx>
        <w:trPr>
          <w:trHeight w:val="869"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86"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469"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rPr>
            </w:pPr>
            <w:r>
              <w:rPr>
                <w:rFonts w:hint="eastAsia" w:ascii="宋体" w:hAnsi="宋体" w:eastAsia="宋体" w:cs="宋体"/>
                <w:i w:val="0"/>
                <w:iCs w:val="0"/>
                <w:color w:val="000000"/>
                <w:kern w:val="0"/>
                <w:sz w:val="18"/>
                <w:szCs w:val="18"/>
                <w:u w:val="none"/>
                <w:lang w:val="en-US" w:eastAsia="zh-CN" w:bidi="ar"/>
              </w:rPr>
              <w:t>控制预算总额，资金支付合理合规，符合合同要求。</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eastAsia="宋体" w:cs="宋体"/>
                <w:kern w:val="0"/>
                <w:sz w:val="18"/>
                <w:szCs w:val="18"/>
                <w:lang w:eastAsia="zh-CN"/>
              </w:rPr>
              <w:t>按合同要求支付</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eastAsia="宋体" w:cs="宋体"/>
                <w:color w:val="auto"/>
                <w:kern w:val="0"/>
                <w:sz w:val="18"/>
                <w:szCs w:val="18"/>
                <w:lang w:val="en-US" w:eastAsia="zh-CN"/>
              </w:rPr>
              <w:t>完成</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eastAsia="宋体" w:cs="宋体"/>
                <w:color w:val="auto"/>
                <w:kern w:val="0"/>
                <w:sz w:val="18"/>
                <w:szCs w:val="18"/>
                <w:lang w:val="en-US" w:eastAsia="zh-CN"/>
              </w:rPr>
              <w:t>10</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eastAsia="宋体" w:cs="宋体"/>
                <w:color w:val="auto"/>
                <w:kern w:val="0"/>
                <w:sz w:val="18"/>
                <w:szCs w:val="18"/>
                <w:lang w:val="en-US" w:eastAsia="zh-CN"/>
              </w:rPr>
              <w:t>10</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09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86"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469"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社会效益</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000000"/>
                <w:kern w:val="0"/>
                <w:sz w:val="18"/>
                <w:szCs w:val="18"/>
                <w:lang w:val="en-US" w:eastAsia="zh-CN"/>
              </w:rPr>
              <w:t>支撑城市副中心发展规划目标落地实施，为确保城市副中心水环境达标提供依据</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000000"/>
                <w:kern w:val="0"/>
                <w:sz w:val="18"/>
                <w:szCs w:val="18"/>
                <w:lang w:val="en-US" w:eastAsia="zh-CN"/>
              </w:rPr>
              <w:t>提高</w:t>
            </w:r>
            <w:r>
              <w:rPr>
                <w:rFonts w:hint="eastAsia" w:ascii="宋体" w:hAnsi="宋体" w:eastAsia="宋体" w:cs="宋体"/>
                <w:color w:val="000000"/>
                <w:kern w:val="0"/>
                <w:sz w:val="18"/>
                <w:szCs w:val="18"/>
              </w:rPr>
              <w:t>人民生活质量</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eastAsia="宋体" w:cs="宋体"/>
                <w:color w:val="auto"/>
                <w:kern w:val="0"/>
                <w:sz w:val="18"/>
                <w:szCs w:val="18"/>
                <w:lang w:val="en-US" w:eastAsia="zh-CN"/>
              </w:rPr>
              <w:t>完成</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eastAsia="宋体" w:cs="宋体"/>
                <w:color w:val="auto"/>
                <w:kern w:val="0"/>
                <w:sz w:val="18"/>
                <w:szCs w:val="18"/>
                <w:lang w:val="en-US" w:eastAsia="zh-CN"/>
              </w:rPr>
              <w:t>1</w:t>
            </w:r>
            <w:r>
              <w:rPr>
                <w:rFonts w:hint="eastAsia" w:ascii="宋体" w:hAnsi="宋体" w:cs="宋体"/>
                <w:color w:val="auto"/>
                <w:kern w:val="0"/>
                <w:sz w:val="18"/>
                <w:szCs w:val="18"/>
                <w:lang w:val="en-US" w:eastAsia="zh-CN"/>
              </w:rPr>
              <w:t>5</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eastAsia="宋体" w:cs="宋体"/>
                <w:color w:val="auto"/>
                <w:kern w:val="0"/>
                <w:sz w:val="18"/>
                <w:szCs w:val="18"/>
                <w:lang w:val="en-US" w:eastAsia="zh-CN"/>
              </w:rPr>
              <w:t>1</w:t>
            </w:r>
            <w:r>
              <w:rPr>
                <w:rFonts w:hint="eastAsia" w:ascii="宋体" w:hAnsi="宋体" w:cs="宋体"/>
                <w:color w:val="auto"/>
                <w:kern w:val="0"/>
                <w:sz w:val="18"/>
                <w:szCs w:val="18"/>
                <w:lang w:val="en-US" w:eastAsia="zh-CN"/>
              </w:rPr>
              <w:t>5</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964"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86"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469"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生态效益</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000000"/>
                <w:kern w:val="0"/>
                <w:sz w:val="18"/>
                <w:szCs w:val="18"/>
                <w:lang w:val="en-US" w:eastAsia="zh-CN"/>
              </w:rPr>
              <w:t>为城市副中心合流制溢流污染控制提供支撑；研究成果为合流制溢流改造等工作提供理论支撑</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kern w:val="0"/>
                <w:sz w:val="18"/>
                <w:szCs w:val="18"/>
                <w:lang w:val="en-US" w:eastAsia="zh-CN"/>
              </w:rPr>
              <w:t>改善</w:t>
            </w:r>
            <w:r>
              <w:rPr>
                <w:rFonts w:hint="eastAsia" w:ascii="宋体" w:hAnsi="宋体" w:eastAsia="宋体" w:cs="宋体"/>
                <w:kern w:val="0"/>
                <w:sz w:val="18"/>
                <w:szCs w:val="18"/>
                <w:lang w:eastAsia="zh-CN"/>
              </w:rPr>
              <w:t>水环境</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eastAsia="宋体" w:cs="宋体"/>
                <w:color w:val="auto"/>
                <w:kern w:val="0"/>
                <w:sz w:val="18"/>
                <w:szCs w:val="18"/>
                <w:lang w:val="en-US" w:eastAsia="zh-CN"/>
              </w:rPr>
              <w:t>完成</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5</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lang w:val="en-US" w:eastAsia="zh-CN"/>
              </w:rPr>
              <w:t>1</w:t>
            </w:r>
            <w:r>
              <w:rPr>
                <w:rFonts w:hint="eastAsia" w:ascii="宋体" w:hAnsi="宋体" w:eastAsia="宋体" w:cs="宋体"/>
                <w:color w:val="auto"/>
                <w:kern w:val="0"/>
                <w:sz w:val="18"/>
                <w:szCs w:val="18"/>
                <w:lang w:val="en-US" w:eastAsia="zh-CN"/>
              </w:rPr>
              <w:t>5</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573"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586" w:type="dxa"/>
            <w:tcBorders>
              <w:top w:val="single" w:color="auto" w:sz="4" w:space="0"/>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满意度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14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得到社会认可，得到服务单位认可</w:t>
            </w:r>
          </w:p>
        </w:tc>
        <w:tc>
          <w:tcPr>
            <w:tcW w:w="93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629"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lang w:eastAsia="zh-CN"/>
              </w:rPr>
              <w:t>1</w:t>
            </w:r>
            <w:r>
              <w:rPr>
                <w:rFonts w:hint="eastAsia" w:ascii="宋体" w:hAnsi="宋体" w:cs="宋体"/>
                <w:color w:val="auto"/>
                <w:kern w:val="0"/>
                <w:sz w:val="18"/>
                <w:szCs w:val="18"/>
                <w:lang w:val="en-US" w:eastAsia="zh-CN"/>
              </w:rPr>
              <w:t>0</w:t>
            </w:r>
          </w:p>
        </w:tc>
        <w:tc>
          <w:tcPr>
            <w:tcW w:w="65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lang w:val="en-US" w:eastAsia="zh-CN"/>
              </w:rPr>
              <w:t>10</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总分</w:t>
            </w:r>
          </w:p>
        </w:tc>
        <w:tc>
          <w:tcPr>
            <w:tcW w:w="62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65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122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jZDE0MmVkNzYyMTY2OWY5ZTFjMTMwMWI4MjAzNmUifQ=="/>
  </w:docVars>
  <w:rsids>
    <w:rsidRoot w:val="00000000"/>
    <w:rsid w:val="066E7569"/>
    <w:rsid w:val="06750E53"/>
    <w:rsid w:val="0AC75B0A"/>
    <w:rsid w:val="100C31BD"/>
    <w:rsid w:val="14CA0061"/>
    <w:rsid w:val="15A440FD"/>
    <w:rsid w:val="184B14B9"/>
    <w:rsid w:val="1D9B6A3E"/>
    <w:rsid w:val="20346CD6"/>
    <w:rsid w:val="210E677D"/>
    <w:rsid w:val="260333D3"/>
    <w:rsid w:val="2D7F6F4F"/>
    <w:rsid w:val="35FB40C6"/>
    <w:rsid w:val="3B157793"/>
    <w:rsid w:val="3C460065"/>
    <w:rsid w:val="46582E6F"/>
    <w:rsid w:val="49F7299F"/>
    <w:rsid w:val="4E8839D8"/>
    <w:rsid w:val="502B5150"/>
    <w:rsid w:val="533407C0"/>
    <w:rsid w:val="536E5A80"/>
    <w:rsid w:val="54D264E2"/>
    <w:rsid w:val="5531427C"/>
    <w:rsid w:val="55C027DF"/>
    <w:rsid w:val="615E036F"/>
    <w:rsid w:val="6B4F21E3"/>
    <w:rsid w:val="6F1C23DC"/>
    <w:rsid w:val="6F81706F"/>
    <w:rsid w:val="733F19A0"/>
    <w:rsid w:val="7CA83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Title"/>
    <w:basedOn w:val="1"/>
    <w:autoRedefine/>
    <w:qFormat/>
    <w:uiPriority w:val="0"/>
    <w:pPr>
      <w:spacing w:before="240" w:after="60"/>
      <w:jc w:val="center"/>
      <w:outlineLvl w:val="0"/>
    </w:pPr>
    <w:rPr>
      <w:rFonts w:ascii="Arial" w:hAnsi="Arial"/>
      <w:b/>
    </w:rPr>
  </w:style>
  <w:style w:type="paragraph" w:styleId="3">
    <w:name w:val="Normal Indent"/>
    <w:basedOn w:val="1"/>
    <w:autoRedefine/>
    <w:qFormat/>
    <w:uiPriority w:val="0"/>
    <w:pPr>
      <w:ind w:firstLine="200" w:firstLineChars="200"/>
    </w:pPr>
  </w:style>
  <w:style w:type="paragraph" w:styleId="4">
    <w:name w:val="Body Text"/>
    <w:basedOn w:val="1"/>
    <w:next w:val="5"/>
    <w:autoRedefine/>
    <w:qFormat/>
    <w:uiPriority w:val="0"/>
    <w:pPr>
      <w:spacing w:before="0" w:after="140" w:line="276" w:lineRule="auto"/>
    </w:pPr>
  </w:style>
  <w:style w:type="paragraph" w:styleId="5">
    <w:name w:val="Body Text 2"/>
    <w:autoRedefine/>
    <w:qFormat/>
    <w:uiPriority w:val="99"/>
    <w:pPr>
      <w:widowControl w:val="0"/>
      <w:spacing w:line="360" w:lineRule="auto"/>
      <w:ind w:firstLine="200" w:firstLineChars="200"/>
      <w:jc w:val="both"/>
    </w:pPr>
    <w:rPr>
      <w:rFonts w:ascii="Times New Roman" w:hAnsi="Times New Roman" w:eastAsia="楷体_GB2312"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2024-04-09T08:25:00Z</dcterms:created>
  <dc:creator>Administrator</dc:creator>
  <cp:lastModifiedBy>Administrator</cp:lastModifiedBy>
  <dcterms:modified xsi:type="dcterms:W3CDTF">2024-04-23T06:25:41Z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F5112F2958F74CB7B8A5E3D84BB9877C_12</vt:lpwstr>
  </property>
</Properties>
</file>