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D1D4">
      <w:pPr>
        <w:jc w:val="center"/>
        <w:rPr>
          <w:rFonts w:ascii="仿宋_GB2312" w:eastAsia="仿宋_GB2312"/>
          <w:b/>
          <w:sz w:val="32"/>
          <w:szCs w:val="32"/>
        </w:rPr>
      </w:pPr>
    </w:p>
    <w:p w14:paraId="16DA907A">
      <w:pPr>
        <w:jc w:val="center"/>
        <w:rPr>
          <w:rFonts w:ascii="黑体" w:eastAsia="黑体"/>
          <w:sz w:val="72"/>
          <w:szCs w:val="72"/>
        </w:rPr>
      </w:pPr>
    </w:p>
    <w:p w14:paraId="466F3CEE">
      <w:pPr>
        <w:jc w:val="center"/>
        <w:rPr>
          <w:rFonts w:ascii="黑体" w:eastAsia="黑体"/>
          <w:sz w:val="72"/>
          <w:szCs w:val="72"/>
        </w:rPr>
      </w:pPr>
    </w:p>
    <w:p w14:paraId="26D06C33">
      <w:pPr>
        <w:jc w:val="center"/>
        <w:rPr>
          <w:rFonts w:ascii="黑体" w:eastAsia="黑体"/>
          <w:sz w:val="72"/>
          <w:szCs w:val="72"/>
        </w:rPr>
      </w:pPr>
    </w:p>
    <w:p w14:paraId="7916FB9F">
      <w:pPr>
        <w:jc w:val="center"/>
        <w:rPr>
          <w:rFonts w:ascii="黑体" w:eastAsia="黑体"/>
          <w:sz w:val="72"/>
          <w:szCs w:val="72"/>
        </w:rPr>
      </w:pPr>
    </w:p>
    <w:p w14:paraId="7ED38034">
      <w:pPr>
        <w:jc w:val="center"/>
        <w:rPr>
          <w:rFonts w:hint="eastAsia" w:ascii="黑体" w:eastAsia="黑体"/>
          <w:sz w:val="72"/>
          <w:szCs w:val="72"/>
        </w:rPr>
      </w:pPr>
      <w:r>
        <w:rPr>
          <w:rFonts w:hint="eastAsia" w:ascii="黑体" w:eastAsia="黑体"/>
          <w:sz w:val="72"/>
          <w:szCs w:val="72"/>
        </w:rPr>
        <w:t>2023年度部门决算</w:t>
      </w:r>
    </w:p>
    <w:p w14:paraId="59A33F45">
      <w:pPr>
        <w:pStyle w:val="2"/>
        <w:rPr>
          <w:rFonts w:hint="eastAsia" w:ascii="黑体" w:hAnsi="Times New Roman" w:eastAsia="黑体" w:cs="Times New Roman"/>
          <w:kern w:val="2"/>
          <w:sz w:val="72"/>
          <w:szCs w:val="72"/>
          <w:lang w:val="en-US" w:eastAsia="zh-CN" w:bidi="ar-SA"/>
        </w:rPr>
      </w:pPr>
    </w:p>
    <w:p w14:paraId="249D5DBB">
      <w:pPr>
        <w:jc w:val="center"/>
        <w:rPr>
          <w:rFonts w:hint="default" w:ascii="宋体" w:hAnsi="宋体" w:eastAsia="宋体"/>
          <w:sz w:val="36"/>
          <w:szCs w:val="36"/>
          <w:lang w:val="en-US" w:eastAsia="zh-CN"/>
        </w:rPr>
      </w:pPr>
      <w:r>
        <w:rPr>
          <w:rFonts w:hint="eastAsia" w:ascii="宋体" w:hAnsi="宋体"/>
          <w:sz w:val="36"/>
          <w:szCs w:val="36"/>
        </w:rPr>
        <w:t>单位名称：</w:t>
      </w:r>
      <w:r>
        <w:rPr>
          <w:rFonts w:hint="eastAsia" w:ascii="宋体" w:hAnsi="宋体"/>
          <w:sz w:val="36"/>
          <w:szCs w:val="36"/>
          <w:lang w:val="en-US" w:eastAsia="zh-CN"/>
        </w:rPr>
        <w:t>北京市通州区中仓街道办事处（本级）</w:t>
      </w:r>
    </w:p>
    <w:p w14:paraId="26AD94BF">
      <w:pPr>
        <w:pStyle w:val="2"/>
        <w:jc w:val="center"/>
      </w:pPr>
    </w:p>
    <w:p w14:paraId="4ACD5A84">
      <w:pPr>
        <w:jc w:val="center"/>
        <w:rPr>
          <w:rFonts w:ascii="黑体" w:eastAsia="黑体"/>
          <w:sz w:val="52"/>
          <w:szCs w:val="52"/>
        </w:rPr>
      </w:pPr>
    </w:p>
    <w:p w14:paraId="5B8EA2A4">
      <w:pPr>
        <w:jc w:val="center"/>
        <w:rPr>
          <w:rFonts w:ascii="黑体" w:eastAsia="黑体"/>
          <w:sz w:val="52"/>
          <w:szCs w:val="52"/>
        </w:rPr>
      </w:pPr>
    </w:p>
    <w:p w14:paraId="358C507B">
      <w:pPr>
        <w:jc w:val="center"/>
        <w:rPr>
          <w:rFonts w:ascii="黑体" w:eastAsia="黑体"/>
          <w:sz w:val="52"/>
          <w:szCs w:val="52"/>
        </w:rPr>
      </w:pPr>
    </w:p>
    <w:p w14:paraId="1C3CBDF1">
      <w:pPr>
        <w:jc w:val="center"/>
        <w:rPr>
          <w:rFonts w:ascii="黑体" w:eastAsia="黑体"/>
          <w:sz w:val="52"/>
          <w:szCs w:val="52"/>
        </w:rPr>
      </w:pPr>
    </w:p>
    <w:p w14:paraId="304E125E">
      <w:pPr>
        <w:jc w:val="center"/>
        <w:rPr>
          <w:rFonts w:ascii="黑体" w:eastAsia="黑体"/>
          <w:sz w:val="32"/>
          <w:szCs w:val="32"/>
        </w:rPr>
      </w:pPr>
    </w:p>
    <w:p w14:paraId="36144F8E">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471D4D0F">
      <w:pPr>
        <w:spacing w:line="500" w:lineRule="exact"/>
        <w:ind w:firstLine="645"/>
        <w:jc w:val="center"/>
        <w:rPr>
          <w:rFonts w:ascii="宋体" w:hAnsi="宋体" w:cs="宋体"/>
          <w:b/>
          <w:bCs/>
          <w:kern w:val="0"/>
          <w:sz w:val="36"/>
          <w:szCs w:val="36"/>
        </w:rPr>
      </w:pPr>
    </w:p>
    <w:p w14:paraId="17186365">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2023年度部门决算报表</w:t>
      </w:r>
    </w:p>
    <w:p w14:paraId="3037A52F">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70A45D2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1124FF0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2A41F3D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2688338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14:paraId="2AF9ECB5">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14:paraId="404CD6A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14:paraId="6256D4C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1251E30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676C381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14:paraId="1F5FF60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14:paraId="1EC1DAD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14:paraId="0F324CE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14:paraId="7D5B11FD">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2023年度部门决算说明</w:t>
      </w:r>
    </w:p>
    <w:p w14:paraId="1BDB7808">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2023年度</w:t>
      </w:r>
      <w:r>
        <w:rPr>
          <w:rFonts w:hint="eastAsia" w:ascii="宋体" w:hAnsi="宋体" w:cs="宋体"/>
          <w:spacing w:val="40"/>
          <w:kern w:val="0"/>
          <w:sz w:val="32"/>
          <w:szCs w:val="32"/>
        </w:rPr>
        <w:t>其他重要事项的情况说明</w:t>
      </w:r>
    </w:p>
    <w:p w14:paraId="534F5340">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2023年度部门绩效评价情况</w:t>
      </w:r>
    </w:p>
    <w:p w14:paraId="0C05547F">
      <w:pPr>
        <w:tabs>
          <w:tab w:val="center" w:pos="6979"/>
        </w:tabs>
        <w:spacing w:before="156" w:beforeLines="50" w:after="156" w:afterLines="50"/>
        <w:jc w:val="center"/>
        <w:rPr>
          <w:rFonts w:ascii="宋体" w:hAnsi="宋体" w:cs="宋体"/>
          <w:b/>
          <w:bCs/>
          <w:spacing w:val="40"/>
          <w:kern w:val="0"/>
          <w:sz w:val="32"/>
          <w:szCs w:val="32"/>
        </w:rPr>
      </w:pPr>
    </w:p>
    <w:p w14:paraId="02EF094E">
      <w:pPr>
        <w:tabs>
          <w:tab w:val="center" w:pos="6979"/>
        </w:tabs>
        <w:spacing w:before="156" w:beforeLines="50" w:after="156" w:afterLines="50"/>
        <w:jc w:val="center"/>
        <w:rPr>
          <w:rFonts w:ascii="宋体" w:hAnsi="宋体" w:cs="宋体"/>
          <w:b/>
          <w:bCs/>
          <w:spacing w:val="40"/>
          <w:kern w:val="0"/>
          <w:sz w:val="32"/>
          <w:szCs w:val="32"/>
        </w:rPr>
      </w:pPr>
    </w:p>
    <w:p w14:paraId="06E68983">
      <w:pPr>
        <w:tabs>
          <w:tab w:val="center" w:pos="6979"/>
        </w:tabs>
        <w:spacing w:before="156" w:beforeLines="50" w:after="156" w:afterLines="50"/>
        <w:jc w:val="center"/>
        <w:rPr>
          <w:rFonts w:ascii="宋体" w:hAnsi="宋体" w:cs="宋体"/>
          <w:b/>
          <w:bCs/>
          <w:spacing w:val="40"/>
          <w:kern w:val="0"/>
          <w:sz w:val="32"/>
          <w:szCs w:val="32"/>
        </w:rPr>
      </w:pPr>
    </w:p>
    <w:p w14:paraId="5C54FD01">
      <w:pPr>
        <w:tabs>
          <w:tab w:val="center" w:pos="6979"/>
        </w:tabs>
        <w:spacing w:before="156" w:beforeLines="50" w:after="156" w:afterLines="50"/>
        <w:jc w:val="center"/>
        <w:rPr>
          <w:rFonts w:ascii="宋体" w:hAnsi="宋体" w:cs="宋体"/>
          <w:b/>
          <w:bCs/>
          <w:spacing w:val="40"/>
          <w:kern w:val="0"/>
          <w:sz w:val="32"/>
          <w:szCs w:val="32"/>
        </w:rPr>
      </w:pPr>
    </w:p>
    <w:p w14:paraId="474D2A17">
      <w:pPr>
        <w:tabs>
          <w:tab w:val="center" w:pos="6979"/>
        </w:tabs>
        <w:spacing w:before="156" w:beforeLines="50" w:after="156" w:afterLines="50"/>
        <w:jc w:val="center"/>
        <w:rPr>
          <w:rFonts w:ascii="宋体" w:hAnsi="宋体" w:cs="宋体"/>
          <w:b/>
          <w:bCs/>
          <w:spacing w:val="40"/>
          <w:kern w:val="0"/>
          <w:sz w:val="32"/>
          <w:szCs w:val="32"/>
        </w:rPr>
      </w:pPr>
    </w:p>
    <w:p w14:paraId="601A68F5">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2023年度部门决算报表</w:t>
      </w:r>
    </w:p>
    <w:p w14:paraId="776CD42D">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01BEDCFF">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2023年度部门决算说明</w:t>
      </w:r>
    </w:p>
    <w:p w14:paraId="3258CF44">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4EAF1F22">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14:paraId="7AA43C25">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1、部门机构设置：中仓街道办事处综合设置6个内设机构，下设三个事业单位：中仓街道便民服务中心、中仓街道市民活动中心、中仓街道市民诉求处置中心。</w:t>
      </w:r>
    </w:p>
    <w:p w14:paraId="7E78735F">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（1）综合办公室</w:t>
      </w:r>
    </w:p>
    <w:p w14:paraId="1CC41F89">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负责机关重要事项的组织协调工作。 负责机关重要文件的起草、审核和调查研究工作; 负责机关文电、机要、档案、保密、外事、信息(政务)公开、绩效管理、督查、依法行政等工作; 负责重要会议和提案、议案、建议办理的组织工作; 负责财务、固定资产管理工作; 承担政府服务热线交办事件的接收、转办、督办及统一答复工作; 负责安全保卫、应急值守和后勤保障等工作。</w:t>
      </w:r>
    </w:p>
    <w:p w14:paraId="745D3E8F">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(2）党群工作办公室</w:t>
      </w:r>
    </w:p>
    <w:p w14:paraId="34635CD5">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负责社区、社会组织和非公有制经济组织及机关和所属事业</w:t>
      </w:r>
    </w:p>
    <w:p w14:paraId="02172275">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单位党建工作; 负责推进全面从严治党, 加强党风建设和反腐败协调工作, 负责思想政治和精神文明建设、统战、宣传、选举等工作; 负责党员教育、管理、监督和服务; 按照权限, 负责人事、机构编制和老干部工作; 承担人大、政协等相关具体工作; 指导总工会、团工委、妇联、残联等群团组织按各自章程开展工作。 </w:t>
      </w:r>
    </w:p>
    <w:p w14:paraId="67B75762">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（3）平安建设办公室</w:t>
      </w:r>
    </w:p>
    <w:p w14:paraId="4260B745">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负责维护辖区安全稳定, 加强群防群治组织建设, 推动辖区内的社会治安综合治理各项措施的落实; 负责信访、人民调解、社区戒毒和康复、民兵、征兵、人民防空、地下空间治理、突发事件应对等相关工作; 承担社区矫正日常工作; 承担辖区安全生产、消防安全等工作; 配合有关部门做好流动人口和出租房屋的综合管理、国家安全、反恐、防范处理邪教、扫黄打非、烟花爆竹的安全管理等相关工作。</w:t>
      </w:r>
    </w:p>
    <w:p w14:paraId="489D95BA">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（4）城市管理办公室</w:t>
      </w:r>
    </w:p>
    <w:p w14:paraId="510D982C">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配合做好城乡规划管理的有关工作; 负责辖区内禁止违法建设、环境整治、河湖管理保护、机动车停车管理等相关工作; 负 </w:t>
      </w:r>
    </w:p>
    <w:p w14:paraId="72202A90">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责市容环境卫生、绿化美化、节约用水等工作, 组织开展爱国卫</w:t>
      </w:r>
    </w:p>
    <w:p w14:paraId="512E9C32">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生运动, 落实门前三包责任制; 做好食品安全工作; 协助有关部门做好辖区内环境监察、夜景照明、地下管线保护、供热采暖管理、监督依法施工、防尘降噪等工作; 承担区域内防汛抗旱、防震减灾等工作的组织协调。</w:t>
      </w:r>
    </w:p>
    <w:p w14:paraId="67A72B07">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（5）社区建设办公室</w:t>
      </w:r>
    </w:p>
    <w:p w14:paraId="7DE1D518">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负责开展社区规范化建设; 指导社区居民委员会、 业主委员会工作; 推进居民自治, 组织动员各类驻区单位、社区组织和社区居民等社会力量参与社区建设和社会治理; 承担管理社会组织、社区工作者、社区志愿者工作; 负责组织开展法治宣传、社会公德教育、家庭暴力预防、拥军优属、全民健身等工作; 协助做好未成年人保护、公共文化服务保障、社区科普、动物防疫、</w:t>
      </w:r>
    </w:p>
    <w:p w14:paraId="5CEC42E1">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家庭教育、学前教育、义务教育实施等工作。</w:t>
      </w:r>
    </w:p>
    <w:p w14:paraId="1F82C3FC">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（6）民生保障办公室</w:t>
      </w:r>
    </w:p>
    <w:p w14:paraId="564F406B">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负责组织开展基层就业服务, 协调劳动关系、调解劳动争议 </w:t>
      </w:r>
    </w:p>
    <w:p w14:paraId="245487DC">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等与居民生活密切相关的服务保障工作; 负责城市居民最低生活保障、低收入家庭认定等的审核工作; 承担企业退休人员社会化管理等工作; 按权限做好养老助残、社会保障、医疗保障、卫生计生、救助抚恤、采暖补助、丧葬补贴、住房保障、征收补偿、</w:t>
      </w:r>
    </w:p>
    <w:p w14:paraId="1A613B94">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便民服务等领域相关工作。</w:t>
      </w:r>
    </w:p>
    <w:p w14:paraId="77FC231A">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 2、主要职责：</w:t>
      </w:r>
    </w:p>
    <w:p w14:paraId="482D4AD7">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（1）贯彻执行法律、法规、规章和市、区政府的决定、命令,依法管理基层公共事务。</w:t>
      </w:r>
    </w:p>
    <w:p w14:paraId="6ECB65E4">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（2）承担辖区市容环境卫生、绿化美化的管理工作, 推进街巷长、河长制工作, 组织、协调城市管理综合执法和环境秩序综合治理工作, 推进城市精细化管理。</w:t>
      </w:r>
    </w:p>
    <w:p w14:paraId="46E330AD">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（3）协助依法履行安全生产、消防安全、食品安全、环境保护、劳动保障、流动人口及出租房屋监督管理工作, 承担辖区应急、防汛和防灾减灾工作。</w:t>
      </w:r>
    </w:p>
    <w:p w14:paraId="02DF5181">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（4）参与制定并组织实施社区建设规划和公共服务设施规划,组织辖区单位、居民和志愿者队伍为社区发展服务。</w:t>
      </w:r>
    </w:p>
    <w:p w14:paraId="74843B3C">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（5）负责社区居民委员会建设, 指导社区居民委员会工作, 培育、发展社区社会组织, 指导、监督社区业主委员会。</w:t>
      </w:r>
    </w:p>
    <w:p w14:paraId="2CC3CA3E">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（6）推进居民自治, 及时处理并向上级政府反映居民的意见和要求。动员社会力量参与社区治理, 推动形成社区共治合力。</w:t>
      </w:r>
    </w:p>
    <w:p w14:paraId="6C402ED8">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（7）组织开展群众性文化、体育、科普活动, 开展法治宣传和社会公德教育, 推动社区公益事业发展。</w:t>
      </w:r>
    </w:p>
    <w:p w14:paraId="29ED328B">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（8）组织开展公共服务, 落实人力社保、民政、卫生健康、教育、住房保障、便民服务等政策, 维护老年人、妇女、未成年人、残疾人等合法权益。 </w:t>
      </w:r>
    </w:p>
    <w:p w14:paraId="6FDA8740">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（9）承办区政府交办的其他事项。</w:t>
      </w:r>
    </w:p>
    <w:p w14:paraId="00AB6916">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5FBDB00D">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70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65</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42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40</w:t>
      </w:r>
      <w:r>
        <w:rPr>
          <w:rFonts w:hint="eastAsia" w:ascii="仿宋_GB2312" w:eastAsia="仿宋_GB2312"/>
          <w:kern w:val="0"/>
          <w:sz w:val="28"/>
          <w:szCs w:val="28"/>
        </w:rPr>
        <w:t>人。</w:t>
      </w:r>
    </w:p>
    <w:p w14:paraId="6E7560F6">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43285AF6">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21208.1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6260.02</w:t>
      </w:r>
      <w:r>
        <w:rPr>
          <w:rFonts w:hint="eastAsia" w:ascii="仿宋_GB2312" w:eastAsia="仿宋_GB2312"/>
          <w:sz w:val="28"/>
          <w:szCs w:val="28"/>
        </w:rPr>
        <w:t>万元，增长</w:t>
      </w:r>
      <w:r>
        <w:rPr>
          <w:rFonts w:hint="eastAsia" w:ascii="仿宋_GB2312" w:eastAsia="仿宋_GB2312"/>
          <w:sz w:val="28"/>
          <w:szCs w:val="28"/>
          <w:lang w:val="en-US" w:eastAsia="zh-CN"/>
        </w:rPr>
        <w:t>29.52</w:t>
      </w:r>
      <w:r>
        <w:rPr>
          <w:rFonts w:hint="eastAsia" w:ascii="仿宋_GB2312" w:eastAsia="仿宋_GB2312"/>
          <w:sz w:val="28"/>
          <w:szCs w:val="28"/>
        </w:rPr>
        <w:t>%。</w:t>
      </w:r>
    </w:p>
    <w:p w14:paraId="2A930076">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081CF22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2023年度本年收入合计</w:t>
      </w:r>
      <w:r>
        <w:rPr>
          <w:rFonts w:ascii="仿宋_GB2312" w:eastAsia="仿宋_GB2312"/>
          <w:sz w:val="28"/>
          <w:szCs w:val="28"/>
        </w:rPr>
        <w:t>21208.1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6260.02</w:t>
      </w:r>
      <w:r>
        <w:rPr>
          <w:rFonts w:hint="eastAsia" w:ascii="仿宋_GB2312" w:eastAsia="仿宋_GB2312"/>
          <w:sz w:val="28"/>
          <w:szCs w:val="28"/>
        </w:rPr>
        <w:t>万元，增长</w:t>
      </w:r>
      <w:r>
        <w:rPr>
          <w:rFonts w:hint="eastAsia" w:ascii="仿宋_GB2312" w:eastAsia="仿宋_GB2312"/>
          <w:sz w:val="28"/>
          <w:szCs w:val="28"/>
          <w:lang w:val="en-US" w:eastAsia="zh-CN"/>
        </w:rPr>
        <w:t>29.52</w:t>
      </w:r>
      <w:r>
        <w:rPr>
          <w:rFonts w:hint="eastAsia" w:ascii="仿宋_GB2312" w:eastAsia="仿宋_GB2312"/>
          <w:sz w:val="28"/>
          <w:szCs w:val="28"/>
        </w:rPr>
        <w:t>%。</w:t>
      </w:r>
    </w:p>
    <w:p w14:paraId="4EB6CAC2">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21208.1</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21198.1</w:t>
      </w:r>
      <w:r>
        <w:rPr>
          <w:rFonts w:hint="eastAsia" w:ascii="仿宋_GB2312" w:eastAsia="仿宋_GB2312"/>
          <w:sz w:val="28"/>
          <w:szCs w:val="28"/>
        </w:rPr>
        <w:t>万元，占收入合计的</w:t>
      </w:r>
      <w:r>
        <w:rPr>
          <w:rFonts w:hint="eastAsia" w:ascii="仿宋_GB2312" w:eastAsia="仿宋_GB2312"/>
          <w:sz w:val="28"/>
          <w:szCs w:val="28"/>
          <w:lang w:val="en-US" w:eastAsia="zh-CN"/>
        </w:rPr>
        <w:t>99.95</w:t>
      </w:r>
      <w:r>
        <w:rPr>
          <w:rFonts w:hint="eastAsia" w:ascii="仿宋_GB2312" w:eastAsia="仿宋_GB2312"/>
          <w:sz w:val="28"/>
          <w:szCs w:val="28"/>
        </w:rPr>
        <w:t>%；政府性基金预算财政拨款收入</w:t>
      </w:r>
      <w:r>
        <w:rPr>
          <w:rFonts w:ascii="仿宋_GB2312" w:eastAsia="仿宋_GB2312"/>
          <w:sz w:val="28"/>
          <w:szCs w:val="28"/>
        </w:rPr>
        <w:t>10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282ABF0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F411431">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588FF9F5">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1CC2406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51E7A94D">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0C7EAA7">
      <w:pPr>
        <w:spacing w:line="560" w:lineRule="exact"/>
        <w:ind w:firstLine="640"/>
        <w:rPr>
          <w:rFonts w:ascii="仿宋_GB2312" w:eastAsia="仿宋_GB2312" w:cs="Droid Sans"/>
          <w:color w:val="000000"/>
          <w:sz w:val="32"/>
          <w:szCs w:val="32"/>
        </w:rPr>
      </w:pPr>
      <w:r>
        <w:rPr>
          <w:rFonts w:hint="eastAsia" w:ascii="仿宋_GB2312" w:eastAsia="仿宋_GB2312" w:cs="Droid Sans"/>
          <w:color w:val="000000"/>
          <w:sz w:val="32"/>
          <w:szCs w:val="32"/>
        </w:rPr>
        <w:t>（此处插入图表，用上述收入金额制作饼状图，示例如下，无金额类型不必制图）</w:t>
      </w:r>
    </w:p>
    <w:p w14:paraId="3BA4B884">
      <w:pPr>
        <w:pStyle w:val="3"/>
        <w:jc w:val="center"/>
        <w:rPr>
          <w:rFonts w:hint="eastAsia"/>
        </w:rPr>
      </w:pPr>
      <w:r>
        <w:rPr>
          <w:rFonts w:hint="eastAsia" w:ascii="仿宋_GB2312" w:eastAsia="仿宋_GB2312"/>
          <w:color w:val="000000"/>
          <w:sz w:val="32"/>
        </w:rPr>
        <w:t>图1：收入决算</w:t>
      </w:r>
    </w:p>
    <w:p w14:paraId="4A1C70B0">
      <w:pPr>
        <w:pStyle w:val="2"/>
        <w:ind w:firstLine="420"/>
        <w:jc w:val="center"/>
      </w:pPr>
      <w:r>
        <w:drawing>
          <wp:inline distT="0" distB="0" distL="0" distR="0">
            <wp:extent cx="4331970" cy="2870200"/>
            <wp:effectExtent l="4445" t="5080" r="6985" b="20320"/>
            <wp:docPr id="2" name="图表 2"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388B0D">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661FB8C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2023年度本年支出合计</w:t>
      </w:r>
      <w:r>
        <w:rPr>
          <w:rFonts w:ascii="仿宋_GB2312" w:eastAsia="仿宋_GB2312"/>
          <w:sz w:val="28"/>
          <w:szCs w:val="28"/>
        </w:rPr>
        <w:t>21208.1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6260.02</w:t>
      </w:r>
      <w:r>
        <w:rPr>
          <w:rFonts w:hint="eastAsia" w:ascii="仿宋_GB2312" w:eastAsia="仿宋_GB2312"/>
          <w:sz w:val="28"/>
          <w:szCs w:val="28"/>
        </w:rPr>
        <w:t>万元，增长</w:t>
      </w:r>
      <w:r>
        <w:rPr>
          <w:rFonts w:hint="eastAsia" w:ascii="仿宋_GB2312" w:eastAsia="仿宋_GB2312"/>
          <w:sz w:val="28"/>
          <w:szCs w:val="28"/>
          <w:lang w:val="en-US" w:eastAsia="zh-CN"/>
        </w:rPr>
        <w:t>29.52</w:t>
      </w:r>
      <w:r>
        <w:rPr>
          <w:rFonts w:hint="eastAsia" w:ascii="仿宋_GB2312" w:eastAsia="仿宋_GB2312"/>
          <w:sz w:val="28"/>
          <w:szCs w:val="28"/>
        </w:rPr>
        <w:t>%，其中：基本支出</w:t>
      </w:r>
      <w:r>
        <w:rPr>
          <w:rFonts w:ascii="仿宋_GB2312" w:eastAsia="仿宋_GB2312"/>
          <w:sz w:val="28"/>
          <w:szCs w:val="28"/>
        </w:rPr>
        <w:t>8365.03</w:t>
      </w:r>
      <w:r>
        <w:rPr>
          <w:rFonts w:hint="eastAsia" w:ascii="仿宋_GB2312" w:eastAsia="仿宋_GB2312"/>
          <w:sz w:val="28"/>
          <w:szCs w:val="28"/>
        </w:rPr>
        <w:t>万元，占支出合计的</w:t>
      </w:r>
      <w:r>
        <w:rPr>
          <w:rFonts w:ascii="仿宋_GB2312" w:eastAsia="仿宋_GB2312"/>
          <w:sz w:val="28"/>
          <w:szCs w:val="28"/>
        </w:rPr>
        <w:t>39.44</w:t>
      </w:r>
      <w:r>
        <w:rPr>
          <w:rFonts w:hint="eastAsia" w:ascii="仿宋_GB2312" w:eastAsia="仿宋_GB2312"/>
          <w:sz w:val="28"/>
          <w:szCs w:val="28"/>
        </w:rPr>
        <w:t>%；项目支出</w:t>
      </w:r>
      <w:r>
        <w:rPr>
          <w:rFonts w:ascii="仿宋_GB2312" w:eastAsia="仿宋_GB2312"/>
          <w:sz w:val="28"/>
          <w:szCs w:val="28"/>
        </w:rPr>
        <w:t>12843.07</w:t>
      </w:r>
      <w:r>
        <w:rPr>
          <w:rFonts w:hint="eastAsia" w:ascii="仿宋_GB2312" w:eastAsia="仿宋_GB2312"/>
          <w:sz w:val="28"/>
          <w:szCs w:val="28"/>
        </w:rPr>
        <w:t>万元，占支出合计的</w:t>
      </w:r>
      <w:r>
        <w:rPr>
          <w:rFonts w:ascii="仿宋_GB2312" w:eastAsia="仿宋_GB2312"/>
          <w:sz w:val="28"/>
          <w:szCs w:val="28"/>
        </w:rPr>
        <w:t>60.55</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w:t>
      </w:r>
    </w:p>
    <w:p w14:paraId="3F49D912">
      <w:pPr>
        <w:spacing w:line="560" w:lineRule="exact"/>
        <w:ind w:firstLine="640"/>
        <w:rPr>
          <w:rFonts w:ascii="仿宋_GB2312" w:eastAsia="仿宋_GB2312" w:cs="Droid Sans"/>
          <w:color w:val="000000"/>
          <w:sz w:val="32"/>
          <w:szCs w:val="32"/>
        </w:rPr>
      </w:pPr>
      <w:r>
        <w:rPr>
          <w:rFonts w:hint="eastAsia" w:ascii="仿宋_GB2312" w:eastAsia="仿宋_GB2312" w:cs="Droid Sans"/>
          <w:color w:val="000000"/>
          <w:sz w:val="32"/>
          <w:szCs w:val="32"/>
        </w:rPr>
        <w:t>（此处插入图表，用上述支出金额制作饼状图，示例如下，无金额类型不必制图）</w:t>
      </w:r>
    </w:p>
    <w:p w14:paraId="3FA2732D">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3C24F6FD">
      <w:pPr>
        <w:jc w:val="center"/>
        <w:rPr>
          <w:rFonts w:ascii="黑体" w:eastAsia="黑体"/>
          <w:b/>
          <w:sz w:val="28"/>
          <w:szCs w:val="28"/>
        </w:rPr>
      </w:pPr>
      <w:r>
        <w:rPr>
          <w:rFonts w:hint="eastAsia" w:eastAsia="仿宋_GB2312"/>
          <w:lang w:eastAsia="zh-CN"/>
        </w:rPr>
        <w:drawing>
          <wp:inline distT="0" distB="0" distL="114300" distR="114300">
            <wp:extent cx="8675370" cy="3111500"/>
            <wp:effectExtent l="4445" t="4445" r="6985"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B437AE">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4AFF0910">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2023年度财政拨款收、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21208.1</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6260.02</w:t>
      </w:r>
      <w:r>
        <w:rPr>
          <w:rFonts w:hint="eastAsia" w:ascii="仿宋_GB2312" w:eastAsia="仿宋_GB2312"/>
          <w:sz w:val="28"/>
          <w:szCs w:val="28"/>
        </w:rPr>
        <w:t>万元，增长</w:t>
      </w:r>
      <w:r>
        <w:rPr>
          <w:rFonts w:hint="eastAsia" w:ascii="仿宋_GB2312" w:eastAsia="仿宋_GB2312"/>
          <w:sz w:val="28"/>
          <w:szCs w:val="28"/>
          <w:lang w:val="en-US" w:eastAsia="zh-CN"/>
        </w:rPr>
        <w:t>29.52</w:t>
      </w:r>
      <w:r>
        <w:rPr>
          <w:rFonts w:hint="eastAsia" w:ascii="仿宋_GB2312" w:eastAsia="仿宋_GB2312"/>
          <w:sz w:val="28"/>
          <w:szCs w:val="28"/>
        </w:rPr>
        <w:t>%。主要原因：</w:t>
      </w:r>
      <w:r>
        <w:rPr>
          <w:rFonts w:hint="eastAsia" w:ascii="仿宋_GB2312" w:eastAsia="仿宋_GB2312"/>
          <w:sz w:val="28"/>
          <w:szCs w:val="28"/>
          <w:lang w:eastAsia="zh-CN"/>
        </w:rPr>
        <w:t>党建经费</w:t>
      </w:r>
    </w:p>
    <w:p w14:paraId="6A51A58B">
      <w:pPr>
        <w:pStyle w:val="2"/>
        <w:rPr>
          <w:rFonts w:hint="eastAsia"/>
          <w:lang w:val="en-US" w:eastAsia="zh-CN"/>
        </w:rPr>
      </w:pPr>
      <w:r>
        <w:rPr>
          <w:rFonts w:hint="eastAsia" w:ascii="仿宋_GB2312" w:eastAsia="仿宋_GB2312"/>
          <w:sz w:val="28"/>
          <w:szCs w:val="28"/>
          <w:lang w:eastAsia="zh-CN"/>
        </w:rPr>
        <w:t>基层党组织服务群众经费、接诉即办奖励资金、老旧小区改造专项、小微项目、疫情防控资金的增加。</w:t>
      </w:r>
    </w:p>
    <w:p w14:paraId="44F8EEB6">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14:paraId="6F468C58">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14:paraId="480A74DA">
      <w:pPr>
        <w:tabs>
          <w:tab w:val="center" w:pos="6979"/>
        </w:tabs>
        <w:spacing w:line="580" w:lineRule="exact"/>
        <w:ind w:firstLine="560" w:firstLineChars="200"/>
        <w:rPr>
          <w:rFonts w:hint="default" w:ascii="仿宋_GB2312" w:eastAsia="仿宋_GB2312"/>
          <w:sz w:val="28"/>
          <w:szCs w:val="28"/>
          <w:lang w:val="en-US"/>
        </w:rPr>
      </w:pPr>
      <w:r>
        <w:rPr>
          <w:rFonts w:hint="eastAsia" w:ascii="仿宋_GB2312" w:eastAsia="仿宋_GB2312"/>
          <w:sz w:val="28"/>
          <w:szCs w:val="28"/>
        </w:rPr>
        <w:t>2023年度一般公共预算财政拨款支出</w:t>
      </w:r>
      <w:r>
        <w:rPr>
          <w:rFonts w:ascii="仿宋_GB2312" w:eastAsia="仿宋_GB2312"/>
          <w:sz w:val="28"/>
          <w:szCs w:val="28"/>
        </w:rPr>
        <w:t>21198.1</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580.29</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2.74</w:t>
      </w:r>
      <w:r>
        <w:rPr>
          <w:rFonts w:hint="eastAsia" w:ascii="仿宋_GB2312" w:eastAsia="仿宋_GB2312"/>
          <w:sz w:val="28"/>
          <w:szCs w:val="28"/>
        </w:rPr>
        <w:t xml:space="preserve">%； </w:t>
      </w:r>
      <w:r>
        <w:rPr>
          <w:rFonts w:hint="eastAsia" w:ascii="仿宋_GB2312" w:eastAsia="仿宋_GB2312"/>
          <w:sz w:val="28"/>
          <w:szCs w:val="28"/>
          <w:lang w:eastAsia="zh-CN"/>
        </w:rPr>
        <w:t>文化旅游与传媒支出</w:t>
      </w:r>
      <w:r>
        <w:rPr>
          <w:rFonts w:hint="eastAsia" w:ascii="仿宋_GB2312" w:eastAsia="仿宋_GB2312"/>
          <w:sz w:val="28"/>
          <w:szCs w:val="28"/>
          <w:lang w:val="en-US" w:eastAsia="zh-CN"/>
        </w:rPr>
        <w:t>81.42万元，占本年财政拨款支出0.38%；社会保障与就业支出4621.64万元，占本年财政拨款支出21.8%；卫生健康支出1015.05万元，占本年财政拨款支出4.79%；节能环保支出191.77万元，占本年财政拨款支出0.9%；城乡社区支出12490.49万元，占本年财政拨款支出58.92%；农林水支出1.02万元。住房保障支出6375.89万元，占本年财政拨款支出30.08%；</w:t>
      </w:r>
    </w:p>
    <w:p w14:paraId="01356111">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14:paraId="5730EC71">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1、“一般公共服务支出”（类）2023年度决算</w:t>
      </w:r>
      <w:r>
        <w:rPr>
          <w:rFonts w:hint="eastAsia" w:ascii="仿宋_GB2312" w:eastAsia="仿宋_GB2312"/>
          <w:sz w:val="28"/>
          <w:szCs w:val="28"/>
          <w:lang w:val="en-US" w:eastAsia="zh-CN"/>
        </w:rPr>
        <w:t>580.29</w:t>
      </w:r>
      <w:r>
        <w:rPr>
          <w:rFonts w:hint="eastAsia" w:ascii="仿宋_GB2312" w:eastAsia="仿宋_GB2312"/>
          <w:sz w:val="28"/>
          <w:szCs w:val="28"/>
        </w:rPr>
        <w:t>万元，比2023年度年初预算（减少）</w:t>
      </w:r>
      <w:r>
        <w:rPr>
          <w:rFonts w:hint="eastAsia" w:ascii="仿宋_GB2312" w:eastAsia="仿宋_GB2312"/>
          <w:sz w:val="28"/>
          <w:szCs w:val="28"/>
          <w:lang w:val="en-US" w:eastAsia="zh-CN"/>
        </w:rPr>
        <w:t>13.73</w:t>
      </w:r>
      <w:r>
        <w:rPr>
          <w:rFonts w:hint="eastAsia" w:ascii="仿宋_GB2312" w:eastAsia="仿宋_GB2312"/>
          <w:sz w:val="28"/>
          <w:szCs w:val="28"/>
        </w:rPr>
        <w:t>万元，（下降）</w:t>
      </w:r>
      <w:r>
        <w:rPr>
          <w:rFonts w:hint="eastAsia" w:ascii="仿宋_GB2312" w:eastAsia="仿宋_GB2312"/>
          <w:sz w:val="28"/>
          <w:szCs w:val="28"/>
          <w:lang w:val="en-US" w:eastAsia="zh-CN"/>
        </w:rPr>
        <w:t>2.37</w:t>
      </w:r>
      <w:r>
        <w:rPr>
          <w:rFonts w:hint="eastAsia" w:ascii="仿宋_GB2312" w:eastAsia="仿宋_GB2312"/>
          <w:sz w:val="28"/>
          <w:szCs w:val="28"/>
        </w:rPr>
        <w:t>%。其中：</w:t>
      </w:r>
    </w:p>
    <w:p w14:paraId="2566EFC6">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统计信息事务</w:t>
      </w:r>
      <w:r>
        <w:rPr>
          <w:rFonts w:hint="eastAsia" w:ascii="仿宋_GB2312" w:eastAsia="仿宋_GB2312"/>
          <w:sz w:val="28"/>
          <w:szCs w:val="28"/>
        </w:rPr>
        <w:t>2023年度决算</w:t>
      </w:r>
      <w:r>
        <w:rPr>
          <w:rFonts w:hint="eastAsia" w:ascii="仿宋_GB2312" w:eastAsia="仿宋_GB2312"/>
          <w:sz w:val="28"/>
          <w:szCs w:val="28"/>
          <w:lang w:val="en-US" w:eastAsia="zh-CN"/>
        </w:rPr>
        <w:t>52.97</w:t>
      </w:r>
      <w:r>
        <w:rPr>
          <w:rFonts w:hint="eastAsia" w:ascii="仿宋_GB2312" w:eastAsia="仿宋_GB2312"/>
          <w:sz w:val="28"/>
          <w:szCs w:val="28"/>
        </w:rPr>
        <w:t>万元，比2023年度年初预算增加</w:t>
      </w:r>
      <w:r>
        <w:rPr>
          <w:rFonts w:hint="eastAsia" w:ascii="仿宋_GB2312" w:eastAsia="仿宋_GB2312"/>
          <w:sz w:val="28"/>
          <w:szCs w:val="28"/>
          <w:lang w:val="en-US" w:eastAsia="zh-CN"/>
        </w:rPr>
        <w:t>3.41</w:t>
      </w:r>
      <w:r>
        <w:rPr>
          <w:rFonts w:hint="eastAsia" w:ascii="仿宋_GB2312" w:eastAsia="仿宋_GB2312"/>
          <w:sz w:val="28"/>
          <w:szCs w:val="28"/>
        </w:rPr>
        <w:t>万元，增长</w:t>
      </w:r>
      <w:r>
        <w:rPr>
          <w:rFonts w:hint="eastAsia" w:ascii="仿宋_GB2312" w:eastAsia="仿宋_GB2312"/>
          <w:sz w:val="28"/>
          <w:szCs w:val="28"/>
          <w:lang w:val="en-US" w:eastAsia="zh-CN"/>
        </w:rPr>
        <w:t>6.88</w:t>
      </w:r>
      <w:r>
        <w:rPr>
          <w:rFonts w:hint="eastAsia" w:ascii="仿宋_GB2312" w:eastAsia="仿宋_GB2312"/>
          <w:sz w:val="28"/>
          <w:szCs w:val="28"/>
        </w:rPr>
        <w:t>%。主要原因：</w:t>
      </w:r>
      <w:r>
        <w:rPr>
          <w:rFonts w:hint="eastAsia" w:ascii="仿宋_GB2312" w:eastAsia="仿宋_GB2312"/>
          <w:sz w:val="28"/>
          <w:szCs w:val="28"/>
          <w:lang w:eastAsia="zh-CN"/>
        </w:rPr>
        <w:t>是增加了专项普查经费</w:t>
      </w:r>
      <w:r>
        <w:rPr>
          <w:rFonts w:hint="eastAsia" w:ascii="仿宋_GB2312" w:eastAsia="仿宋_GB2312"/>
          <w:sz w:val="28"/>
          <w:szCs w:val="28"/>
        </w:rPr>
        <w:t>。</w:t>
      </w:r>
    </w:p>
    <w:p w14:paraId="3843B40C">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“党委办公厅及相关机构事务”2023年决算27.90万元，比2023年年初预算增加27.90万元，增加100%。主要原因是政法委群防群治专项资金、以奖代补专项资金增加。</w:t>
      </w:r>
    </w:p>
    <w:p w14:paraId="5D55CED4">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“组织事务”2023年决算489.61万元，比2023年年初预算减少195.87万元，减少28.57%。主要原因：因为专项资金到位较晚，社区安排项目资金较为缓慢，因此退还财政资金较多。</w:t>
      </w:r>
    </w:p>
    <w:p w14:paraId="3A2E3EE5">
      <w:pPr>
        <w:pStyle w:val="2"/>
        <w:rPr>
          <w:rFonts w:hint="default" w:ascii="仿宋_GB2312" w:eastAsia="仿宋_GB2312"/>
          <w:sz w:val="28"/>
          <w:szCs w:val="28"/>
          <w:lang w:val="en-US" w:eastAsia="zh-CN"/>
        </w:rPr>
      </w:pPr>
      <w:r>
        <w:rPr>
          <w:rFonts w:hint="eastAsia" w:ascii="仿宋_GB2312" w:eastAsia="仿宋_GB2312"/>
          <w:sz w:val="28"/>
          <w:szCs w:val="28"/>
          <w:lang w:val="en-US" w:eastAsia="zh-CN"/>
        </w:rPr>
        <w:t>“宣传事务”2023年度决算9.81万元，比2023年预算增加9.81万元，增加100%。主要原因是宣传扫黄打非专项资金的增加。</w:t>
      </w:r>
    </w:p>
    <w:p w14:paraId="14FB0B6F">
      <w:pPr>
        <w:numPr>
          <w:ilvl w:val="0"/>
          <w:numId w:val="0"/>
        </w:num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文化旅游与传媒</w:t>
      </w:r>
      <w:r>
        <w:rPr>
          <w:rFonts w:hint="eastAsia" w:ascii="仿宋_GB2312" w:eastAsia="仿宋_GB2312"/>
          <w:sz w:val="28"/>
          <w:szCs w:val="28"/>
        </w:rPr>
        <w:t>”(类)2023年度决算</w:t>
      </w:r>
      <w:r>
        <w:rPr>
          <w:rFonts w:hint="eastAsia" w:ascii="仿宋_GB2312" w:eastAsia="仿宋_GB2312"/>
          <w:sz w:val="28"/>
          <w:szCs w:val="28"/>
          <w:lang w:val="en-US" w:eastAsia="zh-CN"/>
        </w:rPr>
        <w:t>81.42</w:t>
      </w:r>
      <w:r>
        <w:rPr>
          <w:rFonts w:hint="eastAsia" w:ascii="仿宋_GB2312" w:eastAsia="仿宋_GB2312"/>
          <w:sz w:val="28"/>
          <w:szCs w:val="28"/>
        </w:rPr>
        <w:t>万元，比2023年度年初预算增加</w:t>
      </w:r>
      <w:r>
        <w:rPr>
          <w:rFonts w:hint="eastAsia" w:ascii="仿宋_GB2312" w:eastAsia="仿宋_GB2312"/>
          <w:sz w:val="28"/>
          <w:szCs w:val="28"/>
          <w:lang w:val="en-US" w:eastAsia="zh-CN"/>
        </w:rPr>
        <w:t>81.42万</w:t>
      </w:r>
      <w:r>
        <w:rPr>
          <w:rFonts w:hint="eastAsia" w:ascii="仿宋_GB2312" w:eastAsia="仿宋_GB2312"/>
          <w:sz w:val="28"/>
          <w:szCs w:val="28"/>
        </w:rPr>
        <w:t>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非遗专项、三馆免费开放专项、公益电影放映专项、文明示范小区专项资金的增加。</w:t>
      </w:r>
    </w:p>
    <w:p w14:paraId="79B5143B">
      <w:pPr>
        <w:numPr>
          <w:ilvl w:val="0"/>
          <w:numId w:val="0"/>
        </w:num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val="en-US" w:eastAsia="zh-CN"/>
        </w:rPr>
        <w:t>社会保障与就业</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2023年决算4621.64万元，比2023年度年初预算增加4621.64万元，增长100%。主要原因是。机关养老保险的增加。</w:t>
      </w:r>
    </w:p>
    <w:p w14:paraId="760AE72C">
      <w:pPr>
        <w:numPr>
          <w:ilvl w:val="0"/>
          <w:numId w:val="0"/>
        </w:num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卫生健康支</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2023年决算1015.05万元，比2023年度年初预算增加773.03万元，增长319.41%。主要原因是。疫情防控疫苗接种点资金的增加。</w:t>
      </w:r>
    </w:p>
    <w:p w14:paraId="07851258">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lang w:val="en-US" w:eastAsia="zh-CN"/>
        </w:rPr>
        <w:t>节能环保</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2023年决算191.77万元，比2023年度年初预算增加191.77万元，增长100%。主要原因是。大气防治专项资金的增加。</w:t>
      </w:r>
    </w:p>
    <w:p w14:paraId="60555E3B">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lang w:val="en-US" w:eastAsia="zh-CN"/>
        </w:rPr>
        <w:t>城乡社区支出</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2023年决算12490.49万元，比2023年度年初预算增加5039.68万元，增长67.64%。主要原因是。接诉即办专项、小微项目专项、违法电动三轮车专项、代征房产税专项、铁路沿线专项资金的增加。</w:t>
      </w:r>
    </w:p>
    <w:p w14:paraId="2D239955">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lang w:val="en-US" w:eastAsia="zh-CN"/>
        </w:rPr>
        <w:t>农林水支出</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2023年决算1.02万元，比2023年度年初预算增加1.02万元，增长100%。主要原因是。动物防疫专项资金的增加。</w:t>
      </w:r>
    </w:p>
    <w:p w14:paraId="6DBF01AF">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lang w:eastAsia="zh-CN"/>
        </w:rPr>
        <w:t>“</w:t>
      </w:r>
      <w:r>
        <w:rPr>
          <w:rFonts w:hint="eastAsia" w:ascii="仿宋_GB2312" w:eastAsia="仿宋_GB2312"/>
          <w:sz w:val="28"/>
          <w:szCs w:val="28"/>
          <w:lang w:val="en-US" w:eastAsia="zh-CN"/>
        </w:rPr>
        <w:t>住房保障支出</w:t>
      </w:r>
      <w:r>
        <w:rPr>
          <w:rFonts w:hint="eastAsia" w:ascii="仿宋_GB2312" w:eastAsia="仿宋_GB2312"/>
          <w:sz w:val="28"/>
          <w:szCs w:val="28"/>
          <w:lang w:eastAsia="zh-CN"/>
        </w:rPr>
        <w:t>”（类）</w:t>
      </w:r>
      <w:r>
        <w:rPr>
          <w:rFonts w:hint="eastAsia" w:ascii="仿宋_GB2312" w:eastAsia="仿宋_GB2312"/>
          <w:sz w:val="28"/>
          <w:szCs w:val="28"/>
          <w:lang w:val="en-US" w:eastAsia="zh-CN"/>
        </w:rPr>
        <w:t>2023年决算6375.89万元，比2023年度年初预算增加5863万元，增长1143.13%。主要原因是。主要是增加了老旧小区改造资金。</w:t>
      </w:r>
    </w:p>
    <w:p w14:paraId="2D6D132E">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7B95BE49">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14:paraId="4121ABA5">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2023年度政府性基金预算财政拨款支出</w:t>
      </w:r>
      <w:r>
        <w:rPr>
          <w:rFonts w:ascii="仿宋_GB2312" w:eastAsia="仿宋_GB2312"/>
          <w:sz w:val="28"/>
          <w:szCs w:val="28"/>
        </w:rPr>
        <w:t>10</w:t>
      </w:r>
      <w:r>
        <w:rPr>
          <w:rFonts w:hint="eastAsia" w:ascii="仿宋_GB2312" w:eastAsia="仿宋_GB2312"/>
          <w:sz w:val="28"/>
          <w:szCs w:val="28"/>
        </w:rPr>
        <w:t>万元，主要用于以下方面（按大类）：</w:t>
      </w:r>
      <w:r>
        <w:rPr>
          <w:rFonts w:hint="eastAsia" w:ascii="仿宋_GB2312" w:eastAsia="仿宋_GB2312"/>
          <w:sz w:val="28"/>
          <w:szCs w:val="28"/>
          <w:lang w:eastAsia="zh-CN"/>
        </w:rPr>
        <w:t>其他支出</w:t>
      </w:r>
      <w:r>
        <w:rPr>
          <w:rFonts w:hint="eastAsia" w:ascii="仿宋_GB2312" w:eastAsia="仿宋_GB2312"/>
          <w:sz w:val="28"/>
          <w:szCs w:val="28"/>
          <w:lang w:val="en-US" w:eastAsia="zh-CN"/>
        </w:rPr>
        <w:t>10</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0.05</w:t>
      </w:r>
      <w:r>
        <w:rPr>
          <w:rFonts w:hint="eastAsia" w:ascii="仿宋_GB2312" w:eastAsia="仿宋_GB2312"/>
          <w:sz w:val="28"/>
          <w:szCs w:val="28"/>
        </w:rPr>
        <w:t>%；</w:t>
      </w:r>
    </w:p>
    <w:p w14:paraId="6BE0DDB5">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14:paraId="092EF952">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其他支出”</w:t>
      </w:r>
      <w:r>
        <w:rPr>
          <w:rFonts w:hint="eastAsia" w:ascii="仿宋_GB2312" w:eastAsia="仿宋_GB2312"/>
          <w:sz w:val="28"/>
          <w:szCs w:val="28"/>
        </w:rPr>
        <w:t>（类，下同）2023年度决算</w:t>
      </w:r>
      <w:r>
        <w:rPr>
          <w:rFonts w:hint="eastAsia" w:ascii="仿宋_GB2312" w:eastAsia="仿宋_GB2312"/>
          <w:sz w:val="28"/>
          <w:szCs w:val="28"/>
          <w:lang w:val="en-US" w:eastAsia="zh-CN"/>
        </w:rPr>
        <w:t>10</w:t>
      </w:r>
      <w:r>
        <w:rPr>
          <w:rFonts w:hint="eastAsia" w:ascii="仿宋_GB2312" w:eastAsia="仿宋_GB2312"/>
          <w:sz w:val="28"/>
          <w:szCs w:val="28"/>
        </w:rPr>
        <w:t>万元，比2023年度年初预算增加</w:t>
      </w:r>
      <w:r>
        <w:rPr>
          <w:rFonts w:hint="eastAsia" w:ascii="仿宋_GB2312" w:eastAsia="仿宋_GB2312"/>
          <w:sz w:val="28"/>
          <w:szCs w:val="28"/>
          <w:lang w:val="en-US" w:eastAsia="zh-CN"/>
        </w:rPr>
        <w:t>10</w:t>
      </w:r>
      <w:r>
        <w:rPr>
          <w:rFonts w:hint="eastAsia" w:ascii="仿宋_GB2312" w:eastAsia="仿宋_GB2312"/>
          <w:sz w:val="28"/>
          <w:szCs w:val="28"/>
        </w:rPr>
        <w:t>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全面健身项目专项资金的增加。</w:t>
      </w:r>
    </w:p>
    <w:p w14:paraId="2F8E7A4A">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7AD6F527">
      <w:pPr>
        <w:ind w:firstLine="537" w:firstLineChars="192"/>
        <w:rPr>
          <w:rFonts w:ascii="仿宋_GB2312" w:eastAsia="仿宋_GB2312"/>
          <w:sz w:val="28"/>
          <w:szCs w:val="28"/>
        </w:rPr>
      </w:pPr>
      <w:r>
        <w:rPr>
          <w:rFonts w:hint="eastAsia" w:ascii="仿宋_GB2312" w:eastAsia="仿宋_GB2312"/>
          <w:sz w:val="28"/>
          <w:szCs w:val="28"/>
        </w:rPr>
        <w:t>2023年度国有资本经营预算财政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252A3C21">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784EDA4B">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2023年度使用一般公共预算财政拨款安排基本支出</w:t>
      </w:r>
      <w:r>
        <w:rPr>
          <w:rFonts w:ascii="仿宋_GB2312" w:eastAsia="仿宋_GB2312"/>
          <w:sz w:val="28"/>
          <w:szCs w:val="28"/>
        </w:rPr>
        <w:t>8365.03</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0A227F31">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rPr>
        <w:t>2023年度</w:t>
      </w:r>
      <w:r>
        <w:rPr>
          <w:rFonts w:hint="eastAsia" w:ascii="宋体" w:hAnsi="宋体" w:cs="宋体"/>
          <w:b/>
          <w:spacing w:val="40"/>
          <w:kern w:val="0"/>
          <w:sz w:val="32"/>
          <w:szCs w:val="32"/>
        </w:rPr>
        <w:t>其他重要事项的情况说明</w:t>
      </w:r>
    </w:p>
    <w:p w14:paraId="1CCDBDC8">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18B8B573">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3</w:t>
      </w:r>
      <w:r>
        <w:rPr>
          <w:rFonts w:hint="eastAsia" w:ascii="仿宋_GB2312" w:eastAsia="仿宋_GB2312"/>
          <w:bCs/>
          <w:sz w:val="28"/>
          <w:szCs w:val="28"/>
        </w:rPr>
        <w:t>个</w:t>
      </w:r>
      <w:r>
        <w:rPr>
          <w:rFonts w:hint="eastAsia" w:ascii="仿宋_GB2312" w:eastAsia="仿宋_GB2312"/>
          <w:sz w:val="28"/>
          <w:szCs w:val="28"/>
        </w:rPr>
        <w:t>事业单位。2023年度“三公”经费财政拨款决算数</w:t>
      </w:r>
      <w:r>
        <w:rPr>
          <w:rFonts w:ascii="仿宋_GB2312" w:eastAsia="仿宋_GB2312"/>
          <w:sz w:val="28"/>
          <w:szCs w:val="28"/>
        </w:rPr>
        <w:t>5.2</w:t>
      </w:r>
      <w:r>
        <w:rPr>
          <w:rFonts w:hint="eastAsia" w:ascii="仿宋_GB2312" w:eastAsia="仿宋_GB2312"/>
          <w:sz w:val="28"/>
          <w:szCs w:val="28"/>
        </w:rPr>
        <w:t>万元，比2023年度“三公”经费财政拨款年初预算</w:t>
      </w:r>
      <w:r>
        <w:rPr>
          <w:rFonts w:ascii="仿宋_GB2312" w:eastAsia="仿宋_GB2312"/>
          <w:sz w:val="28"/>
          <w:szCs w:val="28"/>
        </w:rPr>
        <w:t>9</w:t>
      </w:r>
      <w:r>
        <w:rPr>
          <w:rFonts w:hint="eastAsia" w:ascii="仿宋_GB2312" w:eastAsia="仿宋_GB2312"/>
          <w:sz w:val="28"/>
          <w:szCs w:val="28"/>
        </w:rPr>
        <w:t>万元减少</w:t>
      </w:r>
      <w:r>
        <w:rPr>
          <w:rFonts w:ascii="仿宋_GB2312" w:eastAsia="仿宋_GB2312"/>
          <w:sz w:val="28"/>
          <w:szCs w:val="28"/>
        </w:rPr>
        <w:t>3.8</w:t>
      </w:r>
      <w:r>
        <w:rPr>
          <w:rFonts w:hint="eastAsia" w:ascii="仿宋_GB2312" w:eastAsia="仿宋_GB2312"/>
          <w:sz w:val="28"/>
          <w:szCs w:val="28"/>
        </w:rPr>
        <w:t>万元。其中：</w:t>
      </w:r>
    </w:p>
    <w:p w14:paraId="1150DE14">
      <w:pPr>
        <w:numPr>
          <w:ilvl w:val="0"/>
          <w:numId w:val="1"/>
        </w:num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因公出国（境）费用。2023年度决算数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w:t>
      </w:r>
      <w:r>
        <w:rPr>
          <w:rFonts w:hint="eastAsia" w:ascii="仿宋_GB2312" w:eastAsia="仿宋_GB2312"/>
          <w:sz w:val="28"/>
          <w:szCs w:val="28"/>
          <w:lang w:eastAsia="zh-CN"/>
        </w:rPr>
        <w:t>无此类支出。</w:t>
      </w:r>
    </w:p>
    <w:p w14:paraId="7E753F29">
      <w:pPr>
        <w:numPr>
          <w:ilvl w:val="0"/>
          <w:numId w:val="0"/>
        </w:num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2.公务接待费。2023年度决算数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1.6</w:t>
      </w:r>
      <w:r>
        <w:rPr>
          <w:rFonts w:hint="eastAsia" w:ascii="仿宋_GB2312" w:eastAsia="仿宋_GB2312"/>
          <w:sz w:val="28"/>
          <w:szCs w:val="28"/>
        </w:rPr>
        <w:t>万元减少</w:t>
      </w:r>
      <w:r>
        <w:rPr>
          <w:rFonts w:hint="eastAsia" w:ascii="仿宋_GB2312" w:eastAsia="仿宋_GB2312"/>
          <w:sz w:val="28"/>
          <w:szCs w:val="28"/>
          <w:lang w:val="en-US" w:eastAsia="zh-CN"/>
        </w:rPr>
        <w:t>1.6</w:t>
      </w:r>
      <w:r>
        <w:rPr>
          <w:rFonts w:hint="eastAsia" w:ascii="仿宋_GB2312" w:eastAsia="仿宋_GB2312"/>
          <w:sz w:val="28"/>
          <w:szCs w:val="28"/>
        </w:rPr>
        <w:t>万元。主要原因：</w:t>
      </w:r>
      <w:r>
        <w:rPr>
          <w:rFonts w:hint="eastAsia" w:ascii="仿宋_GB2312" w:eastAsia="仿宋_GB2312"/>
          <w:sz w:val="28"/>
          <w:szCs w:val="28"/>
          <w:lang w:eastAsia="zh-CN"/>
        </w:rPr>
        <w:t>无此类支出。</w:t>
      </w:r>
    </w:p>
    <w:p w14:paraId="40E70762">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3.公务用车购置及运行维护费。2023年度决算数</w:t>
      </w:r>
      <w:r>
        <w:rPr>
          <w:rFonts w:hint="eastAsia" w:ascii="仿宋_GB2312" w:eastAsia="仿宋_GB2312"/>
          <w:sz w:val="28"/>
          <w:szCs w:val="28"/>
          <w:lang w:val="en-US" w:eastAsia="zh-CN"/>
        </w:rPr>
        <w:t>5.2</w:t>
      </w:r>
      <w:r>
        <w:rPr>
          <w:rFonts w:hint="eastAsia" w:ascii="仿宋_GB2312" w:eastAsia="仿宋_GB2312"/>
          <w:sz w:val="28"/>
          <w:szCs w:val="28"/>
        </w:rPr>
        <w:t>万元，比2023年度年初预算数</w:t>
      </w:r>
      <w:r>
        <w:rPr>
          <w:rFonts w:hint="eastAsia" w:ascii="仿宋_GB2312" w:eastAsia="仿宋_GB2312"/>
          <w:sz w:val="28"/>
          <w:szCs w:val="28"/>
          <w:lang w:val="en-US" w:eastAsia="zh-CN"/>
        </w:rPr>
        <w:t>9</w:t>
      </w:r>
      <w:r>
        <w:rPr>
          <w:rFonts w:hint="eastAsia" w:ascii="仿宋_GB2312" w:eastAsia="仿宋_GB2312"/>
          <w:sz w:val="28"/>
          <w:szCs w:val="28"/>
        </w:rPr>
        <w:t>万元（减少）</w:t>
      </w:r>
      <w:r>
        <w:rPr>
          <w:rFonts w:hint="eastAsia" w:ascii="仿宋_GB2312" w:eastAsia="仿宋_GB2312"/>
          <w:sz w:val="28"/>
          <w:szCs w:val="28"/>
          <w:lang w:val="en-US" w:eastAsia="zh-CN"/>
        </w:rPr>
        <w:t>3.8</w:t>
      </w:r>
      <w:r>
        <w:rPr>
          <w:rFonts w:hint="eastAsia" w:ascii="仿宋_GB2312" w:eastAsia="仿宋_GB2312"/>
          <w:sz w:val="28"/>
          <w:szCs w:val="28"/>
        </w:rPr>
        <w:t>万元。</w:t>
      </w:r>
    </w:p>
    <w:p w14:paraId="4880B74B">
      <w:pPr>
        <w:spacing w:line="560" w:lineRule="exact"/>
        <w:ind w:firstLine="560" w:firstLineChars="200"/>
        <w:rPr>
          <w:rFonts w:ascii="仿宋_GB2312" w:eastAsia="仿宋_GB2312"/>
          <w:sz w:val="28"/>
          <w:szCs w:val="28"/>
        </w:rPr>
      </w:pPr>
      <w:r>
        <w:rPr>
          <w:rFonts w:hint="eastAsia" w:ascii="仿宋_GB2312" w:eastAsia="仿宋_GB2312"/>
          <w:sz w:val="28"/>
          <w:szCs w:val="28"/>
        </w:rPr>
        <w:t>其中，公务用车购置费2023年度决算数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w:t>
      </w:r>
      <w:r>
        <w:rPr>
          <w:rFonts w:hint="eastAsia" w:ascii="仿宋_GB2312" w:eastAsia="仿宋_GB2312"/>
          <w:sz w:val="28"/>
          <w:szCs w:val="28"/>
          <w:lang w:eastAsia="zh-CN"/>
        </w:rPr>
        <w:t>无新购置车辆。</w:t>
      </w:r>
      <w:r>
        <w:rPr>
          <w:rFonts w:hint="eastAsia" w:ascii="仿宋_GB2312" w:eastAsia="仿宋_GB2312"/>
          <w:sz w:val="28"/>
          <w:szCs w:val="28"/>
        </w:rPr>
        <w:t>公务用车运行维护费2023年度决算数</w:t>
      </w:r>
      <w:r>
        <w:rPr>
          <w:rFonts w:ascii="仿宋_GB2312" w:eastAsia="仿宋_GB2312"/>
          <w:sz w:val="28"/>
          <w:szCs w:val="28"/>
        </w:rPr>
        <w:t>5.2</w:t>
      </w:r>
      <w:r>
        <w:rPr>
          <w:rFonts w:hint="eastAsia" w:ascii="仿宋_GB2312" w:eastAsia="仿宋_GB2312"/>
          <w:sz w:val="28"/>
          <w:szCs w:val="28"/>
        </w:rPr>
        <w:t>万元，比2023年度年初预算数</w:t>
      </w:r>
      <w:r>
        <w:rPr>
          <w:rFonts w:ascii="仿宋_GB2312" w:eastAsia="仿宋_GB2312"/>
          <w:sz w:val="28"/>
          <w:szCs w:val="28"/>
        </w:rPr>
        <w:t>7.4</w:t>
      </w:r>
      <w:r>
        <w:rPr>
          <w:rFonts w:hint="eastAsia" w:ascii="仿宋_GB2312" w:eastAsia="仿宋_GB2312"/>
          <w:sz w:val="28"/>
          <w:szCs w:val="28"/>
        </w:rPr>
        <w:t>万元（</w:t>
      </w:r>
      <w:bookmarkStart w:id="1" w:name="_GoBack"/>
      <w:bookmarkEnd w:id="1"/>
      <w:r>
        <w:rPr>
          <w:rFonts w:hint="eastAsia" w:ascii="仿宋_GB2312" w:eastAsia="仿宋_GB2312"/>
          <w:sz w:val="28"/>
          <w:szCs w:val="28"/>
        </w:rPr>
        <w:t>减少）</w:t>
      </w:r>
      <w:r>
        <w:rPr>
          <w:rFonts w:hint="eastAsia" w:ascii="仿宋_GB2312" w:eastAsia="仿宋_GB2312"/>
          <w:sz w:val="28"/>
          <w:szCs w:val="28"/>
          <w:lang w:val="en-US" w:eastAsia="zh-CN"/>
        </w:rPr>
        <w:t>2.2</w:t>
      </w:r>
      <w:r>
        <w:rPr>
          <w:rFonts w:hint="eastAsia" w:ascii="仿宋_GB2312" w:eastAsia="仿宋_GB2312"/>
          <w:sz w:val="28"/>
          <w:szCs w:val="28"/>
        </w:rPr>
        <w:t>万元，主要原因：</w:t>
      </w:r>
      <w:r>
        <w:rPr>
          <w:rFonts w:hint="eastAsia" w:ascii="仿宋_GB2312" w:eastAsia="仿宋_GB2312"/>
          <w:sz w:val="28"/>
          <w:szCs w:val="28"/>
          <w:lang w:eastAsia="zh-CN"/>
        </w:rPr>
        <w:t>车辆加油及保险减少。</w:t>
      </w:r>
      <w:r>
        <w:rPr>
          <w:rFonts w:hint="eastAsia" w:ascii="仿宋_GB2312" w:eastAsia="仿宋_GB2312"/>
          <w:sz w:val="28"/>
          <w:szCs w:val="28"/>
        </w:rPr>
        <w:t>2023年度公务用车运行维护费中，公务用车加油</w:t>
      </w:r>
      <w:r>
        <w:rPr>
          <w:rFonts w:ascii="仿宋_GB2312" w:eastAsia="仿宋_GB2312"/>
          <w:sz w:val="28"/>
          <w:szCs w:val="28"/>
        </w:rPr>
        <w:t>0.3</w:t>
      </w:r>
      <w:r>
        <w:rPr>
          <w:rFonts w:hint="eastAsia" w:ascii="仿宋_GB2312" w:eastAsia="仿宋_GB2312"/>
          <w:sz w:val="28"/>
          <w:szCs w:val="28"/>
        </w:rPr>
        <w:t>万元，公务用车维修</w:t>
      </w:r>
      <w:r>
        <w:rPr>
          <w:rFonts w:ascii="仿宋_GB2312" w:eastAsia="仿宋_GB2312"/>
          <w:sz w:val="28"/>
          <w:szCs w:val="28"/>
        </w:rPr>
        <w:t>4.21</w:t>
      </w:r>
      <w:r>
        <w:rPr>
          <w:rFonts w:hint="eastAsia" w:ascii="仿宋_GB2312" w:eastAsia="仿宋_GB2312"/>
          <w:sz w:val="28"/>
          <w:szCs w:val="28"/>
        </w:rPr>
        <w:t>万元，公务用车保险</w:t>
      </w:r>
      <w:r>
        <w:rPr>
          <w:rFonts w:ascii="仿宋_GB2312" w:eastAsia="仿宋_GB2312"/>
          <w:sz w:val="28"/>
          <w:szCs w:val="28"/>
        </w:rPr>
        <w:t>0.69</w:t>
      </w:r>
      <w:r>
        <w:rPr>
          <w:rFonts w:hint="eastAsia" w:ascii="仿宋_GB2312" w:eastAsia="仿宋_GB2312"/>
          <w:sz w:val="28"/>
          <w:szCs w:val="28"/>
        </w:rPr>
        <w:t>万元，公务用车其他支出</w:t>
      </w:r>
      <w:r>
        <w:rPr>
          <w:rFonts w:ascii="仿宋_GB2312" w:eastAsia="仿宋_GB2312"/>
          <w:sz w:val="28"/>
          <w:szCs w:val="28"/>
        </w:rPr>
        <w:t>0</w:t>
      </w:r>
      <w:r>
        <w:rPr>
          <w:rFonts w:hint="eastAsia" w:ascii="仿宋_GB2312" w:eastAsia="仿宋_GB2312"/>
          <w:sz w:val="28"/>
          <w:szCs w:val="28"/>
        </w:rPr>
        <w:t>万元。2023年度公务用车保有量</w:t>
      </w:r>
      <w:r>
        <w:rPr>
          <w:rFonts w:hint="eastAsia" w:ascii="仿宋_GB2312" w:eastAsia="仿宋_GB2312"/>
          <w:sz w:val="28"/>
          <w:szCs w:val="28"/>
          <w:lang w:val="en-US" w:eastAsia="zh-CN"/>
        </w:rPr>
        <w:t>5</w:t>
      </w:r>
      <w:r>
        <w:rPr>
          <w:rFonts w:hint="eastAsia" w:ascii="仿宋_GB2312" w:eastAsia="仿宋_GB2312"/>
          <w:sz w:val="28"/>
          <w:szCs w:val="28"/>
        </w:rPr>
        <w:t>辆，车均运行维护费</w:t>
      </w:r>
      <w:r>
        <w:rPr>
          <w:rFonts w:hint="eastAsia" w:ascii="仿宋_GB2312" w:eastAsia="仿宋_GB2312"/>
          <w:sz w:val="28"/>
          <w:szCs w:val="28"/>
          <w:lang w:val="en-US" w:eastAsia="zh-CN"/>
        </w:rPr>
        <w:t>0.84</w:t>
      </w:r>
      <w:r>
        <w:rPr>
          <w:rFonts w:hint="eastAsia" w:ascii="仿宋_GB2312" w:eastAsia="仿宋_GB2312"/>
          <w:sz w:val="28"/>
          <w:szCs w:val="28"/>
        </w:rPr>
        <w:t>万元。</w:t>
      </w:r>
    </w:p>
    <w:p w14:paraId="3A6FBD4C">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7B473EE9">
      <w:pPr>
        <w:ind w:firstLine="537" w:firstLineChars="192"/>
        <w:rPr>
          <w:rFonts w:ascii="仿宋_GB2312" w:eastAsia="仿宋_GB2312"/>
          <w:sz w:val="28"/>
          <w:szCs w:val="28"/>
        </w:rPr>
      </w:pPr>
      <w:r>
        <w:rPr>
          <w:rFonts w:hint="eastAsia" w:ascii="仿宋_GB2312" w:eastAsia="仿宋_GB2312"/>
          <w:sz w:val="28"/>
          <w:szCs w:val="28"/>
        </w:rPr>
        <w:t>2023年度使用财政拨款安排的基本支出中的日常公用经费支出，合计</w:t>
      </w:r>
      <w:r>
        <w:rPr>
          <w:rFonts w:hint="eastAsia" w:ascii="仿宋_GB2312" w:eastAsia="仿宋_GB2312"/>
          <w:sz w:val="28"/>
          <w:szCs w:val="28"/>
          <w:lang w:val="en-US" w:eastAsia="zh-CN"/>
        </w:rPr>
        <w:t>615.42</w:t>
      </w:r>
      <w:r>
        <w:rPr>
          <w:rFonts w:hint="eastAsia" w:ascii="仿宋_GB2312" w:eastAsia="仿宋_GB2312"/>
          <w:sz w:val="28"/>
          <w:szCs w:val="28"/>
        </w:rPr>
        <w:t>万元，比上年（减少）</w:t>
      </w:r>
      <w:r>
        <w:rPr>
          <w:rFonts w:hint="eastAsia" w:ascii="仿宋_GB2312" w:eastAsia="仿宋_GB2312"/>
          <w:sz w:val="28"/>
          <w:szCs w:val="28"/>
          <w:lang w:val="en-US" w:eastAsia="zh-CN"/>
        </w:rPr>
        <w:t>41.19</w:t>
      </w:r>
      <w:r>
        <w:rPr>
          <w:rFonts w:hint="eastAsia" w:ascii="仿宋_GB2312" w:eastAsia="仿宋_GB2312"/>
          <w:sz w:val="28"/>
          <w:szCs w:val="28"/>
        </w:rPr>
        <w:t>万元，（减少）原因：</w:t>
      </w:r>
      <w:r>
        <w:rPr>
          <w:rFonts w:hint="eastAsia" w:ascii="仿宋_GB2312" w:eastAsia="仿宋_GB2312"/>
          <w:sz w:val="28"/>
          <w:szCs w:val="28"/>
          <w:lang w:eastAsia="zh-CN"/>
        </w:rPr>
        <w:t>主要是财政减压</w:t>
      </w:r>
      <w:r>
        <w:rPr>
          <w:rFonts w:hint="eastAsia" w:ascii="仿宋_GB2312" w:eastAsia="仿宋_GB2312"/>
          <w:sz w:val="28"/>
          <w:szCs w:val="28"/>
          <w:lang w:val="en-US" w:eastAsia="zh-CN"/>
        </w:rPr>
        <w:t>20%</w:t>
      </w:r>
      <w:r>
        <w:rPr>
          <w:rFonts w:hint="eastAsia" w:ascii="仿宋_GB2312" w:eastAsia="仿宋_GB2312"/>
          <w:sz w:val="28"/>
          <w:szCs w:val="28"/>
        </w:rPr>
        <w:t>。</w:t>
      </w:r>
    </w:p>
    <w:p w14:paraId="171772EC">
      <w:pPr>
        <w:ind w:left="540"/>
        <w:rPr>
          <w:rFonts w:ascii="黑体" w:eastAsia="黑体"/>
          <w:sz w:val="28"/>
          <w:szCs w:val="28"/>
        </w:rPr>
      </w:pPr>
      <w:r>
        <w:rPr>
          <w:rFonts w:hint="eastAsia" w:ascii="黑体" w:eastAsia="黑体"/>
          <w:sz w:val="28"/>
          <w:szCs w:val="28"/>
        </w:rPr>
        <w:t>三、政府采购支出情况</w:t>
      </w:r>
    </w:p>
    <w:p w14:paraId="7BE68026">
      <w:pPr>
        <w:ind w:firstLine="537" w:firstLineChars="192"/>
        <w:rPr>
          <w:rFonts w:ascii="仿宋_GB2312" w:eastAsia="仿宋_GB2312"/>
          <w:sz w:val="28"/>
          <w:szCs w:val="28"/>
        </w:rPr>
      </w:pPr>
      <w:r>
        <w:rPr>
          <w:rFonts w:hint="eastAsia" w:ascii="仿宋_GB2312" w:eastAsia="仿宋_GB2312"/>
          <w:sz w:val="28"/>
          <w:szCs w:val="28"/>
        </w:rPr>
        <w:t>2023年度政府采购支出总额</w:t>
      </w:r>
      <w:r>
        <w:rPr>
          <w:rFonts w:ascii="仿宋_GB2312" w:eastAsia="仿宋_GB2312"/>
          <w:sz w:val="28"/>
          <w:szCs w:val="28"/>
        </w:rPr>
        <w:t>1167.79</w:t>
      </w:r>
      <w:r>
        <w:rPr>
          <w:rFonts w:hint="eastAsia" w:ascii="仿宋_GB2312" w:eastAsia="仿宋_GB2312"/>
          <w:sz w:val="28"/>
          <w:szCs w:val="28"/>
        </w:rPr>
        <w:t>万元，其中：政府采购货物支出</w:t>
      </w:r>
      <w:r>
        <w:rPr>
          <w:rFonts w:ascii="仿宋_GB2312" w:eastAsia="仿宋_GB2312"/>
          <w:sz w:val="28"/>
          <w:szCs w:val="28"/>
        </w:rPr>
        <w:t>44.4</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1123.39</w:t>
      </w:r>
      <w:r>
        <w:rPr>
          <w:rFonts w:hint="eastAsia" w:ascii="仿宋_GB2312" w:eastAsia="仿宋_GB2312"/>
          <w:sz w:val="28"/>
          <w:szCs w:val="28"/>
        </w:rPr>
        <w:t>万元。授予中小企业合同金额</w:t>
      </w:r>
      <w:r>
        <w:rPr>
          <w:rFonts w:ascii="仿宋_GB2312" w:eastAsia="仿宋_GB2312"/>
          <w:sz w:val="28"/>
          <w:szCs w:val="28"/>
        </w:rPr>
        <w:t>1167.79</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%，其中：授予小微企业合同金额</w:t>
      </w:r>
      <w:r>
        <w:rPr>
          <w:rFonts w:ascii="仿宋_GB2312" w:eastAsia="仿宋_GB2312"/>
          <w:sz w:val="28"/>
          <w:szCs w:val="28"/>
        </w:rPr>
        <w:t>1167.79</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w:t>
      </w:r>
    </w:p>
    <w:p w14:paraId="531995D8">
      <w:pPr>
        <w:ind w:firstLine="560" w:firstLineChars="200"/>
        <w:rPr>
          <w:rFonts w:ascii="黑体" w:eastAsia="黑体"/>
          <w:sz w:val="28"/>
          <w:szCs w:val="28"/>
          <w:highlight w:val="yellow"/>
        </w:rPr>
      </w:pPr>
      <w:r>
        <w:rPr>
          <w:rFonts w:hint="eastAsia" w:ascii="黑体" w:eastAsia="黑体"/>
          <w:sz w:val="28"/>
          <w:szCs w:val="28"/>
        </w:rPr>
        <w:t>四、国有资产占用情况</w:t>
      </w:r>
    </w:p>
    <w:p w14:paraId="03A10451">
      <w:pPr>
        <w:ind w:firstLine="560" w:firstLineChars="200"/>
        <w:rPr>
          <w:rFonts w:ascii="仿宋_GB2312" w:eastAsia="仿宋_GB2312"/>
          <w:sz w:val="32"/>
          <w:szCs w:val="32"/>
        </w:rPr>
      </w:pPr>
      <w:r>
        <w:rPr>
          <w:rFonts w:hint="eastAsia" w:ascii="仿宋_GB2312" w:eastAsia="仿宋_GB2312"/>
          <w:sz w:val="28"/>
          <w:szCs w:val="28"/>
        </w:rPr>
        <w:t>2023年度新购置车辆</w:t>
      </w:r>
      <w:r>
        <w:rPr>
          <w:rFonts w:hint="eastAsia" w:ascii="仿宋_GB2312" w:eastAsia="仿宋_GB2312"/>
          <w:sz w:val="28"/>
          <w:szCs w:val="28"/>
          <w:lang w:val="en-US" w:eastAsia="zh-CN"/>
        </w:rPr>
        <w:t>0</w:t>
      </w:r>
      <w:r>
        <w:rPr>
          <w:rFonts w:hint="eastAsia" w:ascii="仿宋_GB2312" w:eastAsia="仿宋_GB2312"/>
          <w:sz w:val="28"/>
          <w:szCs w:val="28"/>
        </w:rPr>
        <w:t>台，共计</w:t>
      </w:r>
      <w:r>
        <w:rPr>
          <w:rFonts w:hint="eastAsia" w:ascii="仿宋_GB2312" w:eastAsia="仿宋_GB2312"/>
          <w:sz w:val="28"/>
          <w:szCs w:val="28"/>
          <w:lang w:val="en-US" w:eastAsia="zh-CN"/>
        </w:rPr>
        <w:t>0</w:t>
      </w:r>
      <w:r>
        <w:rPr>
          <w:rFonts w:hint="eastAsia" w:ascii="仿宋_GB2312" w:eastAsia="仿宋_GB2312"/>
          <w:sz w:val="28"/>
          <w:szCs w:val="28"/>
        </w:rPr>
        <w:t>万元；新购置单位价值100万元（含）以上的设备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w:t>
      </w:r>
      <w:r>
        <w:rPr>
          <w:rFonts w:hint="eastAsia" w:ascii="仿宋_GB2312" w:eastAsia="仿宋_GB2312"/>
          <w:sz w:val="28"/>
          <w:szCs w:val="28"/>
        </w:rPr>
        <w:t>万元。截至12月31日</w:t>
      </w:r>
      <w:r>
        <w:rPr>
          <w:rFonts w:hint="eastAsia" w:ascii="仿宋_GB2312" w:eastAsia="仿宋_GB2312"/>
          <w:sz w:val="28"/>
          <w:szCs w:val="28"/>
          <w:lang w:eastAsia="zh-CN"/>
        </w:rPr>
        <w:t>我街道</w:t>
      </w:r>
      <w:r>
        <w:rPr>
          <w:rFonts w:hint="eastAsia" w:ascii="仿宋_GB2312" w:eastAsia="仿宋_GB2312"/>
          <w:sz w:val="28"/>
          <w:szCs w:val="28"/>
        </w:rPr>
        <w:t>共有车辆</w:t>
      </w:r>
      <w:r>
        <w:rPr>
          <w:rFonts w:hint="eastAsia" w:ascii="仿宋_GB2312" w:eastAsia="仿宋_GB2312"/>
          <w:sz w:val="28"/>
          <w:szCs w:val="28"/>
          <w:lang w:val="en-US" w:eastAsia="zh-CN"/>
        </w:rPr>
        <w:t>5</w:t>
      </w:r>
      <w:r>
        <w:rPr>
          <w:rFonts w:hint="eastAsia" w:ascii="仿宋_GB2312" w:eastAsia="仿宋_GB2312"/>
          <w:sz w:val="28"/>
          <w:szCs w:val="28"/>
        </w:rPr>
        <w:t>台，共计</w:t>
      </w:r>
      <w:r>
        <w:rPr>
          <w:rFonts w:hint="eastAsia" w:ascii="仿宋_GB2312" w:eastAsia="仿宋_GB2312"/>
          <w:sz w:val="28"/>
          <w:szCs w:val="28"/>
          <w:lang w:val="en-US" w:eastAsia="zh-CN"/>
        </w:rPr>
        <w:t>81.53</w:t>
      </w:r>
      <w:r>
        <w:rPr>
          <w:rFonts w:hint="eastAsia" w:ascii="仿宋_GB2312" w:eastAsia="仿宋_GB2312"/>
          <w:sz w:val="28"/>
          <w:szCs w:val="28"/>
        </w:rPr>
        <w:t>万元；单位价值100万元（含）以上的设备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w:t>
      </w:r>
      <w:r>
        <w:rPr>
          <w:rFonts w:hint="eastAsia" w:ascii="仿宋_GB2312" w:eastAsia="仿宋_GB2312"/>
          <w:sz w:val="28"/>
          <w:szCs w:val="28"/>
        </w:rPr>
        <w:t>万元。</w:t>
      </w:r>
    </w:p>
    <w:p w14:paraId="1E61015F">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13232570">
      <w:pPr>
        <w:ind w:firstLine="537" w:firstLineChars="192"/>
        <w:rPr>
          <w:rFonts w:ascii="仿宋_GB2312" w:eastAsia="仿宋_GB2312"/>
          <w:sz w:val="28"/>
          <w:szCs w:val="28"/>
        </w:rPr>
      </w:pPr>
      <w:r>
        <w:rPr>
          <w:rFonts w:hint="eastAsia" w:ascii="仿宋_GB2312" w:eastAsia="仿宋_GB2312"/>
          <w:sz w:val="28"/>
          <w:szCs w:val="28"/>
        </w:rPr>
        <w:t>2023年度</w:t>
      </w:r>
      <w:r>
        <w:rPr>
          <w:rFonts w:ascii="仿宋_GB2312" w:eastAsia="仿宋_GB2312"/>
          <w:sz w:val="28"/>
          <w:szCs w:val="28"/>
        </w:rPr>
        <w:t>政府购买服务决算464.72</w:t>
      </w:r>
      <w:r>
        <w:rPr>
          <w:rFonts w:hint="eastAsia" w:ascii="仿宋_GB2312" w:eastAsia="仿宋_GB2312"/>
          <w:sz w:val="28"/>
          <w:szCs w:val="28"/>
        </w:rPr>
        <w:t>万元。</w:t>
      </w:r>
    </w:p>
    <w:p w14:paraId="42B8DFB5">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6D38A798">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108CB9BA">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0201B786">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6050DD89">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117F3B67">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34A89981">
      <w:pPr>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6EEFA4DA">
      <w:pPr>
        <w:ind w:firstLine="632" w:firstLineChars="200"/>
        <w:rPr>
          <w:rFonts w:ascii="仿宋_GB2312" w:eastAsia="仿宋_GB2312"/>
          <w:b/>
          <w:color w:val="000000"/>
          <w:spacing w:val="-2"/>
          <w:sz w:val="32"/>
          <w:szCs w:val="32"/>
        </w:rPr>
      </w:pPr>
      <w:r>
        <w:rPr>
          <w:rFonts w:hint="eastAsia" w:ascii="仿宋_GB2312" w:eastAsia="仿宋_GB2312"/>
          <w:b/>
          <w:color w:val="000000"/>
          <w:spacing w:val="-2"/>
          <w:sz w:val="32"/>
          <w:szCs w:val="32"/>
        </w:rPr>
        <w:t>7.各单位需根据自身业务职能，补充当年使用的所有支出功能分类项级科目名词解释，例如：</w:t>
      </w:r>
    </w:p>
    <w:p w14:paraId="5C3F653D">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一般公共服务支出（类）统计信息事务专项普查活动：反映统计部门开展人口普查、经济普查、农业普查、投入产出调查等周期性普查工作的支出。</w:t>
      </w:r>
    </w:p>
    <w:p w14:paraId="767BD4C2">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一般公共服务支出（类）统计信息事务统计抽样调查：反映统计调查队开展各类统计调查工作的支出。</w:t>
      </w:r>
    </w:p>
    <w:p w14:paraId="4D26111D">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一般公共服务支出（类）党委办公厅（室）及相关机构事务一般行政管理事务：反映行政单位（包括实施公务员管理的事业单位）的基本支出。</w:t>
      </w:r>
    </w:p>
    <w:p w14:paraId="309F4315">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一般公共服务支出（类）组织事务一般行政管理事务：反映行政单位（包括实行公务员管理的事业单位）未单独设置项级科目的其他项目支出。</w:t>
      </w:r>
    </w:p>
    <w:p w14:paraId="4459BC3D">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一般公共服务支出（类）宣传事务一般行政管理事务：反映行政单位（包括实行公务员管理的事业单位）未单独设置项级科目的其他项目支出。</w:t>
      </w:r>
    </w:p>
    <w:p w14:paraId="502F6F7B">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一般公共服务支出（类）文化旅游体育与传媒支出文化和旅游其他文化和旅游支出：其他用于文化和旅游方面的支出。</w:t>
      </w:r>
    </w:p>
    <w:p w14:paraId="40B63967">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一般公共服务支出（类）社会保障和就业支出行政单位退休：反映行政单位（包括实行公务员管理的事业单位）开支的离退休经费。</w:t>
      </w:r>
    </w:p>
    <w:p w14:paraId="2859B263">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一般公共服务支出（类）社会保障和就业支出机关事业单位基本养老保险费支出：反映机关事业单位实施养老保险制度由单位缴纳的基本养老保险费支出。</w:t>
      </w:r>
    </w:p>
    <w:p w14:paraId="1AD254B8">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一般公共服务支出（类）社会保障和就业支出机关事业单位职业年金缴费支出：反映机关事业单位实施养老保险制度由单位实际缴纳的职业年金支出（含职业年金补记支出）</w:t>
      </w:r>
    </w:p>
    <w:p w14:paraId="29772ED7">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一般公共服务支出（类）卫生健康支出公共卫生突发公共卫生事业应急支出：反映用于突发公共卫生事件应急处置方面的支出。</w:t>
      </w:r>
    </w:p>
    <w:p w14:paraId="049E8A28">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卫生健康支出行政事业单位医疗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14:paraId="17B392C9">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一般公共服务支出（类）卫生健康支出行政事业单位医疗事业医疗：反映财政部门安排的事业单位基本医疗保险缴费经费，未参加医疗保险的事业单位的公费医疗经费，按国家规定享受离休人员待遇的医疗经费。</w:t>
      </w:r>
    </w:p>
    <w:p w14:paraId="592CCE3C">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一般公共服务支出（类）卫生健康支出行政事业单位医疗其他行政事业单位医疗支出：反映除上述项目以外的其他用于行政事业单位医疗方面的支出。</w:t>
      </w:r>
    </w:p>
    <w:p w14:paraId="43028FCA">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一般公共服务支出（类）节能环保支出污染防治大气：反映政府在治理空气污染、汽车尾气、酸雨、二氧化碳、沙尘暴等方面的支出。</w:t>
      </w:r>
    </w:p>
    <w:p w14:paraId="6A6D090D">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一般公共服务支出（类）城乡社区支出城乡管理事务行政运行：反映行政单位（包括实行公务员管理的事业单位）的基本支出。</w:t>
      </w:r>
    </w:p>
    <w:p w14:paraId="51115C68">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一般公共服务支出（类）城乡社区支出城乡管理事务行一般行政管理事务支出：反映行政单位（包括实行公务员管理的事业单位）未单独设置项级科目的其他项目支出。</w:t>
      </w:r>
    </w:p>
    <w:p w14:paraId="18841E03">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一般公共服务支出（类）城乡社区支出城乡管理事务行其他城乡社区管理事务支出：反映除上述项目以外其他用于城乡社区管理事务方面的支出。</w:t>
      </w:r>
    </w:p>
    <w:p w14:paraId="69913018">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一般公共服务支出（类）城乡社区环境卫生支出：反映各类建筑工程强制性和推进性标准级规范的制定与修改、建筑工程招标等市场管理、建筑工程质量与安全监督等方面的支出。</w:t>
      </w:r>
    </w:p>
    <w:p w14:paraId="1119B050">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一般公共服务支出（类）城乡其他城乡社区支出：反映除上述项目以外其他用于城乡社区方面的支出。</w:t>
      </w:r>
    </w:p>
    <w:p w14:paraId="3833EB02">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农林水支出农业农村病虫害控制：反映用于病虫鼠害及疫情监测、预报、预防、控制、检疫、防疫所需的仪器、设施、药物、疫苗、种苗、疫畜（禽、鱼、植物）防治、补杀补偿及劳务补助、菌（毒）种保藏及动植物及其产品检疫、检测等方面的支出：</w:t>
      </w:r>
    </w:p>
    <w:p w14:paraId="57B3808C">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一般公共服务支出（类）城乡住房保障支出保障性安居工程支出老旧小区改造：反映用于老旧小区改造方面的支出。</w:t>
      </w:r>
    </w:p>
    <w:p w14:paraId="19BB0AE7">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一般公共服务支出（类）城乡住房保障支出住房改革支出住房公积金：反映行政事业单位按人力资源和社会保障部、财政部规定的基本工资和津贴补贴以及规定比例为职工缴纳的住房公积金。</w:t>
      </w:r>
    </w:p>
    <w:p w14:paraId="7814D048">
      <w:pPr>
        <w:pStyle w:val="2"/>
        <w:rPr>
          <w:rFonts w:ascii="黑体" w:eastAsia="黑体"/>
          <w:sz w:val="32"/>
          <w:szCs w:val="32"/>
        </w:rPr>
      </w:pPr>
      <w:r>
        <w:rPr>
          <w:rFonts w:hint="eastAsia" w:ascii="仿宋_GB2312" w:eastAsia="仿宋_GB2312"/>
          <w:sz w:val="28"/>
          <w:szCs w:val="28"/>
          <w:lang w:val="en-US" w:eastAsia="zh-CN"/>
        </w:rPr>
        <w:t>一般公共服务支出（类）城乡住房保障支出住房改革支出购房补贴：反映按房改政策规定，行政事业单位向符合条件职工（含离退休人员）、军队（含武警）向转役复员离退人员发放的用于购买住房的补贴。</w:t>
      </w:r>
    </w:p>
    <w:p w14:paraId="15A837AF">
      <w:pPr>
        <w:ind w:firstLine="640" w:firstLineChars="200"/>
        <w:jc w:val="center"/>
        <w:rPr>
          <w:rFonts w:ascii="黑体" w:eastAsia="黑体"/>
          <w:sz w:val="32"/>
          <w:szCs w:val="32"/>
        </w:rPr>
      </w:pPr>
    </w:p>
    <w:p w14:paraId="2FDC6F5F">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eastAsia" w:ascii="黑体" w:eastAsia="黑体"/>
          <w:sz w:val="32"/>
          <w:szCs w:val="32"/>
          <w:lang w:val="en-US" w:eastAsia="zh-CN"/>
        </w:rPr>
        <w:t>3</w:t>
      </w:r>
      <w:r>
        <w:rPr>
          <w:rFonts w:hint="eastAsia" w:ascii="黑体" w:eastAsia="黑体"/>
          <w:sz w:val="32"/>
          <w:szCs w:val="32"/>
          <w:lang w:eastAsia="zh-CN"/>
        </w:rPr>
        <w:t>年度</w:t>
      </w:r>
      <w:r>
        <w:rPr>
          <w:rFonts w:hint="eastAsia" w:ascii="黑体" w:eastAsia="黑体"/>
          <w:sz w:val="32"/>
          <w:szCs w:val="32"/>
        </w:rPr>
        <w:t>部门绩效评价情况</w:t>
      </w:r>
    </w:p>
    <w:p w14:paraId="4DB7B0EA">
      <w:pPr>
        <w:ind w:firstLine="560" w:firstLineChars="200"/>
        <w:rPr>
          <w:rFonts w:hint="eastAsia" w:ascii="黑体" w:eastAsia="黑体"/>
          <w:sz w:val="28"/>
          <w:szCs w:val="28"/>
          <w:highlight w:val="yellow"/>
        </w:rPr>
      </w:pPr>
    </w:p>
    <w:p w14:paraId="32B2B35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lang w:eastAsia="zh-CN"/>
        </w:rPr>
        <w:t>一</w:t>
      </w:r>
      <w:r>
        <w:rPr>
          <w:rFonts w:hint="eastAsia" w:ascii="黑体" w:eastAsia="黑体"/>
          <w:sz w:val="28"/>
          <w:szCs w:val="28"/>
          <w:highlight w:val="none"/>
        </w:rPr>
        <w:t>、</w:t>
      </w:r>
      <w:r>
        <w:rPr>
          <w:rFonts w:hint="eastAsia" w:ascii="黑体" w:eastAsia="黑体"/>
          <w:sz w:val="28"/>
          <w:szCs w:val="28"/>
          <w:highlight w:val="none"/>
          <w:lang w:eastAsia="zh-CN"/>
        </w:rPr>
        <w:t>重点</w:t>
      </w:r>
      <w:r>
        <w:rPr>
          <w:rFonts w:hint="eastAsia" w:ascii="黑体" w:eastAsia="黑体"/>
          <w:sz w:val="28"/>
          <w:szCs w:val="28"/>
          <w:highlight w:val="none"/>
        </w:rPr>
        <w:t>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r>
        <w:rPr>
          <w:rFonts w:hint="eastAsia" w:ascii="黑体" w:eastAsia="黑体"/>
          <w:sz w:val="28"/>
          <w:szCs w:val="28"/>
          <w:highlight w:val="none"/>
          <w:lang w:eastAsia="zh-CN"/>
        </w:rPr>
        <w:t>（所有部门均需填报）</w:t>
      </w:r>
    </w:p>
    <w:p w14:paraId="5A86C57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基本情况</w:t>
      </w:r>
    </w:p>
    <w:p w14:paraId="740A74B6">
      <w:pPr>
        <w:autoSpaceDE w:val="0"/>
        <w:autoSpaceDN w:val="0"/>
        <w:adjustRightInd w:val="0"/>
        <w:spacing w:line="360" w:lineRule="auto"/>
        <w:ind w:left="-2" w:leftChars="-1" w:firstLine="707" w:firstLineChars="221"/>
        <w:jc w:val="left"/>
        <w:outlineLvl w:val="1"/>
        <w:rPr>
          <w:rFonts w:ascii="楷体_GB2312" w:hAnsi="楷体_GB2312" w:eastAsia="楷体_GB2312" w:cs="楷体_GB2312"/>
          <w:kern w:val="0"/>
          <w:sz w:val="32"/>
          <w:szCs w:val="32"/>
        </w:rPr>
      </w:pPr>
      <w:bookmarkStart w:id="0" w:name="_Toc143074736"/>
      <w:r>
        <w:rPr>
          <w:rFonts w:hint="eastAsia" w:ascii="楷体_GB2312" w:hAnsi="楷体_GB2312" w:eastAsia="楷体_GB2312" w:cs="楷体_GB2312"/>
          <w:kern w:val="0"/>
          <w:sz w:val="32"/>
          <w:szCs w:val="32"/>
        </w:rPr>
        <w:t>（一）项目概况</w:t>
      </w:r>
      <w:bookmarkEnd w:id="0"/>
    </w:p>
    <w:p w14:paraId="2E2FC276">
      <w:pPr>
        <w:spacing w:line="360" w:lineRule="auto"/>
        <w:ind w:firstLine="640"/>
        <w:rPr>
          <w:rFonts w:ascii="仿宋" w:hAnsi="仿宋" w:eastAsia="仿宋"/>
          <w:sz w:val="30"/>
          <w:szCs w:val="30"/>
        </w:rPr>
      </w:pPr>
      <w:r>
        <w:rPr>
          <w:rFonts w:hint="eastAsia" w:ascii="仿宋" w:hAnsi="仿宋" w:eastAsia="仿宋"/>
          <w:sz w:val="30"/>
          <w:szCs w:val="30"/>
        </w:rPr>
        <w:t>1.项目基本内容</w:t>
      </w:r>
    </w:p>
    <w:p w14:paraId="1E0B36A0">
      <w:pPr>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项目背景</w:t>
      </w:r>
    </w:p>
    <w:p w14:paraId="1FB1AD22">
      <w:pPr>
        <w:spacing w:line="360" w:lineRule="auto"/>
        <w:ind w:firstLine="641"/>
        <w:rPr>
          <w:rFonts w:ascii="仿宋" w:hAnsi="仿宋" w:eastAsia="仿宋"/>
          <w:sz w:val="30"/>
          <w:szCs w:val="30"/>
        </w:rPr>
      </w:pPr>
      <w:r>
        <w:rPr>
          <w:rFonts w:hint="eastAsia" w:ascii="仿宋" w:hAnsi="仿宋" w:eastAsia="仿宋"/>
          <w:sz w:val="30"/>
          <w:szCs w:val="30"/>
        </w:rPr>
        <w:t>“十四五”时期，我国生态文明建设进入了以降碳为重点战略方向、推动减污降碳协同增效、促进经济社会发展全面绿色转型、实现生态环境质量改善由量变到质变的关键时期。2</w:t>
      </w:r>
      <w:r>
        <w:rPr>
          <w:rFonts w:ascii="仿宋" w:hAnsi="仿宋" w:eastAsia="仿宋"/>
          <w:sz w:val="30"/>
          <w:szCs w:val="30"/>
        </w:rPr>
        <w:t>022</w:t>
      </w:r>
      <w:r>
        <w:rPr>
          <w:rFonts w:hint="eastAsia" w:ascii="仿宋" w:hAnsi="仿宋" w:eastAsia="仿宋"/>
          <w:sz w:val="30"/>
          <w:szCs w:val="30"/>
        </w:rPr>
        <w:t>年通州区深入贯彻习近平生态文明思想，牢牢把握北京城市副中心战略定位，牢固树立绿色发展理念，全面推动辖区生态环境质量进一步提升。根据通州区生态环境局和区财政局联合下发《通州区2022年市级污染防治专项资金使用方案》文件精神，中仓街道按照“易绿则绿、易盖则盖、分类实施、多策并举”的原则，针对不同裸露地面，采取临时覆盖、长期绿化、硬化等多种方式，开展裸地综合整治工作。</w:t>
      </w:r>
    </w:p>
    <w:p w14:paraId="160B8A65">
      <w:pPr>
        <w:spacing w:line="360" w:lineRule="auto"/>
        <w:ind w:firstLine="64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项目实施主体</w:t>
      </w:r>
    </w:p>
    <w:p w14:paraId="4CE0756D">
      <w:pPr>
        <w:spacing w:line="360" w:lineRule="auto"/>
        <w:ind w:firstLine="641"/>
        <w:rPr>
          <w:rFonts w:ascii="仿宋" w:hAnsi="仿宋" w:eastAsia="仿宋"/>
          <w:sz w:val="30"/>
          <w:szCs w:val="30"/>
        </w:rPr>
      </w:pPr>
      <w:r>
        <w:rPr>
          <w:rFonts w:hint="eastAsia" w:ascii="仿宋" w:hAnsi="仿宋" w:eastAsia="仿宋"/>
          <w:sz w:val="30"/>
          <w:szCs w:val="30"/>
        </w:rPr>
        <w:t>按照生态环境保护“党政同责、一岗双责”要求，实行最严格的生态环境保护制度，严格履行污染防治责任，深化、细化、量化各项任务措施，狠抓落实，强化宣传引导，积极引导公众践行绿色生活理念，推动建立全民参与的生态环境保护新格局，确保中仓街道污染防治工作取得实效，圆满完成目标任务。202</w:t>
      </w:r>
      <w:r>
        <w:rPr>
          <w:rFonts w:ascii="仿宋" w:hAnsi="仿宋" w:eastAsia="仿宋"/>
          <w:sz w:val="30"/>
          <w:szCs w:val="30"/>
        </w:rPr>
        <w:t>2</w:t>
      </w:r>
      <w:r>
        <w:rPr>
          <w:rFonts w:hint="eastAsia" w:ascii="仿宋" w:hAnsi="仿宋" w:eastAsia="仿宋"/>
          <w:sz w:val="30"/>
          <w:szCs w:val="30"/>
        </w:rPr>
        <w:t>年裸地治理项目由北京市通州区生态环境局牵头，北京市通州区中仓街道办事处具体实施。根据中共北京市通州区委办公室关于印发《北京市通州区中仓街道办事处职能配置、内设机构和人员编制规定》中仓街道共有</w:t>
      </w:r>
      <w:r>
        <w:rPr>
          <w:rFonts w:ascii="仿宋" w:hAnsi="仿宋" w:eastAsia="仿宋"/>
          <w:sz w:val="30"/>
          <w:szCs w:val="30"/>
        </w:rPr>
        <w:t>9</w:t>
      </w:r>
      <w:r>
        <w:rPr>
          <w:rFonts w:hint="eastAsia" w:ascii="仿宋" w:hAnsi="仿宋" w:eastAsia="仿宋"/>
          <w:sz w:val="30"/>
          <w:szCs w:val="30"/>
        </w:rPr>
        <w:t>项职能，其中第2项“承担辖区市容环境卫生、绿化美化的管理工作；组织、协调城市管理综合执法和环境秩序综合治理工作，推进城市精细化管理；组织开展爱国卫生运动，落实门前三包责任制；配合区环境保护部门监督环境污染项目的治理。”职能，与开展该项目所实施的内容活动相符。</w:t>
      </w:r>
    </w:p>
    <w:p w14:paraId="5FBBAAA0">
      <w:pPr>
        <w:pStyle w:val="2"/>
        <w:spacing w:line="360" w:lineRule="auto"/>
        <w:ind w:firstLine="420"/>
        <w:rPr>
          <w:rFonts w:ascii="仿宋" w:hAnsi="仿宋" w:eastAsia="仿宋"/>
          <w:sz w:val="30"/>
          <w:szCs w:val="30"/>
        </w:rPr>
      </w:pPr>
      <w:r>
        <w:rPr>
          <w:rFonts w:hint="eastAsia"/>
        </w:rPr>
        <w:t xml:space="preserve"> </w:t>
      </w:r>
      <w:r>
        <w:rPr>
          <w:rFonts w:ascii="仿宋" w:hAnsi="仿宋" w:eastAsia="仿宋"/>
          <w:sz w:val="30"/>
          <w:szCs w:val="30"/>
        </w:rPr>
        <w:t>(3)</w:t>
      </w:r>
      <w:r>
        <w:t xml:space="preserve"> </w:t>
      </w:r>
      <w:r>
        <w:rPr>
          <w:rFonts w:hint="eastAsia" w:ascii="仿宋" w:hAnsi="仿宋" w:eastAsia="仿宋"/>
          <w:sz w:val="30"/>
          <w:szCs w:val="30"/>
        </w:rPr>
        <w:t>项目实施内容</w:t>
      </w:r>
    </w:p>
    <w:p w14:paraId="2AAFEDD8">
      <w:pPr>
        <w:spacing w:line="360" w:lineRule="auto"/>
        <w:ind w:firstLine="641"/>
        <w:rPr>
          <w:rFonts w:ascii="仿宋" w:hAnsi="仿宋" w:eastAsia="仿宋"/>
          <w:sz w:val="30"/>
          <w:szCs w:val="30"/>
        </w:rPr>
      </w:pPr>
      <w:r>
        <w:rPr>
          <w:rFonts w:hint="eastAsia" w:ascii="仿宋" w:hAnsi="仿宋" w:eastAsia="仿宋"/>
          <w:sz w:val="30"/>
          <w:szCs w:val="30"/>
        </w:rPr>
        <w:t>该项目为2021年采取生物覆盖法等多措施治理裸地项目的延续性实施项目。中仓街道从2</w:t>
      </w:r>
      <w:r>
        <w:rPr>
          <w:rFonts w:ascii="仿宋" w:hAnsi="仿宋" w:eastAsia="仿宋"/>
          <w:sz w:val="30"/>
          <w:szCs w:val="30"/>
        </w:rPr>
        <w:t>022</w:t>
      </w:r>
      <w:r>
        <w:rPr>
          <w:rFonts w:hint="eastAsia" w:ascii="仿宋" w:hAnsi="仿宋" w:eastAsia="仿宋"/>
          <w:sz w:val="30"/>
          <w:szCs w:val="30"/>
        </w:rPr>
        <w:t>年2月份开始，对所辖的悟仙观、白将军、新华园、小园、西营、中仓、四员厅、中上园等8个社区的60个地块进行治理，总面积约2</w:t>
      </w:r>
      <w:r>
        <w:rPr>
          <w:rFonts w:ascii="仿宋" w:hAnsi="仿宋" w:eastAsia="仿宋"/>
          <w:sz w:val="30"/>
          <w:szCs w:val="30"/>
        </w:rPr>
        <w:t>.04</w:t>
      </w:r>
      <w:r>
        <w:rPr>
          <w:rFonts w:hint="eastAsia" w:ascii="仿宋" w:hAnsi="仿宋" w:eastAsia="仿宋"/>
          <w:sz w:val="30"/>
          <w:szCs w:val="30"/>
        </w:rPr>
        <w:t>万平方米，治理方式为对树坑加装树脂篦子、生物覆盖和硬化。从挖树坑做树池到绿化铺种草皮、栽植灌木、乔木以及花卉，从井盖提升到小区路面硬化，工程涉及环境整治、基础设施治理等多个方面，当年1</w:t>
      </w:r>
      <w:r>
        <w:rPr>
          <w:rFonts w:ascii="仿宋" w:hAnsi="仿宋" w:eastAsia="仿宋"/>
          <w:sz w:val="30"/>
          <w:szCs w:val="30"/>
        </w:rPr>
        <w:t>0</w:t>
      </w:r>
      <w:r>
        <w:rPr>
          <w:rFonts w:hint="eastAsia" w:ascii="仿宋" w:hAnsi="仿宋" w:eastAsia="仿宋"/>
          <w:sz w:val="30"/>
          <w:szCs w:val="30"/>
        </w:rPr>
        <w:t>月底实现裸地动态清零。</w:t>
      </w:r>
    </w:p>
    <w:p w14:paraId="375E471F">
      <w:pPr>
        <w:pStyle w:val="2"/>
        <w:spacing w:line="360" w:lineRule="auto"/>
        <w:ind w:firstLine="600"/>
        <w:rPr>
          <w:rFonts w:ascii="仿宋" w:hAnsi="仿宋" w:eastAsia="仿宋"/>
          <w:sz w:val="30"/>
          <w:szCs w:val="30"/>
        </w:rPr>
      </w:pPr>
      <w:r>
        <w:rPr>
          <w:rFonts w:hint="eastAsia" w:ascii="仿宋" w:hAnsi="仿宋" w:eastAsia="仿宋"/>
          <w:sz w:val="30"/>
          <w:szCs w:val="30"/>
        </w:rPr>
        <w:t>2.项目立项必要性</w:t>
      </w:r>
    </w:p>
    <w:p w14:paraId="025A6FDF">
      <w:pPr>
        <w:spacing w:line="360" w:lineRule="auto"/>
        <w:ind w:firstLine="641"/>
        <w:rPr>
          <w:rFonts w:ascii="仿宋" w:hAnsi="仿宋" w:eastAsia="仿宋"/>
          <w:sz w:val="30"/>
          <w:szCs w:val="30"/>
        </w:rPr>
      </w:pPr>
      <w:r>
        <w:rPr>
          <w:rFonts w:hint="eastAsia" w:ascii="仿宋" w:hAnsi="仿宋" w:eastAsia="仿宋"/>
          <w:sz w:val="30"/>
          <w:szCs w:val="30"/>
        </w:rPr>
        <w:t>依据</w:t>
      </w:r>
      <w:r>
        <w:rPr>
          <w:rFonts w:ascii="仿宋" w:hAnsi="仿宋" w:eastAsia="仿宋"/>
          <w:sz w:val="30"/>
          <w:szCs w:val="30"/>
        </w:rPr>
        <w:t>北京市通州区人民政府</w:t>
      </w:r>
      <w:r>
        <w:rPr>
          <w:rFonts w:hint="eastAsia" w:ascii="仿宋" w:hAnsi="仿宋" w:eastAsia="仿宋"/>
          <w:sz w:val="30"/>
          <w:szCs w:val="30"/>
        </w:rPr>
        <w:t>下发的</w:t>
      </w:r>
      <w:r>
        <w:rPr>
          <w:rFonts w:ascii="仿宋" w:hAnsi="仿宋" w:eastAsia="仿宋"/>
          <w:sz w:val="30"/>
          <w:szCs w:val="30"/>
        </w:rPr>
        <w:t>《通州区深入打好污染防治攻坚战2022年行动计划》（通政发〔2022〕8号）</w:t>
      </w:r>
      <w:r>
        <w:rPr>
          <w:rFonts w:hint="eastAsia" w:ascii="仿宋" w:hAnsi="仿宋" w:eastAsia="仿宋"/>
          <w:sz w:val="30"/>
          <w:szCs w:val="30"/>
        </w:rPr>
        <w:t>通知，为巩固提升通州区生态环境质量，围绕着应对气候变化、大气污染防治、水污染防治、土壤污染防治、生态保护五个方面的目标任务，要求各街道办事处，各乡、镇人民政府，区政府各委、办、局，各区属机构要切实提高政治站位、全面落实责任、强化宣传引导、严格督察考核。一是应对气候变化，切实控制温室气体排放,推动全区碳排放强度下降，控制碳排放总量。二是生态保护，加强生物多样性保护，强化生态建设与示范创建，持续提升生态环境状况指数等。其中《通州区大气污染防治2022年行动计划》第10条、26条和28条分别对裸地精细化治理提出的要求，管控措施为各属地采取以长效治理为主、临时性措施为辅的方式，采取生物覆盖、硬化等多种举措，对辖区内裸地进行综合整治，基本实现裸地动态清零；强化拆迁拆违扬尘管控，城管执法局将拆迁拆违验收后地块信息与生态环境局共享，各属地在拆迁拆违完成‘场清地净’验收后，尽快将裸地进行综合整治，以杜绝地面扬尘、夜间倾倒渣土等情况出现。中仓街道依据通知要求拟向区生态环境局申请立项，组织实施。</w:t>
      </w:r>
    </w:p>
    <w:p w14:paraId="0D457ACF">
      <w:pPr>
        <w:spacing w:line="360" w:lineRule="auto"/>
        <w:ind w:firstLine="641"/>
        <w:rPr>
          <w:rFonts w:ascii="仿宋" w:hAnsi="仿宋" w:eastAsia="仿宋"/>
          <w:sz w:val="30"/>
          <w:szCs w:val="30"/>
        </w:rPr>
      </w:pPr>
      <w:r>
        <w:rPr>
          <w:rFonts w:hint="eastAsia" w:ascii="仿宋" w:hAnsi="仿宋" w:eastAsia="仿宋"/>
          <w:sz w:val="30"/>
          <w:szCs w:val="30"/>
        </w:rPr>
        <w:t>中共北京市通州区委生态文明建设委员会和大气污染综合治理及应对气候变化专项工作小组办公室按照市级部门联合印发的《北京市污染防治专项转移支付资金管理办法》（京财资环〔2020〕184号）等文件要求，区生态环境局、区财政局联合统筹安排202</w:t>
      </w:r>
      <w:r>
        <w:rPr>
          <w:rFonts w:ascii="仿宋" w:hAnsi="仿宋" w:eastAsia="仿宋"/>
          <w:sz w:val="30"/>
          <w:szCs w:val="30"/>
        </w:rPr>
        <w:t>2</w:t>
      </w:r>
      <w:r>
        <w:rPr>
          <w:rFonts w:hint="eastAsia" w:ascii="仿宋" w:hAnsi="仿宋" w:eastAsia="仿宋"/>
          <w:sz w:val="30"/>
          <w:szCs w:val="30"/>
        </w:rPr>
        <w:t>年市级污染防治专项资金，制定了《通州区202</w:t>
      </w:r>
      <w:r>
        <w:rPr>
          <w:rFonts w:ascii="仿宋" w:hAnsi="仿宋" w:eastAsia="仿宋"/>
          <w:sz w:val="30"/>
          <w:szCs w:val="30"/>
        </w:rPr>
        <w:t>2</w:t>
      </w:r>
      <w:r>
        <w:rPr>
          <w:rFonts w:hint="eastAsia" w:ascii="仿宋" w:hAnsi="仿宋" w:eastAsia="仿宋"/>
          <w:sz w:val="30"/>
          <w:szCs w:val="30"/>
        </w:rPr>
        <w:t>年市级污染防治专项资金使用方案》。</w:t>
      </w:r>
    </w:p>
    <w:p w14:paraId="4541E033">
      <w:pPr>
        <w:pStyle w:val="2"/>
        <w:spacing w:line="360" w:lineRule="auto"/>
        <w:ind w:firstLine="6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.项目运行情况</w:t>
      </w:r>
    </w:p>
    <w:p w14:paraId="1CD199B4">
      <w:pPr>
        <w:spacing w:line="360" w:lineRule="auto"/>
        <w:ind w:firstLine="641"/>
        <w:rPr>
          <w:rFonts w:ascii="仿宋" w:hAnsi="仿宋" w:eastAsia="仿宋"/>
          <w:sz w:val="30"/>
          <w:szCs w:val="30"/>
        </w:rPr>
      </w:pPr>
      <w:r>
        <w:rPr>
          <w:rFonts w:hint="eastAsia" w:ascii="仿宋" w:hAnsi="仿宋" w:eastAsia="仿宋"/>
          <w:sz w:val="30"/>
          <w:szCs w:val="30"/>
        </w:rPr>
        <w:t>为落实区生态环境局的工作计划安排，更好推进辖区裸地综合整治工作，利用上级拨付的专项资金对裸地进行绿化和硬化治理，</w:t>
      </w:r>
      <w:r>
        <w:rPr>
          <w:rFonts w:ascii="仿宋" w:hAnsi="仿宋" w:eastAsia="仿宋"/>
          <w:sz w:val="30"/>
          <w:szCs w:val="30"/>
        </w:rPr>
        <w:t xml:space="preserve"> </w:t>
      </w:r>
      <w:r>
        <w:rPr>
          <w:rFonts w:hint="eastAsia" w:ascii="仿宋" w:hAnsi="仿宋" w:eastAsia="仿宋"/>
          <w:sz w:val="30"/>
          <w:szCs w:val="30"/>
        </w:rPr>
        <w:t>2022年1月27日，党工委书记宗飞同志主持召开第3</w:t>
      </w:r>
      <w:r>
        <w:rPr>
          <w:rFonts w:ascii="仿宋" w:hAnsi="仿宋" w:eastAsia="仿宋"/>
          <w:sz w:val="30"/>
          <w:szCs w:val="30"/>
        </w:rPr>
        <w:t>次</w:t>
      </w:r>
      <w:r>
        <w:rPr>
          <w:rFonts w:hint="eastAsia" w:ascii="仿宋" w:hAnsi="仿宋" w:eastAsia="仿宋"/>
          <w:sz w:val="30"/>
          <w:szCs w:val="30"/>
        </w:rPr>
        <w:t>工委会议，会议同意开展2</w:t>
      </w:r>
      <w:r>
        <w:rPr>
          <w:rFonts w:ascii="仿宋" w:hAnsi="仿宋" w:eastAsia="仿宋"/>
          <w:sz w:val="30"/>
          <w:szCs w:val="30"/>
        </w:rPr>
        <w:t>022</w:t>
      </w:r>
      <w:r>
        <w:rPr>
          <w:rFonts w:hint="eastAsia" w:ascii="仿宋" w:hAnsi="仿宋" w:eastAsia="仿宋"/>
          <w:sz w:val="30"/>
          <w:szCs w:val="30"/>
        </w:rPr>
        <w:t>年中仓街道裸地综合整治项目的动议。结合中仓街道辖区实际，明确项目实施的目标、工作思路及工作要求。一是要提前做好谋划，结合创城、物业管理等工作，打好配合，共同推进工作；二是要充分利用专项资金，全力做好辖区内裸露土地综合整治工作；三是要充分征求居民意见，提升群众满意度，同时做到绿化和环境美化效果；四是要保障后期维护工作，做好种植苗木保活，做到长期有效治理。</w:t>
      </w:r>
    </w:p>
    <w:p w14:paraId="19DB207D">
      <w:pPr>
        <w:widowControl/>
        <w:suppressAutoHyphens w:val="0"/>
        <w:spacing w:line="360" w:lineRule="auto"/>
        <w:rPr>
          <w:rFonts w:ascii="等线" w:hAnsi="等线" w:eastAsia="等线" w:cs="宋体"/>
          <w:color w:val="000000"/>
          <w:kern w:val="0"/>
          <w:sz w:val="22"/>
          <w:szCs w:val="22"/>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2</w:t>
      </w:r>
      <w:r>
        <w:rPr>
          <w:rFonts w:ascii="仿宋" w:hAnsi="仿宋" w:eastAsia="仿宋"/>
          <w:sz w:val="30"/>
          <w:szCs w:val="30"/>
        </w:rPr>
        <w:t>022</w:t>
      </w:r>
      <w:r>
        <w:rPr>
          <w:rFonts w:hint="eastAsia" w:ascii="仿宋" w:hAnsi="仿宋" w:eastAsia="仿宋"/>
          <w:sz w:val="30"/>
          <w:szCs w:val="30"/>
        </w:rPr>
        <w:t>年3月，中仓街道委托北京市通州市政工程设计有限公司出具初步设计方案，并编制对项目投资预算。为提高财政资金投资效益，中仓街道聘请北京爱思济业平工程咨询有限公司对项目投资预算进行预算评审，于3月2</w:t>
      </w:r>
      <w:r>
        <w:rPr>
          <w:rFonts w:ascii="仿宋" w:hAnsi="仿宋" w:eastAsia="仿宋"/>
          <w:sz w:val="30"/>
          <w:szCs w:val="30"/>
        </w:rPr>
        <w:t>4</w:t>
      </w:r>
      <w:r>
        <w:rPr>
          <w:rFonts w:hint="eastAsia" w:ascii="仿宋" w:hAnsi="仿宋" w:eastAsia="仿宋"/>
          <w:sz w:val="30"/>
          <w:szCs w:val="30"/>
        </w:rPr>
        <w:t>日将项目方案公示，随后依据预算报告确定的预算金额</w:t>
      </w:r>
      <w:r>
        <w:rPr>
          <w:rFonts w:ascii="仿宋" w:hAnsi="仿宋" w:eastAsia="仿宋"/>
          <w:sz w:val="30"/>
          <w:szCs w:val="30"/>
        </w:rPr>
        <w:t>5,720,229.62</w:t>
      </w:r>
      <w:r>
        <w:rPr>
          <w:rFonts w:hint="eastAsia" w:ascii="仿宋" w:hAnsi="仿宋" w:eastAsia="仿宋"/>
          <w:sz w:val="30"/>
          <w:szCs w:val="30"/>
        </w:rPr>
        <w:t>元向区财政局 、区生态环境局申请市级污染防治专项资金用于区域内裸地综合治理。批复资金</w:t>
      </w:r>
      <w:r>
        <w:rPr>
          <w:rFonts w:ascii="仿宋" w:hAnsi="仿宋" w:eastAsia="仿宋"/>
          <w:sz w:val="30"/>
          <w:szCs w:val="30"/>
        </w:rPr>
        <w:t>5,720,200</w:t>
      </w:r>
      <w:r>
        <w:rPr>
          <w:rFonts w:hint="eastAsia" w:ascii="仿宋" w:hAnsi="仿宋" w:eastAsia="仿宋"/>
          <w:sz w:val="30"/>
          <w:szCs w:val="30"/>
        </w:rPr>
        <w:t>元，于2</w:t>
      </w:r>
      <w:r>
        <w:rPr>
          <w:rFonts w:ascii="仿宋" w:hAnsi="仿宋" w:eastAsia="仿宋"/>
          <w:sz w:val="30"/>
          <w:szCs w:val="30"/>
        </w:rPr>
        <w:t>022</w:t>
      </w:r>
      <w:r>
        <w:rPr>
          <w:rFonts w:hint="eastAsia" w:ascii="仿宋" w:hAnsi="仿宋" w:eastAsia="仿宋"/>
          <w:sz w:val="30"/>
          <w:szCs w:val="30"/>
        </w:rPr>
        <w:t>年6月一次性到位，到位资金为</w:t>
      </w:r>
      <w:r>
        <w:rPr>
          <w:rFonts w:ascii="仿宋" w:hAnsi="仿宋" w:eastAsia="仿宋"/>
          <w:sz w:val="30"/>
          <w:szCs w:val="30"/>
        </w:rPr>
        <w:t>5,720,200</w:t>
      </w:r>
      <w:r>
        <w:rPr>
          <w:rFonts w:hint="eastAsia" w:ascii="仿宋" w:hAnsi="仿宋" w:eastAsia="仿宋"/>
          <w:sz w:val="30"/>
          <w:szCs w:val="30"/>
        </w:rPr>
        <w:t>元。</w:t>
      </w:r>
    </w:p>
    <w:p w14:paraId="6AD4ED21">
      <w:pPr>
        <w:pStyle w:val="2"/>
        <w:spacing w:line="360" w:lineRule="auto"/>
        <w:ind w:firstLine="600"/>
        <w:rPr>
          <w:rFonts w:ascii="仿宋" w:hAnsi="仿宋" w:eastAsia="仿宋"/>
          <w:sz w:val="30"/>
          <w:szCs w:val="30"/>
        </w:rPr>
      </w:pPr>
      <w:r>
        <w:rPr>
          <w:rFonts w:hint="eastAsia" w:ascii="仿宋" w:hAnsi="仿宋" w:eastAsia="仿宋"/>
          <w:sz w:val="30"/>
          <w:szCs w:val="30"/>
        </w:rPr>
        <w:t>资金到位后，中仓街道委托代理公司北京瑞新宇工程造价咨询有限公司对项目通过政府采购网公开招标。该项目分两标段，1标段包含红旗小区、潞河名苑、摩卡空间、香林郡、中上园9 号院、中上园5号院等范围内裸地综合整治服务，2标段包含悟仙观社区、白将军社区、锻压小区、北人家园、东营前街、通州火车站、新华小区、南小园、中仓小区等范围内裸地综合整治服务。5月1</w:t>
      </w:r>
      <w:r>
        <w:rPr>
          <w:rFonts w:ascii="仿宋" w:hAnsi="仿宋" w:eastAsia="仿宋"/>
          <w:sz w:val="30"/>
          <w:szCs w:val="30"/>
        </w:rPr>
        <w:t>8</w:t>
      </w:r>
      <w:r>
        <w:rPr>
          <w:rFonts w:hint="eastAsia" w:ascii="仿宋" w:hAnsi="仿宋" w:eastAsia="仿宋"/>
          <w:sz w:val="30"/>
          <w:szCs w:val="30"/>
        </w:rPr>
        <w:t>日确认1标段中标单位为北京盈鹏源环保科技有限公司（中标价格</w:t>
      </w:r>
      <w:r>
        <w:rPr>
          <w:rFonts w:ascii="仿宋" w:hAnsi="仿宋" w:eastAsia="仿宋"/>
          <w:sz w:val="30"/>
          <w:szCs w:val="30"/>
        </w:rPr>
        <w:t>3,810,038.14</w:t>
      </w:r>
      <w:r>
        <w:rPr>
          <w:rFonts w:hint="eastAsia" w:ascii="仿宋" w:hAnsi="仿宋" w:eastAsia="仿宋"/>
          <w:sz w:val="30"/>
          <w:szCs w:val="30"/>
        </w:rPr>
        <w:t>元）、确认</w:t>
      </w:r>
      <w:r>
        <w:rPr>
          <w:rFonts w:ascii="仿宋" w:hAnsi="仿宋" w:eastAsia="仿宋"/>
          <w:sz w:val="30"/>
          <w:szCs w:val="30"/>
        </w:rPr>
        <w:t>2</w:t>
      </w:r>
      <w:r>
        <w:rPr>
          <w:rFonts w:hint="eastAsia" w:ascii="仿宋" w:hAnsi="仿宋" w:eastAsia="仿宋"/>
          <w:sz w:val="30"/>
          <w:szCs w:val="30"/>
        </w:rPr>
        <w:t>标段中标单位为北京兴达嘉业城镇基础建设投资有限公司（中标价格</w:t>
      </w:r>
      <w:r>
        <w:rPr>
          <w:rFonts w:ascii="仿宋" w:hAnsi="仿宋" w:eastAsia="仿宋"/>
          <w:sz w:val="30"/>
          <w:szCs w:val="30"/>
        </w:rPr>
        <w:t>1,452,004.83</w:t>
      </w:r>
      <w:r>
        <w:rPr>
          <w:rFonts w:hint="eastAsia" w:ascii="仿宋" w:hAnsi="仿宋" w:eastAsia="仿宋"/>
          <w:sz w:val="30"/>
          <w:szCs w:val="30"/>
        </w:rPr>
        <w:t>元），6月8日分别与中标单位签订履行期限为三年的施工合同。同时委托北京市京建朋建筑工程监理有限公司为监理方，对项目施工质量、进度把控。各标段工程项目于6月1</w:t>
      </w:r>
      <w:r>
        <w:rPr>
          <w:rFonts w:ascii="仿宋" w:hAnsi="仿宋" w:eastAsia="仿宋"/>
          <w:sz w:val="30"/>
          <w:szCs w:val="30"/>
        </w:rPr>
        <w:t>3</w:t>
      </w:r>
      <w:r>
        <w:rPr>
          <w:rFonts w:hint="eastAsia" w:ascii="仿宋" w:hAnsi="仿宋" w:eastAsia="仿宋"/>
          <w:sz w:val="30"/>
          <w:szCs w:val="30"/>
        </w:rPr>
        <w:t>日开工，8月5日竣工，项目经竣工验收确认工程质量合格。经结算评审后财务支付工程款。</w:t>
      </w:r>
    </w:p>
    <w:p w14:paraId="5D34DC89">
      <w:pPr>
        <w:pStyle w:val="2"/>
        <w:spacing w:line="360" w:lineRule="auto"/>
        <w:ind w:firstLine="600"/>
      </w:pPr>
      <w:r>
        <w:rPr>
          <w:rFonts w:hint="eastAsia" w:ascii="仿宋" w:hAnsi="仿宋" w:eastAsia="仿宋"/>
          <w:sz w:val="30"/>
          <w:szCs w:val="30"/>
        </w:rPr>
        <w:t>裸地综合整治服务全过程均按规定的业务流程组织实施，预算、结算两个关键控制环节均聘请专业工程造价咨询机构对项目支出审定，严格控制避免超标准超范围使用资金，进一步挖掘降低成本潜力。其中：经事前预算审定裸地绿化面积1</w:t>
      </w:r>
      <w:r>
        <w:rPr>
          <w:rFonts w:ascii="仿宋" w:hAnsi="仿宋" w:eastAsia="仿宋"/>
          <w:sz w:val="30"/>
          <w:szCs w:val="30"/>
        </w:rPr>
        <w:t>0,328.40</w:t>
      </w:r>
      <w:r>
        <w:rPr>
          <w:rFonts w:hint="eastAsia" w:ascii="仿宋" w:hAnsi="仿宋" w:eastAsia="仿宋"/>
          <w:sz w:val="30"/>
          <w:szCs w:val="30"/>
        </w:rPr>
        <w:t>平米、硬化面积1</w:t>
      </w:r>
      <w:r>
        <w:rPr>
          <w:rFonts w:ascii="仿宋" w:hAnsi="仿宋" w:eastAsia="仿宋"/>
          <w:sz w:val="30"/>
          <w:szCs w:val="30"/>
        </w:rPr>
        <w:t>0,421.10</w:t>
      </w:r>
      <w:r>
        <w:rPr>
          <w:rFonts w:hint="eastAsia" w:ascii="仿宋" w:hAnsi="仿宋" w:eastAsia="仿宋"/>
          <w:sz w:val="30"/>
          <w:szCs w:val="30"/>
        </w:rPr>
        <w:t xml:space="preserve">平米、投资总额 </w:t>
      </w:r>
      <w:r>
        <w:rPr>
          <w:rFonts w:ascii="仿宋" w:hAnsi="仿宋" w:eastAsia="仿宋"/>
          <w:sz w:val="30"/>
          <w:szCs w:val="30"/>
        </w:rPr>
        <w:t>5,720,229.62</w:t>
      </w:r>
      <w:r>
        <w:rPr>
          <w:rFonts w:hint="eastAsia" w:ascii="仿宋" w:hAnsi="仿宋" w:eastAsia="仿宋"/>
          <w:sz w:val="30"/>
          <w:szCs w:val="30"/>
        </w:rPr>
        <w:t>元，送审</w:t>
      </w:r>
      <w:r>
        <w:rPr>
          <w:rFonts w:ascii="仿宋" w:hAnsi="仿宋" w:eastAsia="仿宋"/>
          <w:sz w:val="30"/>
          <w:szCs w:val="30"/>
        </w:rPr>
        <w:t xml:space="preserve"> </w:t>
      </w:r>
      <w:r>
        <w:rPr>
          <w:rFonts w:hint="eastAsia" w:ascii="仿宋" w:hAnsi="仿宋" w:eastAsia="仿宋"/>
          <w:sz w:val="30"/>
          <w:szCs w:val="30"/>
        </w:rPr>
        <w:t>5,959,985.37</w:t>
      </w:r>
      <w:r>
        <w:rPr>
          <w:rFonts w:ascii="仿宋" w:hAnsi="仿宋" w:eastAsia="仿宋"/>
          <w:sz w:val="30"/>
          <w:szCs w:val="30"/>
        </w:rPr>
        <w:t xml:space="preserve"> </w:t>
      </w:r>
      <w:r>
        <w:rPr>
          <w:rFonts w:hint="eastAsia" w:ascii="仿宋" w:hAnsi="仿宋" w:eastAsia="仿宋"/>
          <w:sz w:val="30"/>
          <w:szCs w:val="30"/>
        </w:rPr>
        <w:t xml:space="preserve">元，预算审减 </w:t>
      </w:r>
      <w:r>
        <w:rPr>
          <w:rFonts w:ascii="仿宋" w:hAnsi="仿宋" w:eastAsia="仿宋"/>
          <w:sz w:val="30"/>
          <w:szCs w:val="30"/>
        </w:rPr>
        <w:t>239,755.75</w:t>
      </w:r>
      <w:r>
        <w:rPr>
          <w:rFonts w:hint="eastAsia" w:ascii="仿宋" w:hAnsi="仿宋" w:eastAsia="仿宋"/>
          <w:sz w:val="30"/>
          <w:szCs w:val="30"/>
        </w:rPr>
        <w:t>元。事后工程经结算评审，审定裸地绿化面积</w:t>
      </w:r>
      <w:r>
        <w:rPr>
          <w:rFonts w:ascii="仿宋" w:hAnsi="仿宋" w:eastAsia="仿宋"/>
          <w:sz w:val="30"/>
          <w:szCs w:val="30"/>
        </w:rPr>
        <w:t xml:space="preserve"> </w:t>
      </w:r>
      <w:r>
        <w:rPr>
          <w:rFonts w:hint="eastAsia" w:ascii="仿宋" w:hAnsi="仿宋" w:eastAsia="仿宋"/>
          <w:sz w:val="30"/>
          <w:szCs w:val="30"/>
        </w:rPr>
        <w:t>1</w:t>
      </w:r>
      <w:r>
        <w:rPr>
          <w:rFonts w:ascii="仿宋" w:hAnsi="仿宋" w:eastAsia="仿宋"/>
          <w:sz w:val="30"/>
          <w:szCs w:val="30"/>
        </w:rPr>
        <w:t>0,328.40</w:t>
      </w:r>
      <w:r>
        <w:rPr>
          <w:rFonts w:hint="eastAsia" w:ascii="仿宋" w:hAnsi="仿宋" w:eastAsia="仿宋"/>
          <w:sz w:val="30"/>
          <w:szCs w:val="30"/>
        </w:rPr>
        <w:t>平米、硬化面积</w:t>
      </w:r>
      <w:r>
        <w:rPr>
          <w:rFonts w:ascii="仿宋" w:hAnsi="仿宋" w:eastAsia="仿宋"/>
          <w:sz w:val="30"/>
          <w:szCs w:val="30"/>
        </w:rPr>
        <w:t xml:space="preserve"> </w:t>
      </w:r>
      <w:r>
        <w:rPr>
          <w:rFonts w:hint="eastAsia" w:ascii="仿宋" w:hAnsi="仿宋" w:eastAsia="仿宋"/>
          <w:sz w:val="30"/>
          <w:szCs w:val="30"/>
        </w:rPr>
        <w:t>1</w:t>
      </w:r>
      <w:r>
        <w:rPr>
          <w:rFonts w:ascii="仿宋" w:hAnsi="仿宋" w:eastAsia="仿宋"/>
          <w:sz w:val="30"/>
          <w:szCs w:val="30"/>
        </w:rPr>
        <w:t>0,183.10</w:t>
      </w:r>
      <w:r>
        <w:rPr>
          <w:rFonts w:hint="eastAsia" w:ascii="仿宋" w:hAnsi="仿宋" w:eastAsia="仿宋"/>
          <w:sz w:val="30"/>
          <w:szCs w:val="30"/>
        </w:rPr>
        <w:t>平米、结算总额为</w:t>
      </w:r>
      <w:r>
        <w:rPr>
          <w:rFonts w:ascii="仿宋" w:hAnsi="仿宋" w:eastAsia="仿宋"/>
          <w:sz w:val="30"/>
          <w:szCs w:val="30"/>
        </w:rPr>
        <w:t>5,202,644.58</w:t>
      </w:r>
      <w:r>
        <w:rPr>
          <w:rFonts w:hint="eastAsia" w:ascii="仿宋" w:hAnsi="仿宋" w:eastAsia="仿宋"/>
          <w:sz w:val="30"/>
          <w:szCs w:val="30"/>
        </w:rPr>
        <w:t>元，审减</w:t>
      </w:r>
      <w:r>
        <w:rPr>
          <w:rFonts w:ascii="仿宋" w:hAnsi="仿宋" w:eastAsia="仿宋"/>
          <w:sz w:val="30"/>
          <w:szCs w:val="30"/>
        </w:rPr>
        <w:t>59,398.41</w:t>
      </w:r>
      <w:r>
        <w:rPr>
          <w:rFonts w:hint="eastAsia" w:ascii="仿宋" w:hAnsi="仿宋" w:eastAsia="仿宋"/>
          <w:sz w:val="30"/>
          <w:szCs w:val="30"/>
        </w:rPr>
        <w:t>元。两环节共计压减成本</w:t>
      </w:r>
      <w:r>
        <w:rPr>
          <w:rFonts w:ascii="仿宋" w:hAnsi="仿宋" w:eastAsia="仿宋"/>
          <w:sz w:val="30"/>
          <w:szCs w:val="30"/>
        </w:rPr>
        <w:t>299,154.16</w:t>
      </w:r>
      <w:r>
        <w:rPr>
          <w:rFonts w:hint="eastAsia" w:ascii="仿宋" w:hAnsi="仿宋" w:eastAsia="仿宋"/>
          <w:sz w:val="30"/>
          <w:szCs w:val="30"/>
        </w:rPr>
        <w:t xml:space="preserve">元，压减率 </w:t>
      </w:r>
      <w:r>
        <w:rPr>
          <w:rFonts w:ascii="仿宋" w:hAnsi="仿宋" w:eastAsia="仿宋"/>
          <w:sz w:val="30"/>
          <w:szCs w:val="30"/>
        </w:rPr>
        <w:t>5.02%</w:t>
      </w:r>
      <w:r>
        <w:rPr>
          <w:rFonts w:hint="eastAsia" w:ascii="仿宋" w:hAnsi="仿宋" w:eastAsia="仿宋"/>
          <w:sz w:val="30"/>
          <w:szCs w:val="30"/>
        </w:rPr>
        <w:t>。</w:t>
      </w:r>
    </w:p>
    <w:p w14:paraId="06D6E170">
      <w:pPr>
        <w:pStyle w:val="2"/>
        <w:spacing w:line="360" w:lineRule="auto"/>
        <w:ind w:firstLine="600"/>
        <w:rPr>
          <w:rFonts w:hint="eastAsia" w:ascii="仿宋" w:hAnsi="仿宋" w:eastAsia="仿宋"/>
          <w:sz w:val="30"/>
          <w:szCs w:val="30"/>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w:t>
      </w:r>
      <w:r>
        <w:rPr>
          <w:rFonts w:hint="eastAsia" w:ascii="仿宋" w:hAnsi="仿宋" w:eastAsia="仿宋"/>
          <w:sz w:val="30"/>
          <w:szCs w:val="30"/>
        </w:rPr>
        <w:t>该项目总体绩效目标为：202</w:t>
      </w:r>
      <w:r>
        <w:rPr>
          <w:rFonts w:hint="eastAsia" w:ascii="仿宋" w:hAnsi="仿宋" w:eastAsia="仿宋"/>
          <w:sz w:val="30"/>
          <w:szCs w:val="30"/>
          <w:lang w:val="en-US" w:eastAsia="zh-CN"/>
        </w:rPr>
        <w:t>2</w:t>
      </w:r>
      <w:r>
        <w:rPr>
          <w:rFonts w:hint="eastAsia" w:ascii="仿宋" w:hAnsi="仿宋" w:eastAsia="仿宋"/>
          <w:sz w:val="30"/>
          <w:szCs w:val="30"/>
        </w:rPr>
        <w:t>年力争实现通州区细颗粒物浓度（PM2.5）年均浓度、三年滑动平均浓度持续下降，细颗粒物浓度（PM2.5）年均浓度改善幅度超过全市平均水平。</w:t>
      </w:r>
    </w:p>
    <w:p w14:paraId="293BBC9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绩效评价工作开展情况</w:t>
      </w:r>
    </w:p>
    <w:p w14:paraId="3D58E022">
      <w:pPr>
        <w:pStyle w:val="2"/>
        <w:spacing w:line="360" w:lineRule="auto"/>
        <w:ind w:firstLine="600"/>
        <w:rPr>
          <w:rFonts w:hint="eastAsia" w:ascii="仿宋" w:hAnsi="仿宋" w:eastAsia="仿宋"/>
          <w:sz w:val="30"/>
          <w:szCs w:val="30"/>
          <w:lang w:eastAsia="zh-CN"/>
        </w:rPr>
      </w:pPr>
      <w:r>
        <w:rPr>
          <w:rFonts w:hint="eastAsia" w:ascii="仿宋" w:hAnsi="仿宋" w:eastAsia="仿宋"/>
          <w:sz w:val="30"/>
          <w:szCs w:val="30"/>
        </w:rPr>
        <w:t>（一）绩效评价目的、对象和范围。</w:t>
      </w:r>
      <w:r>
        <w:rPr>
          <w:rFonts w:hint="eastAsia" w:ascii="仿宋" w:hAnsi="仿宋" w:eastAsia="仿宋"/>
          <w:sz w:val="30"/>
          <w:szCs w:val="30"/>
          <w:lang w:eastAsia="zh-CN"/>
        </w:rPr>
        <w:t>裸地硬化及绿化点位：（共计1341平米）</w:t>
      </w:r>
    </w:p>
    <w:p w14:paraId="0DFE7280">
      <w:pPr>
        <w:pStyle w:val="2"/>
        <w:spacing w:line="360" w:lineRule="auto"/>
        <w:ind w:firstLine="600"/>
        <w:rPr>
          <w:rFonts w:hint="eastAsia" w:ascii="仿宋" w:hAnsi="仿宋" w:eastAsia="仿宋"/>
          <w:sz w:val="30"/>
          <w:szCs w:val="30"/>
          <w:lang w:eastAsia="zh-CN"/>
        </w:rPr>
      </w:pPr>
      <w:r>
        <w:rPr>
          <w:rFonts w:hint="eastAsia" w:ascii="仿宋" w:hAnsi="仿宋" w:eastAsia="仿宋"/>
          <w:sz w:val="30"/>
          <w:szCs w:val="30"/>
          <w:lang w:eastAsia="zh-CN"/>
        </w:rPr>
        <w:t>新华园社区点位：北人家园西侧新建嵌草砖铺装451平米，新建树池口27个，加装树池篦子40个。</w:t>
      </w:r>
    </w:p>
    <w:p w14:paraId="258170F8">
      <w:pPr>
        <w:pStyle w:val="2"/>
        <w:spacing w:line="360" w:lineRule="auto"/>
        <w:ind w:firstLine="600"/>
        <w:rPr>
          <w:rFonts w:hint="eastAsia" w:ascii="仿宋" w:hAnsi="仿宋" w:eastAsia="仿宋"/>
          <w:sz w:val="30"/>
          <w:szCs w:val="30"/>
          <w:lang w:eastAsia="zh-CN"/>
        </w:rPr>
      </w:pPr>
      <w:r>
        <w:rPr>
          <w:rFonts w:hint="eastAsia" w:ascii="仿宋" w:hAnsi="仿宋" w:eastAsia="仿宋"/>
          <w:sz w:val="30"/>
          <w:szCs w:val="30"/>
          <w:lang w:eastAsia="zh-CN"/>
        </w:rPr>
        <w:t>四员厅社区点位：红旗小区水塔院内新建步道砖铺装714平米，新建绿化251平米，新建树池口5个；红旗小区院内新建步道砖铺装369平米，红旗小区院内新建树池口154个。</w:t>
      </w:r>
    </w:p>
    <w:p w14:paraId="528B659B">
      <w:pPr>
        <w:pStyle w:val="2"/>
        <w:spacing w:line="360" w:lineRule="auto"/>
        <w:ind w:firstLine="600"/>
        <w:rPr>
          <w:rFonts w:hint="eastAsia" w:ascii="仿宋" w:hAnsi="仿宋" w:eastAsia="仿宋"/>
          <w:sz w:val="30"/>
          <w:szCs w:val="30"/>
          <w:lang w:eastAsia="zh-CN"/>
        </w:rPr>
      </w:pPr>
      <w:r>
        <w:rPr>
          <w:rFonts w:hint="eastAsia" w:ascii="仿宋" w:hAnsi="仿宋" w:eastAsia="仿宋"/>
          <w:sz w:val="30"/>
          <w:szCs w:val="30"/>
          <w:lang w:eastAsia="zh-CN"/>
        </w:rPr>
        <w:t>中仓社区点位：中仓小区院内新建树池13个，补植大叶黄杨球46个。</w:t>
      </w:r>
    </w:p>
    <w:p w14:paraId="283DD527">
      <w:pPr>
        <w:pStyle w:val="2"/>
        <w:spacing w:line="360" w:lineRule="auto"/>
        <w:ind w:firstLine="600"/>
        <w:rPr>
          <w:rFonts w:hint="eastAsia" w:ascii="仿宋" w:hAnsi="仿宋" w:eastAsia="仿宋"/>
          <w:sz w:val="30"/>
          <w:szCs w:val="30"/>
          <w:lang w:eastAsia="zh-CN"/>
        </w:rPr>
      </w:pPr>
      <w:r>
        <w:rPr>
          <w:rFonts w:hint="eastAsia" w:ascii="仿宋" w:hAnsi="仿宋" w:eastAsia="仿宋"/>
          <w:sz w:val="30"/>
          <w:szCs w:val="30"/>
          <w:lang w:eastAsia="zh-CN"/>
        </w:rPr>
        <w:t>东里社区点位：新城东里小区更换破损树池口40个。</w:t>
      </w:r>
    </w:p>
    <w:p w14:paraId="5A1CF175">
      <w:pPr>
        <w:pStyle w:val="2"/>
        <w:spacing w:line="360" w:lineRule="auto"/>
        <w:ind w:firstLine="600"/>
        <w:rPr>
          <w:rFonts w:hint="eastAsia" w:ascii="仿宋" w:hAnsi="仿宋" w:eastAsia="仿宋"/>
          <w:sz w:val="30"/>
          <w:szCs w:val="30"/>
        </w:rPr>
      </w:pPr>
      <w:r>
        <w:rPr>
          <w:rFonts w:hint="eastAsia" w:ascii="仿宋" w:hAnsi="仿宋" w:eastAsia="仿宋"/>
          <w:sz w:val="30"/>
          <w:szCs w:val="30"/>
          <w:lang w:eastAsia="zh-CN"/>
        </w:rPr>
        <w:t>西营社区点位：供电局家属院内新建步道砖铺装20平米，补植大叶黄杨球81个。</w:t>
      </w:r>
    </w:p>
    <w:p w14:paraId="6AF28EA2">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（二）绩效评价原则、评价指标体系（附表说明）、评价方法、评价标准等。绩效评价的原则是客观公正评价政府资金项目的科学性合理性和价值。</w:t>
      </w:r>
    </w:p>
    <w:p w14:paraId="031B7C1A">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（三）绩效评价工作过程。</w:t>
      </w:r>
    </w:p>
    <w:p w14:paraId="411E76C2">
      <w:pPr>
        <w:pStyle w:val="2"/>
        <w:spacing w:line="360" w:lineRule="auto"/>
        <w:ind w:firstLine="600"/>
        <w:rPr>
          <w:rFonts w:hint="eastAsia" w:ascii="仿宋" w:hAnsi="仿宋" w:eastAsia="仿宋"/>
          <w:sz w:val="30"/>
          <w:szCs w:val="30"/>
        </w:rPr>
      </w:pPr>
      <w:r>
        <w:rPr>
          <w:rFonts w:hint="eastAsia" w:ascii="仿宋" w:hAnsi="仿宋" w:eastAsia="仿宋"/>
          <w:sz w:val="30"/>
          <w:szCs w:val="30"/>
          <w:lang w:val="en-US" w:eastAsia="zh-CN"/>
        </w:rPr>
        <w:t>绩效评价过程是在策划项目的过程中就要充分考虑项目的可行性、科学性、合理性和实际效果。本项目在预算管理一体化系统内立项，并启动相应采购程序。采购完成后将采购合同报区生态环境区和区财政局备案，区财政局将根据合同签订金额拨付资金。</w:t>
      </w:r>
      <w:r>
        <w:rPr>
          <w:rFonts w:hint="eastAsia" w:ascii="仿宋" w:hAnsi="仿宋" w:eastAsia="仿宋"/>
          <w:sz w:val="30"/>
          <w:szCs w:val="30"/>
          <w:lang w:eastAsia="zh-CN"/>
        </w:rPr>
        <w:t>（三）</w:t>
      </w:r>
      <w:r>
        <w:rPr>
          <w:rFonts w:hint="eastAsia" w:ascii="仿宋" w:hAnsi="仿宋" w:eastAsia="仿宋"/>
          <w:sz w:val="30"/>
          <w:szCs w:val="30"/>
        </w:rPr>
        <w:t>综合评价情况及评价结论（附相关评分表）</w:t>
      </w:r>
    </w:p>
    <w:p w14:paraId="64012D4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p>
    <w:p w14:paraId="510AB8CE">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（一）项目决策情况。</w:t>
      </w:r>
    </w:p>
    <w:p w14:paraId="5887E634">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（二）项目过程情况。</w:t>
      </w:r>
    </w:p>
    <w:p w14:paraId="64D54B97">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本项目的清扫保洁以中仓小区及党群中心两个清扫重点区域为中心，涵盖中仓小区及其周边道路、新城东里小区及其周边道路。</w:t>
      </w:r>
    </w:p>
    <w:p w14:paraId="60DA9C14">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本项目的裸地整治措施分为两种方式，方式一为裸地硬化，包括步道砖和嵌草砖铺装，方式二为裸地绿化，将具备绿化条件的裸地全部实行绿化覆盖。</w:t>
      </w:r>
    </w:p>
    <w:p w14:paraId="4CDD1A89">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清扫保洁重点区域：（共计126698平米）</w:t>
      </w:r>
    </w:p>
    <w:p w14:paraId="43D65872">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中仓小区重点区域：中仓小区内所有沥青路面及硬化合计35000平米；车站路（玉带河大街~新华东街）沥青路面、人行道及路侧硬化合计17040平米；西大街（车站路~中仓路）沥青路面、人行道及路侧硬化合计3864平米；中仓路（新华大街~西顺城街）沥青路面、人行道及路侧硬化合计9032平米；西顺城街（车站路~中仓路）沥青路面、人行道及路侧硬化合计4300平米。</w:t>
      </w:r>
    </w:p>
    <w:p w14:paraId="7F42B26C">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党群中心重点区域：新城东里小区内所有沥青路面及硬化合计32000平米；车站路（玉带河大街~西营前街）沥青路面、人行道及路侧硬化合计3720平米；西营前街（车站路~新华南路）沥青路面、人行道及路侧硬化合计12408平米；新华南路（西营前街~玉带河大街）沥青路面、人行道及路侧硬化合计2650平米；玉带河大街（新华南路~车站路）沥青路面、人行道及路侧硬化合计6684平米。 </w:t>
      </w:r>
    </w:p>
    <w:p w14:paraId="11C4C692">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裸地硬化及绿化点位：（共计1341平米）</w:t>
      </w:r>
    </w:p>
    <w:p w14:paraId="4D781328">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新华园社区点位：北人家园西侧新建嵌草砖铺装451平米，新建树池口27个，加装树池篦子40个。</w:t>
      </w:r>
    </w:p>
    <w:p w14:paraId="6110561C">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四员厅社区点位：红旗小区水塔院内新建步道砖铺装714平米，新建绿化251平米，新建树池口5个；红旗小区院内新建步道砖铺装369平米，红旗小区院内新建树池口154个。</w:t>
      </w:r>
    </w:p>
    <w:p w14:paraId="3EE03C4C">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中仓社区点位：中仓小区院内新建树池13个，补植大叶黄杨球46个。</w:t>
      </w:r>
    </w:p>
    <w:p w14:paraId="11429A95">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东里社区点位：新城东里小区更换破损树池口40个。</w:t>
      </w:r>
    </w:p>
    <w:p w14:paraId="788BE899">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西营社区点位：供电局家属院内新建步道砖铺装20平米，补植大叶黄杨球81个。</w:t>
      </w:r>
    </w:p>
    <w:p w14:paraId="1F4A5815">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项目产出情况。</w:t>
      </w:r>
    </w:p>
    <w:p w14:paraId="65A57E70">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开展重点区域精细化大气污染治理工作，全面提升大气污染治理能力，到 2023年底，我街道在 PM2.5 累计浓度进入全市后30 的次数实现同比减少。</w:t>
      </w:r>
    </w:p>
    <w:p w14:paraId="0226DBA0">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项目效益情况。</w:t>
      </w:r>
    </w:p>
    <w:p w14:paraId="5C41B252">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通过对辖区内进行清扫保洁对大气污染防治产生良好的效果。</w:t>
      </w:r>
    </w:p>
    <w:p w14:paraId="0BDA2DB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主要经验及做法、存在的问题及原因分析</w:t>
      </w:r>
    </w:p>
    <w:p w14:paraId="4662A2AC">
      <w:pPr>
        <w:pStyle w:val="2"/>
        <w:spacing w:line="360" w:lineRule="auto"/>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根据《通州区大气污染防治2022年行动计划》第26条任务“各属地采取以长效治理为主、临时性措施为辅的方式，采取生物覆盖、硬化等多种措施，对辖区内裸地进行综合整治。</w:t>
      </w:r>
    </w:p>
    <w:p w14:paraId="2C71E3F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有关建议</w:t>
      </w:r>
    </w:p>
    <w:p w14:paraId="0E6878F9">
      <w:pPr>
        <w:pStyle w:val="20"/>
        <w:numPr>
          <w:ilvl w:val="0"/>
          <w:numId w:val="0"/>
        </w:numPr>
        <w:ind w:firstLine="560" w:firstLineChars="200"/>
        <w:rPr>
          <w:rFonts w:hint="eastAsia"/>
        </w:rPr>
      </w:pPr>
      <w:r>
        <w:rPr>
          <w:rFonts w:hint="eastAsia"/>
          <w:lang w:eastAsia="zh-CN"/>
        </w:rPr>
        <w:t>无</w:t>
      </w:r>
    </w:p>
    <w:p w14:paraId="6346ED6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其他需要说明的问题</w:t>
      </w:r>
    </w:p>
    <w:p w14:paraId="70FED81E">
      <w:pPr>
        <w:pStyle w:val="20"/>
        <w:rPr>
          <w:rFonts w:hint="default" w:eastAsia="仿宋_GB2312"/>
          <w:lang w:val="en-US" w:eastAsia="zh-CN"/>
        </w:rPr>
      </w:pPr>
      <w:r>
        <w:rPr>
          <w:rFonts w:hint="eastAsia" w:ascii="仿宋_GB2312" w:hAnsi="仿宋_GB2312" w:eastAsia="仿宋_GB2312" w:cs="仿宋_GB2312"/>
          <w:sz w:val="28"/>
          <w:szCs w:val="28"/>
          <w:lang w:val="en-US" w:eastAsia="zh-CN"/>
        </w:rPr>
        <w:t xml:space="preserve">    无</w:t>
      </w:r>
    </w:p>
    <w:p w14:paraId="451BA8C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lang w:eastAsia="zh-CN"/>
        </w:rPr>
        <w:t>二</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（所有部门均需填报）</w:t>
      </w: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2"/>
        <w:gridCol w:w="933"/>
        <w:gridCol w:w="1494"/>
        <w:gridCol w:w="1263"/>
        <w:gridCol w:w="1282"/>
        <w:gridCol w:w="1263"/>
        <w:gridCol w:w="1283"/>
        <w:gridCol w:w="1285"/>
        <w:gridCol w:w="390"/>
        <w:gridCol w:w="558"/>
        <w:gridCol w:w="387"/>
        <w:gridCol w:w="386"/>
        <w:gridCol w:w="1271"/>
        <w:gridCol w:w="1278"/>
      </w:tblGrid>
      <w:tr w14:paraId="1DB4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14:paraId="0835FB2A">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14:paraId="2D10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14:paraId="3DEA1CE6">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14:paraId="18E3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14:paraId="49C653B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14:paraId="51CA903A">
            <w:pPr>
              <w:jc w:val="center"/>
              <w:rPr>
                <w:rFonts w:hint="eastAsia" w:ascii="仿宋_GB2312" w:hAnsi="宋体" w:eastAsia="仿宋_GB2312" w:cs="仿宋_GB2312"/>
                <w:i w:val="0"/>
                <w:color w:val="000000"/>
                <w:sz w:val="21"/>
                <w:szCs w:val="21"/>
                <w:u w:val="none"/>
              </w:rPr>
            </w:pPr>
            <w:r>
              <w:rPr>
                <w:rFonts w:hint="eastAsia" w:eastAsia="宋体"/>
                <w:lang w:val="en-US" w:eastAsia="zh-CN"/>
              </w:rPr>
              <w:t>2023年精细化管控项目</w:t>
            </w:r>
          </w:p>
        </w:tc>
      </w:tr>
      <w:tr w14:paraId="6E34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14:paraId="1E88B0C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14:paraId="75B1DF7B">
            <w:pPr>
              <w:jc w:val="center"/>
              <w:rPr>
                <w:rFonts w:hint="eastAsia" w:ascii="仿宋_GB2312" w:hAnsi="宋体" w:eastAsia="仿宋_GB2312" w:cs="仿宋_GB2312"/>
                <w:i w:val="0"/>
                <w:color w:val="000000"/>
                <w:sz w:val="21"/>
                <w:szCs w:val="21"/>
                <w:u w:val="none"/>
              </w:rPr>
            </w:pPr>
            <w:r>
              <w:rPr>
                <w:rFonts w:hint="eastAsia" w:ascii="宋体" w:hAnsi="宋体" w:cs="宋体"/>
                <w:color w:val="auto"/>
                <w:kern w:val="0"/>
                <w:sz w:val="18"/>
                <w:szCs w:val="18"/>
                <w:lang w:eastAsia="zh-CN"/>
              </w:rPr>
              <w:t>城市管理办公室环保</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37920A7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05DE044A">
            <w:pPr>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中仓街道办事处</w:t>
            </w:r>
          </w:p>
        </w:tc>
      </w:tr>
      <w:tr w14:paraId="1A8A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14:paraId="5398623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14:paraId="61F43218">
            <w:pPr>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王岳磊</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398E6F2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FD8D571">
            <w:pPr>
              <w:jc w:val="center"/>
              <w:rPr>
                <w:rFonts w:hint="eastAsia" w:ascii="仿宋_GB2312" w:hAnsi="宋体" w:eastAsia="仿宋_GB2312" w:cs="仿宋_GB2312"/>
                <w:i w:val="0"/>
                <w:color w:val="000000"/>
                <w:sz w:val="21"/>
                <w:szCs w:val="21"/>
                <w:u w:val="none"/>
              </w:rPr>
            </w:pPr>
            <w:r>
              <w:rPr>
                <w:rFonts w:hint="eastAsia" w:ascii="宋体" w:hAnsi="宋体" w:cs="宋体"/>
                <w:color w:val="auto"/>
                <w:kern w:val="0"/>
                <w:sz w:val="18"/>
                <w:szCs w:val="18"/>
                <w:lang w:val="en-US" w:eastAsia="zh-CN"/>
              </w:rPr>
              <w:t>18610197107</w:t>
            </w:r>
          </w:p>
        </w:tc>
      </w:tr>
      <w:tr w14:paraId="4CC4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33E9A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14:paraId="26EF4333">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14:paraId="4BCDF38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C4DE09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7AB8960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A0F1F1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7F899E5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329CCB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14:paraId="2B0C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02BE35">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14:paraId="3CEDF72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333F9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123.4605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32B85E96">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123.4605</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6B7543E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123.4605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81F8ABA">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7973A15D">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9E50BF5">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1832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5D693A">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14:paraId="6892C05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BB5E77">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B6963A8">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123.4605</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44925249">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123.4605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39E99C2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68B3EF0D">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DE48B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4E79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200808">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14:paraId="6B5BD14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6955F9D">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75E1277">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0900CAA4">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D1B750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69FFC775">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6C060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017C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756CA7">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14:paraId="1BC479D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9D4A0B3">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0CF43E8D">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4F4805BE">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4490E66">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14:paraId="5F03E7EB">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6FFE9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42DD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EC96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14:paraId="479CDF5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14:paraId="672EF47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14:paraId="15DA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E495E">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14:paraId="7FF7FD85">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本次项目涉及中仓办事处4个社区，分别为悟仙观社区、四员厅社区、西营社区和本项目的清扫保洁以中仓小区及党群中心两个清扫重点区域为中心，涵盖中仓小区及其周边道路、新城东里小区及其周边道路。</w:t>
            </w:r>
          </w:p>
          <w:p w14:paraId="11B5FD9C">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 xml:space="preserve"> 本项目的裸地整治措施分为两种方式，方式一为裸地硬化，包括步道砖和嵌草砖铺装，方式二为裸地绿化，将具备绿化条件的裸地全部实行绿化覆盖。</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14:paraId="016C946B">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本次项目涉及中仓办事处4个社区，分别为悟仙观社区、四员厅社区、西营社区和本项目的清扫保洁以中仓小区及党群中心两个清扫重点区域为中心，涵盖中仓小区及其周边道路、新城东里小区及其周边道路。</w:t>
            </w:r>
          </w:p>
          <w:p w14:paraId="763E13EF">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 xml:space="preserve"> 本项目的裸地整治措施分为两种方式，方式一为裸地硬化，包括步道砖和嵌草砖铺装，方式二为裸地绿化，将具备绿化条件的裸地全部实行绿化覆盖。</w:t>
            </w:r>
          </w:p>
        </w:tc>
      </w:tr>
      <w:tr w14:paraId="08B9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AB8F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4238F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9C0813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4FE00E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4D243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62785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CBCADF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76E293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01216F1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14:paraId="74DE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08482">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0EDD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A06C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3B94341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E7E6728">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清扫保洁重点区域：（共计126698平米）</w:t>
            </w:r>
          </w:p>
          <w:p w14:paraId="6F79B81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裸地硬化及绿化点位：（共计1341平米）</w:t>
            </w:r>
          </w:p>
          <w:p w14:paraId="0BA7E6C3">
            <w:pPr>
              <w:widowControl/>
              <w:spacing w:line="240" w:lineRule="exact"/>
              <w:jc w:val="center"/>
              <w:rPr>
                <w:rFonts w:hint="eastAsia" w:ascii="宋体" w:hAnsi="宋体" w:eastAsia="宋体" w:cs="宋体"/>
                <w:color w:val="auto"/>
                <w:kern w:val="0"/>
                <w:sz w:val="18"/>
                <w:szCs w:val="18"/>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AFAB79A">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0DD747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5A524AF">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8693362">
            <w:pPr>
              <w:widowControl/>
              <w:spacing w:line="240" w:lineRule="exact"/>
              <w:jc w:val="center"/>
              <w:rPr>
                <w:rFonts w:hint="eastAsia" w:ascii="宋体" w:hAnsi="宋体" w:eastAsia="宋体" w:cs="宋体"/>
                <w:color w:val="auto"/>
                <w:kern w:val="0"/>
                <w:sz w:val="18"/>
                <w:szCs w:val="18"/>
                <w:lang w:val="en-US" w:eastAsia="zh-CN" w:bidi="ar-SA"/>
              </w:rPr>
            </w:pPr>
          </w:p>
        </w:tc>
      </w:tr>
      <w:tr w14:paraId="0BD7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F5C5B">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1553B">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37CA">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746457C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45A44AA">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976E3E0">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2CBC7DF">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8B6685E">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3A6BC55B">
            <w:pPr>
              <w:jc w:val="center"/>
              <w:rPr>
                <w:rFonts w:hint="eastAsia" w:ascii="仿宋_GB2312" w:hAnsi="宋体" w:eastAsia="仿宋_GB2312" w:cs="仿宋_GB2312"/>
                <w:i w:val="0"/>
                <w:color w:val="000000"/>
                <w:sz w:val="21"/>
                <w:szCs w:val="21"/>
                <w:u w:val="none"/>
              </w:rPr>
            </w:pPr>
          </w:p>
        </w:tc>
      </w:tr>
      <w:tr w14:paraId="5398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008E2">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51D5D">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A35DB">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A574D9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7B312DC">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5EE8B91">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FF5AD4D">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B16D00B">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A2CE4E1">
            <w:pPr>
              <w:jc w:val="center"/>
              <w:rPr>
                <w:rFonts w:hint="eastAsia" w:ascii="仿宋_GB2312" w:hAnsi="宋体" w:eastAsia="仿宋_GB2312" w:cs="仿宋_GB2312"/>
                <w:i w:val="0"/>
                <w:color w:val="000000"/>
                <w:sz w:val="21"/>
                <w:szCs w:val="21"/>
                <w:u w:val="none"/>
              </w:rPr>
            </w:pPr>
          </w:p>
        </w:tc>
      </w:tr>
      <w:tr w14:paraId="0726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BE85B">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7D6B7">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1A53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1DE5EA5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4E452A">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验收合格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021AB0">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969CF46">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37AF7156">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02A4848D">
            <w:pPr>
              <w:jc w:val="center"/>
              <w:rPr>
                <w:rFonts w:hint="eastAsia" w:ascii="仿宋_GB2312" w:hAnsi="宋体" w:eastAsia="仿宋_GB2312" w:cs="仿宋_GB2312"/>
                <w:i w:val="0"/>
                <w:color w:val="000000"/>
                <w:sz w:val="21"/>
                <w:szCs w:val="21"/>
                <w:u w:val="none"/>
              </w:rPr>
            </w:pPr>
          </w:p>
        </w:tc>
      </w:tr>
      <w:tr w14:paraId="69A6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F4B8A">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7C58E">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7D034">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6BD0819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277207F">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799D6C">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5352A23">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55D7974">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F96AAD1">
            <w:pPr>
              <w:jc w:val="center"/>
              <w:rPr>
                <w:rFonts w:hint="eastAsia" w:ascii="仿宋_GB2312" w:hAnsi="宋体" w:eastAsia="仿宋_GB2312" w:cs="仿宋_GB2312"/>
                <w:i w:val="0"/>
                <w:color w:val="000000"/>
                <w:sz w:val="21"/>
                <w:szCs w:val="21"/>
                <w:u w:val="none"/>
              </w:rPr>
            </w:pPr>
          </w:p>
        </w:tc>
      </w:tr>
      <w:tr w14:paraId="2AA6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4C971">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5DFA0">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03DFF">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C662B9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B06B2B9">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96D13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6FB0DA4">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C6CA486">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B0A29E6">
            <w:pPr>
              <w:jc w:val="center"/>
              <w:rPr>
                <w:rFonts w:hint="eastAsia" w:ascii="仿宋_GB2312" w:hAnsi="宋体" w:eastAsia="仿宋_GB2312" w:cs="仿宋_GB2312"/>
                <w:i w:val="0"/>
                <w:color w:val="000000"/>
                <w:sz w:val="21"/>
                <w:szCs w:val="21"/>
                <w:u w:val="none"/>
              </w:rPr>
            </w:pPr>
          </w:p>
        </w:tc>
      </w:tr>
      <w:tr w14:paraId="3058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ABEEC">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FB9D6">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45F6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2D44E36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91F872F">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9C8202D">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D27D32A">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4A69B02">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4247A790">
            <w:pPr>
              <w:jc w:val="center"/>
              <w:rPr>
                <w:rFonts w:hint="eastAsia" w:ascii="仿宋_GB2312" w:hAnsi="宋体" w:eastAsia="仿宋_GB2312" w:cs="仿宋_GB2312"/>
                <w:i w:val="0"/>
                <w:color w:val="000000"/>
                <w:sz w:val="21"/>
                <w:szCs w:val="21"/>
                <w:u w:val="none"/>
              </w:rPr>
            </w:pPr>
          </w:p>
        </w:tc>
      </w:tr>
      <w:tr w14:paraId="0B5A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4B534">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FBF2D">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A02DD">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281C83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841D73E">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49F68E2">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C147F7F">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691B299">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2E60093">
            <w:pPr>
              <w:jc w:val="center"/>
              <w:rPr>
                <w:rFonts w:hint="eastAsia" w:ascii="仿宋_GB2312" w:hAnsi="宋体" w:eastAsia="仿宋_GB2312" w:cs="仿宋_GB2312"/>
                <w:i w:val="0"/>
                <w:color w:val="000000"/>
                <w:sz w:val="21"/>
                <w:szCs w:val="21"/>
                <w:u w:val="none"/>
              </w:rPr>
            </w:pPr>
          </w:p>
        </w:tc>
      </w:tr>
      <w:tr w14:paraId="6FCB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54D8A">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F0B7A">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1CABD">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4D93A8F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F4C809A">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9D9706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B5ACAC9">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8B6449A">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191E568">
            <w:pPr>
              <w:jc w:val="center"/>
              <w:rPr>
                <w:rFonts w:hint="eastAsia" w:ascii="仿宋_GB2312" w:hAnsi="宋体" w:eastAsia="仿宋_GB2312" w:cs="仿宋_GB2312"/>
                <w:i w:val="0"/>
                <w:color w:val="000000"/>
                <w:sz w:val="21"/>
                <w:szCs w:val="21"/>
                <w:u w:val="none"/>
              </w:rPr>
            </w:pPr>
          </w:p>
        </w:tc>
      </w:tr>
      <w:tr w14:paraId="45ED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14599">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32CFC">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29AE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2D6539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070B31F">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123.4605</w:t>
            </w:r>
            <w:r>
              <w:rPr>
                <w:rFonts w:hint="eastAsia" w:ascii="宋体" w:hAnsi="宋体" w:cs="宋体"/>
                <w:color w:val="auto"/>
                <w:kern w:val="0"/>
                <w:sz w:val="18"/>
                <w:szCs w:val="18"/>
              </w:rPr>
              <w:t>万元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CF4644B">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E215AF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3C09E7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DE7E80D">
            <w:pPr>
              <w:jc w:val="center"/>
              <w:rPr>
                <w:rFonts w:hint="eastAsia" w:ascii="仿宋_GB2312" w:hAnsi="宋体" w:eastAsia="仿宋_GB2312" w:cs="仿宋_GB2312"/>
                <w:i w:val="0"/>
                <w:color w:val="000000"/>
                <w:sz w:val="21"/>
                <w:szCs w:val="21"/>
                <w:u w:val="none"/>
              </w:rPr>
            </w:pPr>
          </w:p>
        </w:tc>
      </w:tr>
      <w:tr w14:paraId="39BF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5FFAE">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5DAC6">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A8FAD">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06BEAE6">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7832FE">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DB65C9F">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E505BDC">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EB0C156">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D53BEB9">
            <w:pPr>
              <w:jc w:val="center"/>
              <w:rPr>
                <w:rFonts w:hint="eastAsia" w:ascii="仿宋_GB2312" w:hAnsi="宋体" w:eastAsia="仿宋_GB2312" w:cs="仿宋_GB2312"/>
                <w:i w:val="0"/>
                <w:color w:val="000000"/>
                <w:sz w:val="21"/>
                <w:szCs w:val="21"/>
                <w:u w:val="none"/>
              </w:rPr>
            </w:pPr>
          </w:p>
        </w:tc>
      </w:tr>
      <w:tr w14:paraId="0E19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2A324">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E5E21">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DEB8C">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3D5B91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AD78BC3">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0ABAD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139E132">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28F4267">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A61C94E">
            <w:pPr>
              <w:jc w:val="center"/>
              <w:rPr>
                <w:rFonts w:hint="eastAsia" w:ascii="仿宋_GB2312" w:hAnsi="宋体" w:eastAsia="仿宋_GB2312" w:cs="仿宋_GB2312"/>
                <w:i w:val="0"/>
                <w:color w:val="000000"/>
                <w:sz w:val="21"/>
                <w:szCs w:val="21"/>
                <w:u w:val="none"/>
              </w:rPr>
            </w:pPr>
          </w:p>
        </w:tc>
      </w:tr>
      <w:tr w14:paraId="7C31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92467">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F23E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A9F1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29AA54A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BA8ABD">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default" w:ascii="等线" w:hAnsi="等线" w:eastAsia="等线" w:cs="等线"/>
                <w:i w:val="0"/>
                <w:iCs w:val="0"/>
                <w:color w:val="000000"/>
                <w:kern w:val="0"/>
                <w:sz w:val="18"/>
                <w:szCs w:val="18"/>
                <w:u w:val="none"/>
                <w:lang w:val="en-US" w:eastAsia="zh-CN" w:bidi="ar"/>
              </w:rPr>
              <w:t>有效利用专项资金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79B287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D01FBCD">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209F70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776FADC">
            <w:pPr>
              <w:jc w:val="center"/>
              <w:rPr>
                <w:rFonts w:hint="eastAsia" w:ascii="仿宋_GB2312" w:hAnsi="宋体" w:eastAsia="仿宋_GB2312" w:cs="仿宋_GB2312"/>
                <w:i w:val="0"/>
                <w:color w:val="000000"/>
                <w:sz w:val="21"/>
                <w:szCs w:val="21"/>
                <w:u w:val="none"/>
              </w:rPr>
            </w:pPr>
          </w:p>
        </w:tc>
      </w:tr>
      <w:tr w14:paraId="1E7C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B0258">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7EA47">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10925">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4D4AFDC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05E2A5">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DCD6807">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9CF9978">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6234209">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F14C4D5">
            <w:pPr>
              <w:jc w:val="center"/>
              <w:rPr>
                <w:rFonts w:hint="eastAsia" w:ascii="仿宋_GB2312" w:hAnsi="宋体" w:eastAsia="仿宋_GB2312" w:cs="仿宋_GB2312"/>
                <w:i w:val="0"/>
                <w:color w:val="000000"/>
                <w:sz w:val="21"/>
                <w:szCs w:val="21"/>
                <w:u w:val="none"/>
              </w:rPr>
            </w:pPr>
          </w:p>
        </w:tc>
      </w:tr>
      <w:tr w14:paraId="6277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A9E99">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937B7">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21FFC">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D36BD2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2F340C4">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4B2D5E5">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37635494">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C9E0FA0">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C3EB21F">
            <w:pPr>
              <w:jc w:val="center"/>
              <w:rPr>
                <w:rFonts w:hint="eastAsia" w:ascii="仿宋_GB2312" w:hAnsi="宋体" w:eastAsia="仿宋_GB2312" w:cs="仿宋_GB2312"/>
                <w:i w:val="0"/>
                <w:color w:val="000000"/>
                <w:sz w:val="21"/>
                <w:szCs w:val="21"/>
                <w:u w:val="none"/>
              </w:rPr>
            </w:pPr>
          </w:p>
        </w:tc>
      </w:tr>
      <w:tr w14:paraId="0D03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8735">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D90BD">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4FC7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A8ECC5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0A53B0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对辖区内裸地进行治理，确保辖区内大气污染防治落实到位。</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3383A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87F150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06BD983">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BE75B5C">
            <w:pPr>
              <w:jc w:val="center"/>
              <w:rPr>
                <w:rFonts w:hint="eastAsia" w:ascii="仿宋_GB2312" w:hAnsi="宋体" w:eastAsia="仿宋_GB2312" w:cs="仿宋_GB2312"/>
                <w:i w:val="0"/>
                <w:color w:val="000000"/>
                <w:sz w:val="21"/>
                <w:szCs w:val="21"/>
                <w:u w:val="none"/>
              </w:rPr>
            </w:pPr>
          </w:p>
        </w:tc>
      </w:tr>
      <w:tr w14:paraId="5975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AA4C2">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C0D48">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A969B">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389741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569D44">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9778F65">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7C5C864">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DEA6DAE">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BA6DCD8">
            <w:pPr>
              <w:jc w:val="center"/>
              <w:rPr>
                <w:rFonts w:hint="eastAsia" w:ascii="仿宋_GB2312" w:hAnsi="宋体" w:eastAsia="仿宋_GB2312" w:cs="仿宋_GB2312"/>
                <w:i w:val="0"/>
                <w:color w:val="000000"/>
                <w:sz w:val="21"/>
                <w:szCs w:val="21"/>
                <w:u w:val="none"/>
              </w:rPr>
            </w:pPr>
          </w:p>
        </w:tc>
      </w:tr>
      <w:tr w14:paraId="0697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70F01">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B60C6">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15A66">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6B07266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76B43CC">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0F6A80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0072D48">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0D01438">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554303B">
            <w:pPr>
              <w:jc w:val="center"/>
              <w:rPr>
                <w:rFonts w:hint="eastAsia" w:ascii="仿宋_GB2312" w:hAnsi="宋体" w:eastAsia="仿宋_GB2312" w:cs="仿宋_GB2312"/>
                <w:i w:val="0"/>
                <w:color w:val="000000"/>
                <w:sz w:val="21"/>
                <w:szCs w:val="21"/>
                <w:u w:val="none"/>
              </w:rPr>
            </w:pPr>
          </w:p>
        </w:tc>
      </w:tr>
      <w:tr w14:paraId="5D01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FBFAD">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769D">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7FBA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720941C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9710173">
            <w:pPr>
              <w:widowControl/>
              <w:tabs>
                <w:tab w:val="left" w:pos="206"/>
              </w:tabs>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减少扬尘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CD3FE7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75D82B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F9656F5">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CC5BCB7">
            <w:pPr>
              <w:jc w:val="center"/>
              <w:rPr>
                <w:rFonts w:hint="eastAsia" w:ascii="仿宋_GB2312" w:hAnsi="宋体" w:eastAsia="仿宋_GB2312" w:cs="仿宋_GB2312"/>
                <w:i w:val="0"/>
                <w:color w:val="000000"/>
                <w:sz w:val="21"/>
                <w:szCs w:val="21"/>
                <w:u w:val="none"/>
              </w:rPr>
            </w:pPr>
          </w:p>
        </w:tc>
      </w:tr>
      <w:tr w14:paraId="20ED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EA455">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EFC23">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D5EE4">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19B0C3B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3577363">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0D46F48">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43074D4">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AB8F092">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8613893">
            <w:pPr>
              <w:jc w:val="center"/>
              <w:rPr>
                <w:rFonts w:hint="eastAsia" w:ascii="仿宋_GB2312" w:hAnsi="宋体" w:eastAsia="仿宋_GB2312" w:cs="仿宋_GB2312"/>
                <w:i w:val="0"/>
                <w:color w:val="000000"/>
                <w:sz w:val="21"/>
                <w:szCs w:val="21"/>
                <w:u w:val="none"/>
              </w:rPr>
            </w:pPr>
          </w:p>
        </w:tc>
      </w:tr>
      <w:tr w14:paraId="1F9A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F83C6">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909F5">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15E8A">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62C62B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2CDB1C0">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AA938C">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75CED8A">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76442E5">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426240D">
            <w:pPr>
              <w:jc w:val="center"/>
              <w:rPr>
                <w:rFonts w:hint="eastAsia" w:ascii="仿宋_GB2312" w:hAnsi="宋体" w:eastAsia="仿宋_GB2312" w:cs="仿宋_GB2312"/>
                <w:i w:val="0"/>
                <w:color w:val="000000"/>
                <w:sz w:val="21"/>
                <w:szCs w:val="21"/>
                <w:u w:val="none"/>
              </w:rPr>
            </w:pPr>
          </w:p>
        </w:tc>
      </w:tr>
      <w:tr w14:paraId="2215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00B02">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5F18F">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0FB7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FF0605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F7E57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改善辖区空气质量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AC96B4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3E4B59E">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95</w:t>
            </w:r>
            <w:r>
              <w:rPr>
                <w:rFonts w:hint="eastAsia" w:ascii="宋体" w:hAnsi="宋体" w:cs="宋体"/>
                <w:color w:val="auto"/>
                <w:kern w:val="0"/>
                <w:sz w:val="18"/>
                <w:szCs w:val="18"/>
              </w:rPr>
              <w:t>%-90%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274D61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367277F5">
            <w:pPr>
              <w:jc w:val="center"/>
              <w:rPr>
                <w:rFonts w:hint="eastAsia" w:ascii="仿宋_GB2312" w:hAnsi="宋体" w:eastAsia="仿宋_GB2312" w:cs="仿宋_GB2312"/>
                <w:i w:val="0"/>
                <w:color w:val="000000"/>
                <w:sz w:val="21"/>
                <w:szCs w:val="21"/>
                <w:u w:val="none"/>
              </w:rPr>
            </w:pPr>
          </w:p>
        </w:tc>
      </w:tr>
      <w:tr w14:paraId="14CD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62125">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E16F3">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9618">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1AE214D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AADF73">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441052">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0EEE62C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55E0E8A">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7B39BF6">
            <w:pPr>
              <w:jc w:val="center"/>
              <w:rPr>
                <w:rFonts w:hint="eastAsia" w:ascii="仿宋_GB2312" w:hAnsi="宋体" w:eastAsia="仿宋_GB2312" w:cs="仿宋_GB2312"/>
                <w:i w:val="0"/>
                <w:color w:val="000000"/>
                <w:sz w:val="21"/>
                <w:szCs w:val="21"/>
                <w:u w:val="none"/>
              </w:rPr>
            </w:pPr>
          </w:p>
        </w:tc>
      </w:tr>
      <w:tr w14:paraId="61F0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5705D">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61EA7">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C183F">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8145A0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416D058">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16AEE0">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3251985B">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F293E12">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7CF4327">
            <w:pPr>
              <w:jc w:val="center"/>
              <w:rPr>
                <w:rFonts w:hint="eastAsia" w:ascii="仿宋_GB2312" w:hAnsi="宋体" w:eastAsia="仿宋_GB2312" w:cs="仿宋_GB2312"/>
                <w:i w:val="0"/>
                <w:color w:val="000000"/>
                <w:sz w:val="21"/>
                <w:szCs w:val="21"/>
                <w:u w:val="none"/>
              </w:rPr>
            </w:pPr>
          </w:p>
        </w:tc>
      </w:tr>
      <w:tr w14:paraId="412B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1ECE1">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86B2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7835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9B6D33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B802B2A">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居民满意度</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3F6FB9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CDAAF1F">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100%-90%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2B2DDFD2">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64DEEAD">
            <w:pPr>
              <w:jc w:val="center"/>
              <w:rPr>
                <w:rFonts w:hint="eastAsia" w:ascii="仿宋_GB2312" w:hAnsi="宋体" w:eastAsia="仿宋_GB2312" w:cs="仿宋_GB2312"/>
                <w:i w:val="0"/>
                <w:color w:val="000000"/>
                <w:sz w:val="21"/>
                <w:szCs w:val="21"/>
                <w:u w:val="none"/>
              </w:rPr>
            </w:pPr>
          </w:p>
        </w:tc>
      </w:tr>
      <w:tr w14:paraId="4358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8FCBF">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6CC7C">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281C4">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50DAF55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89F0FE6">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5515EA1">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F1BF9D2">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3A436A3">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53DCEB1">
            <w:pPr>
              <w:jc w:val="center"/>
              <w:rPr>
                <w:rFonts w:hint="eastAsia" w:ascii="仿宋_GB2312" w:hAnsi="宋体" w:eastAsia="仿宋_GB2312" w:cs="仿宋_GB2312"/>
                <w:i w:val="0"/>
                <w:color w:val="000000"/>
                <w:sz w:val="21"/>
                <w:szCs w:val="21"/>
                <w:u w:val="none"/>
              </w:rPr>
            </w:pPr>
          </w:p>
        </w:tc>
      </w:tr>
      <w:tr w14:paraId="52A7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C1038">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48BD6">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2F9A3">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14:paraId="0D889ED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EB450B7">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A04D9D">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7DA0F66C">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4184024D">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66CF778">
            <w:pPr>
              <w:jc w:val="center"/>
              <w:rPr>
                <w:rFonts w:hint="eastAsia" w:ascii="仿宋_GB2312" w:hAnsi="宋体" w:eastAsia="仿宋_GB2312" w:cs="仿宋_GB2312"/>
                <w:i w:val="0"/>
                <w:color w:val="000000"/>
                <w:sz w:val="21"/>
                <w:szCs w:val="21"/>
                <w:u w:val="none"/>
              </w:rPr>
            </w:pPr>
          </w:p>
        </w:tc>
      </w:tr>
      <w:tr w14:paraId="1ACE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14:paraId="21269DD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A317E6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1F379CA7">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95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F2BCDB8">
            <w:pPr>
              <w:jc w:val="center"/>
              <w:rPr>
                <w:rFonts w:hint="eastAsia" w:ascii="宋体" w:hAnsi="宋体" w:eastAsia="宋体" w:cs="宋体"/>
                <w:i w:val="0"/>
                <w:color w:val="000000"/>
                <w:sz w:val="24"/>
                <w:szCs w:val="24"/>
                <w:u w:val="none"/>
              </w:rPr>
            </w:pPr>
          </w:p>
        </w:tc>
      </w:tr>
    </w:tbl>
    <w:p w14:paraId="2373C353">
      <w:pPr>
        <w:pStyle w:val="2"/>
      </w:pPr>
    </w:p>
    <w:p w14:paraId="012D1FAA"/>
    <w:p w14:paraId="68F597AC">
      <w:pPr>
        <w:pStyle w:val="3"/>
      </w:pPr>
    </w:p>
    <w:p w14:paraId="3AE0670E"/>
    <w:p w14:paraId="00C6AF82"/>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2C2F">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3B59407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C4C0">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303B134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093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4976610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9A826"/>
    <w:multiLevelType w:val="singleLevel"/>
    <w:tmpl w:val="5E89A826"/>
    <w:lvl w:ilvl="0" w:tentative="0">
      <w:start w:val="6"/>
      <w:numFmt w:val="chineseCounting"/>
      <w:suff w:val="nothing"/>
      <w:lvlText w:val="（%1）"/>
      <w:lvlJc w:val="left"/>
      <w:rPr>
        <w:rFonts w:hint="eastAsia"/>
      </w:rPr>
    </w:lvl>
  </w:abstractNum>
  <w:abstractNum w:abstractNumId="1">
    <w:nsid w:val="7C2B19E4"/>
    <w:multiLevelType w:val="singleLevel"/>
    <w:tmpl w:val="7C2B19E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mE0MDA0OWJkZWRlNGRlMTMzMmYyYzJiNDY4YjE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79004AC"/>
    <w:rsid w:val="0F8E2C57"/>
    <w:rsid w:val="1059665E"/>
    <w:rsid w:val="10AC13BA"/>
    <w:rsid w:val="1AEC0734"/>
    <w:rsid w:val="1DEF20B0"/>
    <w:rsid w:val="20A96406"/>
    <w:rsid w:val="21371441"/>
    <w:rsid w:val="214243FA"/>
    <w:rsid w:val="21AD613C"/>
    <w:rsid w:val="257A14F5"/>
    <w:rsid w:val="27196C26"/>
    <w:rsid w:val="27BE3990"/>
    <w:rsid w:val="29EF086F"/>
    <w:rsid w:val="2EFFE297"/>
    <w:rsid w:val="301437CA"/>
    <w:rsid w:val="34DD0473"/>
    <w:rsid w:val="433E495C"/>
    <w:rsid w:val="4AC27CB3"/>
    <w:rsid w:val="4BF72BEF"/>
    <w:rsid w:val="51DB3C59"/>
    <w:rsid w:val="55762E42"/>
    <w:rsid w:val="57A643A0"/>
    <w:rsid w:val="57A7B272"/>
    <w:rsid w:val="58470068"/>
    <w:rsid w:val="5A1720F9"/>
    <w:rsid w:val="5B9C37C2"/>
    <w:rsid w:val="5BA7C654"/>
    <w:rsid w:val="64C0607C"/>
    <w:rsid w:val="676F09E1"/>
    <w:rsid w:val="7A7F1C49"/>
    <w:rsid w:val="7B5B7AE6"/>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 w:type="paragraph" w:customStyle="1" w:styleId="20">
    <w:name w:val="BodyText"/>
    <w:basedOn w:val="1"/>
    <w:qFormat/>
    <w:uiPriority w:val="0"/>
    <w:pPr>
      <w:jc w:val="both"/>
      <w:textAlignment w:val="baseline"/>
    </w:pPr>
    <w:rPr>
      <w:rFonts w:ascii="宋体" w:hAnsi="宋体"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收入决算</a:t>
            </a:r>
          </a:p>
        </c:rich>
      </c:tx>
      <c:layout/>
      <c:overlay val="0"/>
      <c:spPr>
        <a:noFill/>
        <a:ln>
          <a:noFill/>
        </a:ln>
        <a:effectLst/>
      </c:spPr>
    </c:title>
    <c:autoTitleDeleted val="0"/>
    <c:plotArea>
      <c:layout>
        <c:manualLayout>
          <c:layoutTarget val="inner"/>
          <c:xMode val="edge"/>
          <c:yMode val="edge"/>
          <c:x val="0.218184678307378"/>
          <c:y val="0.215980365421325"/>
          <c:w val="0.415762151958471"/>
          <c:h val="0.720752658849195"/>
        </c:manualLayout>
      </c:layout>
      <c:pieChart>
        <c:varyColors val="1"/>
        <c:ser>
          <c:idx val="0"/>
          <c:order val="0"/>
          <c:tx>
            <c:strRef>
              <c:f>Sheet1!$B$1</c:f>
              <c:strCache>
                <c:ptCount val="1"/>
                <c:pt idx="0">
                  <c:v>收入决算</c:v>
                </c:pt>
              </c:strCache>
            </c:strRef>
          </c:tx>
          <c:spPr/>
          <c:explosion val="0"/>
          <c:dPt>
            <c:idx val="0"/>
            <c:bubble3D val="0"/>
            <c:spPr>
              <a:solidFill>
                <a:schemeClr val="accent1">
                  <a:shade val="76667"/>
                </a:schemeClr>
              </a:solidFill>
              <a:ln>
                <a:solidFill>
                  <a:schemeClr val="bg1"/>
                </a:solidFill>
              </a:ln>
              <a:effectLst/>
            </c:spPr>
          </c:dPt>
          <c:dPt>
            <c:idx val="1"/>
            <c:bubble3D val="0"/>
            <c:spPr>
              <a:solidFill>
                <a:schemeClr val="accent2">
                  <a:shade val="76667"/>
                </a:schemeClr>
              </a:solidFill>
              <a:ln>
                <a:solidFill>
                  <a:schemeClr val="bg1"/>
                </a:solidFill>
              </a:ln>
              <a:effectLst/>
            </c:spPr>
          </c:dPt>
          <c:dPt>
            <c:idx val="2"/>
            <c:bubble3D val="0"/>
            <c:spPr>
              <a:solidFill>
                <a:schemeClr val="accent3">
                  <a:shade val="76667"/>
                </a:schemeClr>
              </a:solidFill>
              <a:ln>
                <a:solidFill>
                  <a:schemeClr val="bg1"/>
                </a:solidFill>
              </a:ln>
              <a:effectLst/>
            </c:spPr>
          </c:dPt>
          <c:dPt>
            <c:idx val="3"/>
            <c:bubble3D val="0"/>
            <c:spPr>
              <a:solidFill>
                <a:schemeClr val="accent4">
                  <a:shade val="76667"/>
                </a:schemeClr>
              </a:solidFill>
              <a:ln>
                <a:solidFill>
                  <a:schemeClr val="bg1"/>
                </a:solidFill>
              </a:ln>
              <a:effectLst/>
            </c:spPr>
          </c:dPt>
          <c:dPt>
            <c:idx val="4"/>
            <c:bubble3D val="0"/>
            <c:spPr>
              <a:solidFill>
                <a:schemeClr val="accent5">
                  <a:shade val="76667"/>
                </a:schemeClr>
              </a:solidFill>
              <a:ln>
                <a:solidFill>
                  <a:schemeClr val="bg1"/>
                </a:solidFill>
              </a:ln>
              <a:effectLst/>
            </c:spPr>
          </c:dPt>
          <c:dPt>
            <c:idx val="5"/>
            <c:bubble3D val="0"/>
            <c:spPr>
              <a:solidFill>
                <a:schemeClr val="accent6">
                  <a:shade val="76667"/>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附属单位收入</c:v>
                </c:pt>
                <c:pt idx="5">
                  <c:v>其他收入</c:v>
                </c:pt>
              </c:strCache>
            </c:strRef>
          </c:cat>
          <c:val>
            <c:numRef>
              <c:f>Sheet1!$B$2:$B$7</c:f>
              <c:numCache>
                <c:formatCode>General</c:formatCode>
                <c:ptCount val="6"/>
                <c:pt idx="0">
                  <c:v>99.95</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0.3944</c:v>
                </c:pt>
                <c:pt idx="1">
                  <c:v>0.6055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12070</Words>
  <Characters>13222</Characters>
  <Lines>44</Lines>
  <Paragraphs>12</Paragraphs>
  <TotalTime>5</TotalTime>
  <ScaleCrop>false</ScaleCrop>
  <LinksUpToDate>false</LinksUpToDate>
  <CharactersWithSpaces>13344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双鱼座</cp:lastModifiedBy>
  <cp:lastPrinted>2020-08-07T11:39:00Z</cp:lastPrinted>
  <dcterms:modified xsi:type="dcterms:W3CDTF">2024-09-26T09:15:12Z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8C65E35145E744878FAB442E6AE25B5D_13</vt:lpwstr>
  </property>
</Properties>
</file>