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hint="default" w:ascii="仿宋_GB2312" w:eastAsia="黑体"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color w:val="auto"/>
          <w:sz w:val="32"/>
          <w:szCs w:val="32"/>
        </w:rPr>
        <w:t>附件1</w:t>
      </w:r>
      <w:r>
        <w:rPr>
          <w:rFonts w:hint="eastAsia" w:ascii="黑体" w:hAnsi="黑体" w:eastAsia="黑体"/>
          <w:color w:val="auto"/>
          <w:sz w:val="32"/>
          <w:szCs w:val="32"/>
          <w:lang w:val="en-US" w:eastAsia="zh-CN"/>
        </w:rPr>
        <w:t>-1</w:t>
      </w:r>
    </w:p>
    <w:tbl>
      <w:tblPr>
        <w:tblStyle w:val="9"/>
        <w:tblW w:w="892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969"/>
        <w:gridCol w:w="1086"/>
        <w:gridCol w:w="718"/>
        <w:gridCol w:w="805"/>
        <w:gridCol w:w="309"/>
        <w:gridCol w:w="1107"/>
        <w:gridCol w:w="848"/>
        <w:gridCol w:w="202"/>
        <w:gridCol w:w="355"/>
        <w:gridCol w:w="416"/>
        <w:gridCol w:w="141"/>
        <w:gridCol w:w="695"/>
        <w:gridCol w:w="69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spacing w:line="50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32"/>
                <w:szCs w:val="32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noWrap w:val="0"/>
            <w:vAlign w:val="top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2"/>
              </w:rPr>
              <w:t>（    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1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2"/>
                <w:lang w:val="en-US" w:eastAsia="zh-CN"/>
              </w:rPr>
              <w:t>环境公益维护岗劳保用品购买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9" w:hRule="exact"/>
          <w:jc w:val="center"/>
        </w:trPr>
        <w:tc>
          <w:tcPr>
            <w:tcW w:w="15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2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城市管理办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306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北京泽瑞顺成环保科技有限公司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项目</w:t>
            </w:r>
            <w:r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02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薛镜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306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60530013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exact"/>
          <w:jc w:val="center"/>
        </w:trPr>
        <w:tc>
          <w:tcPr>
            <w:tcW w:w="1547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56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项目资金（万元）</w:t>
            </w:r>
          </w:p>
        </w:tc>
        <w:tc>
          <w:tcPr>
            <w:tcW w:w="18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年初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 xml:space="preserve">     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预算数</w:t>
            </w:r>
          </w:p>
        </w:tc>
        <w:tc>
          <w:tcPr>
            <w:tcW w:w="11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全年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 xml:space="preserve">     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预算数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全年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 xml:space="preserve">     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执行数</w:t>
            </w:r>
          </w:p>
        </w:tc>
        <w:tc>
          <w:tcPr>
            <w:tcW w:w="7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8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2"/>
                <w:lang w:val="en-US" w:eastAsia="zh-CN"/>
              </w:rPr>
              <w:t>25035</w:t>
            </w:r>
          </w:p>
        </w:tc>
        <w:tc>
          <w:tcPr>
            <w:tcW w:w="11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2"/>
                <w:lang w:val="en-US" w:eastAsia="zh-CN"/>
              </w:rPr>
              <w:t>25035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2"/>
                <w:lang w:val="en-US" w:eastAsia="zh-CN"/>
              </w:rPr>
              <w:t>25035</w:t>
            </w:r>
          </w:p>
        </w:tc>
        <w:tc>
          <w:tcPr>
            <w:tcW w:w="7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8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7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8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7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8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7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4994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56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5" w:hRule="exact"/>
          <w:jc w:val="center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4994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1"/>
                <w:lang w:val="en-US" w:eastAsia="zh-CN"/>
              </w:rPr>
              <w:t>采购劳动保护用品，为环境公益维护岗开展辖区环境治理、垃圾分类等工作提供劳动保护，从而更好的改善辖区环境，营造良好市容市貌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3356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已完成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标</w:t>
            </w:r>
          </w:p>
        </w:tc>
        <w:tc>
          <w:tcPr>
            <w:tcW w:w="9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152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分值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得分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152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4"/>
                <w:szCs w:val="14"/>
                <w:lang w:val="en-US" w:eastAsia="zh-CN" w:bidi="ar-SA"/>
              </w:rPr>
              <w:t>采购金额不超过60元/人/月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4"/>
                <w:szCs w:val="1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优良中低差</w:t>
            </w: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eastAsia="zh-CN" w:bidi="ar"/>
              </w:rPr>
              <w:t>优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50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  <w:t>50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3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效益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指标</w:t>
            </w:r>
          </w:p>
        </w:tc>
        <w:tc>
          <w:tcPr>
            <w:tcW w:w="10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</w:t>
            </w:r>
          </w:p>
        </w:tc>
        <w:tc>
          <w:tcPr>
            <w:tcW w:w="152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0" w:lineRule="exact"/>
              <w:jc w:val="center"/>
              <w:textAlignment w:val="auto"/>
              <w:rPr>
                <w:rFonts w:hint="eastAsia"/>
                <w:sz w:val="14"/>
                <w:szCs w:val="1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4"/>
                <w:szCs w:val="14"/>
                <w:lang w:val="en-US" w:eastAsia="zh-CN"/>
              </w:rPr>
              <w:t>为环境公益维护岗开展辖区环境治理、垃圾分类等工作提供劳动保护。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4"/>
                <w:szCs w:val="1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优良中低差</w:t>
            </w: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eastAsia="zh-CN" w:bidi="ar"/>
              </w:rPr>
              <w:t>优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生态效益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</w:t>
            </w:r>
          </w:p>
        </w:tc>
        <w:tc>
          <w:tcPr>
            <w:tcW w:w="152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0" w:lineRule="exact"/>
              <w:jc w:val="center"/>
              <w:textAlignment w:val="auto"/>
              <w:rPr>
                <w:rFonts w:hint="eastAsia"/>
                <w:sz w:val="14"/>
                <w:szCs w:val="1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4"/>
                <w:szCs w:val="14"/>
                <w:lang w:val="en-US" w:eastAsia="zh-CN"/>
              </w:rPr>
              <w:t>推动改善辖区环境，营造良好市容市貌。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4"/>
                <w:szCs w:val="1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优良中低差</w:t>
            </w: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eastAsia="zh-CN" w:bidi="ar"/>
              </w:rPr>
              <w:t>优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14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0" w:lineRule="exact"/>
              <w:jc w:val="center"/>
              <w:textAlignment w:val="auto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4"/>
                <w:szCs w:val="14"/>
                <w:lang w:val="en-US" w:eastAsia="zh-CN"/>
              </w:rPr>
              <w:t>环境提升不到位。还需进一步提高对采购的劳保用品的使用率。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9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</w:t>
            </w: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152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0" w:lineRule="exact"/>
              <w:jc w:val="center"/>
              <w:textAlignment w:val="auto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4"/>
                <w:szCs w:val="14"/>
                <w:u w:val="none"/>
                <w:lang w:val="en-US" w:eastAsia="zh-CN" w:bidi="ar"/>
              </w:rPr>
              <w:t>公益岗对采购的劳保用品的评价情况</w:t>
            </w:r>
          </w:p>
        </w:tc>
        <w:tc>
          <w:tcPr>
            <w:tcW w:w="141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优良中低差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eastAsia="zh-CN" w:bidi="ar"/>
              </w:rPr>
              <w:t>优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4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90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8</w:t>
            </w:r>
            <w:bookmarkStart w:id="0" w:name="_GoBack"/>
            <w:bookmarkEnd w:id="0"/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9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</w:tbl>
    <w:p>
      <w:pPr>
        <w:widowControl/>
        <w:spacing w:line="480" w:lineRule="exact"/>
        <w:ind w:firstLine="440" w:firstLineChars="200"/>
        <w:jc w:val="left"/>
        <w:outlineLvl w:val="0"/>
        <w:rPr>
          <w:rFonts w:hint="eastAsia" w:ascii="宋体" w:hAnsi="宋体" w:eastAsia="宋体" w:cs="宋体"/>
          <w:color w:val="auto"/>
          <w:kern w:val="0"/>
          <w:sz w:val="22"/>
          <w:szCs w:val="24"/>
        </w:rPr>
      </w:pP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填报注意事项：</w:t>
      </w:r>
    </w:p>
    <w:p>
      <w:pPr>
        <w:widowControl/>
        <w:spacing w:line="480" w:lineRule="exact"/>
        <w:ind w:firstLine="440" w:firstLineChars="200"/>
        <w:jc w:val="left"/>
        <w:outlineLvl w:val="0"/>
        <w:rPr>
          <w:rFonts w:hint="eastAsia" w:ascii="宋体" w:hAnsi="宋体" w:eastAsia="宋体" w:cs="宋体"/>
          <w:color w:val="auto"/>
          <w:kern w:val="0"/>
          <w:sz w:val="22"/>
          <w:szCs w:val="24"/>
        </w:rPr>
      </w:pPr>
      <w:r>
        <w:rPr>
          <w:rFonts w:hint="eastAsia" w:ascii="宋体" w:hAnsi="宋体" w:eastAsia="宋体" w:cs="宋体"/>
          <w:color w:val="auto"/>
          <w:kern w:val="0"/>
          <w:sz w:val="22"/>
          <w:szCs w:val="24"/>
          <w:lang w:val="en-US" w:eastAsia="zh-CN"/>
        </w:rPr>
        <w:t>1.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评价方法说明</w:t>
      </w:r>
      <w:r>
        <w:rPr>
          <w:rFonts w:hint="eastAsia" w:ascii="宋体" w:hAnsi="宋体" w:cs="宋体"/>
          <w:color w:val="auto"/>
          <w:kern w:val="0"/>
          <w:sz w:val="22"/>
          <w:szCs w:val="24"/>
          <w:lang w:eastAsia="zh-CN"/>
        </w:rPr>
        <w:t>：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采取打分的形式，满分为100分。单位自评指标的权重由各单位根据项目实际情况确定。原则上预算执行率和一级指标权重统一设置为：预算执行率10%、产出指标50%、效益指标30%、服务对象满意度指标10%。如有特殊情况，一级指标权重可做适当调整。二、三级指标应当根据指标重要程度、项目实施阶段等因素综合确定，准确反映项目的产出和效益。</w:t>
      </w:r>
    </w:p>
    <w:p>
      <w:pPr>
        <w:widowControl/>
        <w:numPr>
          <w:ilvl w:val="0"/>
          <w:numId w:val="0"/>
        </w:numPr>
        <w:spacing w:line="480" w:lineRule="exact"/>
        <w:ind w:firstLine="440" w:firstLineChars="200"/>
        <w:jc w:val="left"/>
        <w:outlineLvl w:val="0"/>
        <w:rPr>
          <w:rFonts w:hint="eastAsia" w:ascii="宋体" w:hAnsi="宋体" w:eastAsia="宋体" w:cs="宋体"/>
          <w:color w:val="auto"/>
          <w:kern w:val="0"/>
          <w:sz w:val="22"/>
          <w:szCs w:val="24"/>
        </w:rPr>
      </w:pPr>
      <w:r>
        <w:rPr>
          <w:rFonts w:hint="eastAsia" w:ascii="宋体" w:hAnsi="宋体" w:eastAsia="宋体" w:cs="宋体"/>
          <w:color w:val="auto"/>
          <w:kern w:val="0"/>
          <w:sz w:val="22"/>
          <w:szCs w:val="24"/>
          <w:lang w:val="en-US" w:eastAsia="zh-CN"/>
        </w:rPr>
        <w:t>2.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评价的得分评定方法分为两类：一是定量指标。与年初指标值相比，完成指标值的，记该指标所赋全部分值；如果是由于年初指标值设定明显偏低造成的，要按照偏离度适度调减分值；未完成指标值的，按照完成值在指标值中所占比例记分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  <w:lang w:eastAsia="zh-CN"/>
        </w:rPr>
        <w:t>，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得分一档最高不能超过该指标分值上限。定量指标若为正向指标，则得分计算方法应用全年实际值（B）/年度指标值（A）*该指标分值；若定量指标为反向指标，则得分计算方法应用年度指标值（A）/全年实际值（B）*该指标分值。若年初指标值设定偏低，则得分计算方法应用（全年实际值（B）—年度指标值（A））/年度指标值（A）*100%。若计算结果在200%-300%（含200%）区间，则按照该指标分值的10%扣分；计算结果在300%-500%（含300%）区间，则按照该指标分值的20%扣分；计算结果高于500%（含500%），则按照该指标分值的30%扣分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480" w:lineRule="exact"/>
        <w:ind w:firstLine="440" w:firstLineChars="200"/>
        <w:textAlignment w:val="auto"/>
        <w:rPr>
          <w:rFonts w:hint="eastAsia" w:ascii="宋体" w:hAnsi="宋体" w:eastAsia="宋体" w:cs="宋体"/>
          <w:color w:val="auto"/>
          <w:kern w:val="0"/>
          <w:sz w:val="22"/>
          <w:szCs w:val="24"/>
        </w:rPr>
      </w:pPr>
      <w:r>
        <w:rPr>
          <w:rFonts w:hint="eastAsia" w:ascii="宋体" w:hAnsi="宋体" w:eastAsia="宋体" w:cs="宋体"/>
          <w:color w:val="auto"/>
          <w:kern w:val="0"/>
          <w:sz w:val="22"/>
          <w:szCs w:val="24"/>
          <w:lang w:val="en-US" w:eastAsia="zh-CN"/>
        </w:rPr>
        <w:t>二是定性指标。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  <w:highlight w:val="none"/>
        </w:rPr>
        <w:t>定性指标得分按照以下方法评定：根据指标完成情况分为达成年度指标、部分达成年度指标且有一定效果、未达成年度指标且效果较差3档，分别按照该指标对应分值区间100%-80%（含80%）、80-60%（含60%）、60%-0%合理确定分值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480" w:lineRule="exact"/>
        <w:ind w:firstLine="440" w:firstLineChars="200"/>
        <w:textAlignment w:val="auto"/>
        <w:rPr>
          <w:rFonts w:hint="eastAsia" w:ascii="宋体" w:hAnsi="宋体" w:eastAsia="宋体" w:cs="宋体"/>
          <w:color w:val="auto"/>
          <w:kern w:val="0"/>
          <w:sz w:val="22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kern w:val="0"/>
          <w:sz w:val="22"/>
          <w:szCs w:val="24"/>
          <w:highlight w:val="none"/>
        </w:rPr>
        <w:t>各项绩效指标得分汇总成该项目自评的总分。</w:t>
      </w:r>
    </w:p>
    <w:p>
      <w:pPr>
        <w:widowControl/>
        <w:numPr>
          <w:ilvl w:val="0"/>
          <w:numId w:val="0"/>
        </w:numPr>
        <w:spacing w:line="480" w:lineRule="exact"/>
        <w:ind w:firstLine="440" w:firstLineChars="200"/>
        <w:jc w:val="left"/>
        <w:outlineLvl w:val="0"/>
        <w:rPr>
          <w:rFonts w:hint="eastAsia" w:ascii="宋体" w:hAnsi="宋体" w:eastAsia="宋体" w:cs="宋体"/>
          <w:color w:val="auto"/>
          <w:kern w:val="0"/>
          <w:sz w:val="22"/>
          <w:szCs w:val="24"/>
        </w:rPr>
      </w:pPr>
      <w:r>
        <w:rPr>
          <w:rFonts w:hint="eastAsia" w:ascii="宋体" w:hAnsi="宋体" w:eastAsia="宋体" w:cs="宋体"/>
          <w:color w:val="auto"/>
          <w:kern w:val="0"/>
          <w:sz w:val="22"/>
          <w:szCs w:val="24"/>
          <w:lang w:val="en-US" w:eastAsia="zh-CN"/>
        </w:rPr>
        <w:t>3.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各部门在收集、分析上述绩效执行信息的基础上，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  <w:lang w:val="en-US" w:eastAsia="zh-CN"/>
        </w:rPr>
        <w:t>针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对未完成绩效目标及指标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  <w:lang w:eastAsia="zh-CN"/>
        </w:rPr>
        <w:t>，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  <w:lang w:val="en-US" w:eastAsia="zh-CN"/>
        </w:rPr>
        <w:t>需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在“偏差原因分析及改进措施”中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  <w:lang w:val="en-US" w:eastAsia="zh-CN"/>
        </w:rPr>
        <w:t>逐条分析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说明偏离目标、不能完成目标的原因及拟采取的措施。</w:t>
      </w:r>
    </w:p>
    <w:p>
      <w:pPr>
        <w:widowControl/>
        <w:numPr>
          <w:ilvl w:val="0"/>
          <w:numId w:val="0"/>
        </w:numPr>
        <w:spacing w:line="480" w:lineRule="exact"/>
        <w:ind w:firstLine="440" w:firstLineChars="200"/>
        <w:jc w:val="left"/>
        <w:outlineLvl w:val="0"/>
      </w:pP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4.</w:t>
      </w:r>
      <w:r>
        <w:rPr>
          <w:rFonts w:hint="eastAsia" w:ascii="宋体" w:hAnsi="宋体" w:cs="宋体"/>
          <w:color w:val="auto"/>
          <w:kern w:val="0"/>
          <w:sz w:val="22"/>
          <w:szCs w:val="24"/>
          <w:lang w:val="en-US" w:eastAsia="zh-CN"/>
        </w:rPr>
        <w:t>等级划分：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90（含）-100分为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  <w:lang w:val="en-US" w:eastAsia="zh-CN"/>
        </w:rPr>
        <w:t>优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、80（含）-90分为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  <w:lang w:val="en-US" w:eastAsia="zh-CN"/>
        </w:rPr>
        <w:t>良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、60（含）-80分为</w:t>
      </w:r>
      <w:r>
        <w:rPr>
          <w:rFonts w:hint="eastAsia" w:ascii="宋体" w:hAnsi="宋体" w:cs="宋体"/>
          <w:color w:val="auto"/>
          <w:kern w:val="0"/>
          <w:sz w:val="22"/>
          <w:szCs w:val="24"/>
          <w:lang w:val="en-US" w:eastAsia="zh-CN"/>
        </w:rPr>
        <w:t>中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、60分以下为差。</w:t>
      </w:r>
    </w:p>
    <w:p>
      <w:pPr>
        <w:pStyle w:val="5"/>
        <w:rPr>
          <w:rFonts w:hint="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/>
        <w:jc w:val="left"/>
        <w:textAlignment w:val="auto"/>
        <w:rPr>
          <w:rFonts w:hint="eastAsia" w:ascii="黑体" w:hAnsi="黑体" w:eastAsia="黑体" w:cs="黑体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/>
        <w:jc w:val="left"/>
        <w:textAlignment w:val="auto"/>
        <w:rPr>
          <w:rFonts w:hint="eastAsia" w:ascii="黑体" w:hAnsi="黑体" w:eastAsia="黑体" w:cs="黑体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/>
        <w:jc w:val="left"/>
        <w:textAlignment w:val="auto"/>
        <w:rPr>
          <w:rFonts w:hint="eastAsia" w:ascii="黑体" w:hAnsi="黑体" w:eastAsia="黑体" w:cs="黑体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/>
        <w:jc w:val="left"/>
        <w:textAlignment w:val="auto"/>
        <w:rPr>
          <w:rFonts w:hint="eastAsia" w:ascii="黑体" w:hAnsi="黑体" w:eastAsia="黑体" w:cs="黑体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/>
        <w:jc w:val="left"/>
        <w:textAlignment w:val="auto"/>
        <w:rPr>
          <w:rFonts w:hint="eastAsia" w:ascii="黑体" w:hAnsi="黑体" w:eastAsia="黑体" w:cs="黑体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/>
        <w:jc w:val="left"/>
        <w:textAlignment w:val="auto"/>
        <w:rPr>
          <w:rFonts w:hint="eastAsia" w:ascii="黑体" w:hAnsi="黑体" w:eastAsia="黑体" w:cs="黑体"/>
          <w:sz w:val="32"/>
          <w:szCs w:val="32"/>
          <w:lang w:eastAsia="zh-CN"/>
        </w:rPr>
      </w:pPr>
    </w:p>
    <w:p>
      <w:pPr>
        <w:rPr>
          <w:rFonts w:hint="eastAsia" w:eastAsia="宋体"/>
          <w:b w:val="0"/>
          <w:bCs w:val="0"/>
          <w:lang w:val="en-US" w:eastAsia="zh-CN"/>
        </w:rPr>
      </w:pPr>
    </w:p>
    <w:sectPr>
      <w:footerReference r:id="rId3" w:type="default"/>
      <w:pgSz w:w="11906" w:h="16838"/>
      <w:pgMar w:top="1440" w:right="1803" w:bottom="1440" w:left="1803" w:header="851" w:footer="992" w:gutter="0"/>
      <w:pgNumType w:fmt="decimal"/>
      <w:cols w:space="720" w:num="1"/>
      <w:rtlGutter w:val="0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>
                          <w:pPr>
                            <w:pStyle w:val="6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21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anchor="t" anchorCtr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2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6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21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doNotDisplayPageBoundaries w:val="1"/>
  <w:bordersDoNotSurroundHeader w:val="0"/>
  <w:bordersDoNotSurroundFooter w:val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YzNjBkOTgyNWQ1YTMxYzM3MzMwNWFiODNmOWIzYWMifQ=="/>
  </w:docVars>
  <w:rsids>
    <w:rsidRoot w:val="5EDB0B63"/>
    <w:rsid w:val="01534994"/>
    <w:rsid w:val="078232BA"/>
    <w:rsid w:val="0C8165E0"/>
    <w:rsid w:val="2CBF8107"/>
    <w:rsid w:val="2EB70209"/>
    <w:rsid w:val="30FF2B40"/>
    <w:rsid w:val="35D339CB"/>
    <w:rsid w:val="3FF79B31"/>
    <w:rsid w:val="4BA31FDB"/>
    <w:rsid w:val="4BFF9656"/>
    <w:rsid w:val="537B9DA3"/>
    <w:rsid w:val="5A474F5C"/>
    <w:rsid w:val="5DC739E9"/>
    <w:rsid w:val="5DDF52D1"/>
    <w:rsid w:val="5EDB0B63"/>
    <w:rsid w:val="5F9F33EB"/>
    <w:rsid w:val="6AC7B1A3"/>
    <w:rsid w:val="6B77FB6F"/>
    <w:rsid w:val="6EE9A86C"/>
    <w:rsid w:val="6FD43E60"/>
    <w:rsid w:val="763E871D"/>
    <w:rsid w:val="79EBFCAD"/>
    <w:rsid w:val="7BBD97BD"/>
    <w:rsid w:val="7BFE4A5B"/>
    <w:rsid w:val="7BFFEC6B"/>
    <w:rsid w:val="7DBF4FBB"/>
    <w:rsid w:val="7DCD9330"/>
    <w:rsid w:val="7DD758A1"/>
    <w:rsid w:val="7E562264"/>
    <w:rsid w:val="7E5EB5A1"/>
    <w:rsid w:val="7F2773F9"/>
    <w:rsid w:val="7F3909BD"/>
    <w:rsid w:val="7F7C49BA"/>
    <w:rsid w:val="7FBF70D0"/>
    <w:rsid w:val="7FF719AD"/>
    <w:rsid w:val="9BFD2FEF"/>
    <w:rsid w:val="AFDDEFDC"/>
    <w:rsid w:val="B2DFF942"/>
    <w:rsid w:val="B5FC34C6"/>
    <w:rsid w:val="BAEFCA12"/>
    <w:rsid w:val="BD5D8A02"/>
    <w:rsid w:val="D4CEDA1A"/>
    <w:rsid w:val="D5A31DC0"/>
    <w:rsid w:val="D7FF1616"/>
    <w:rsid w:val="DFEAA56F"/>
    <w:rsid w:val="E6922BE3"/>
    <w:rsid w:val="EB5BB730"/>
    <w:rsid w:val="EDFF835A"/>
    <w:rsid w:val="EEBB59E1"/>
    <w:rsid w:val="EFCF022D"/>
    <w:rsid w:val="F37B3AB2"/>
    <w:rsid w:val="F6FF4047"/>
    <w:rsid w:val="F7E365DE"/>
    <w:rsid w:val="FA5A168B"/>
    <w:rsid w:val="FD3F40DC"/>
    <w:rsid w:val="FEF8056D"/>
    <w:rsid w:val="FEF82787"/>
    <w:rsid w:val="FEFD3F0E"/>
    <w:rsid w:val="FFBDEA5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4">
    <w:name w:val="heading 2"/>
    <w:basedOn w:val="1"/>
    <w:next w:val="1"/>
    <w:autoRedefine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10">
    <w:name w:val="Default Paragraph Font"/>
    <w:autoRedefine/>
    <w:semiHidden/>
    <w:qFormat/>
    <w:uiPriority w:val="0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autoRedefine/>
    <w:qFormat/>
    <w:uiPriority w:val="0"/>
    <w:pPr>
      <w:spacing w:before="0" w:after="140" w:line="276" w:lineRule="auto"/>
    </w:pPr>
  </w:style>
  <w:style w:type="paragraph" w:customStyle="1" w:styleId="3">
    <w:name w:val="目录 11"/>
    <w:next w:val="1"/>
    <w:autoRedefine/>
    <w:qFormat/>
    <w:uiPriority w:val="0"/>
    <w:pPr>
      <w:wordWrap w:val="0"/>
      <w:jc w:val="both"/>
    </w:pPr>
    <w:rPr>
      <w:rFonts w:ascii="Times New Roman" w:hAnsi="Times New Roman" w:eastAsia="宋体" w:cs="Times New Roman"/>
      <w:sz w:val="21"/>
      <w:szCs w:val="22"/>
      <w:lang w:val="en-US" w:eastAsia="zh-CN" w:bidi="ar-SA"/>
    </w:rPr>
  </w:style>
  <w:style w:type="paragraph" w:styleId="5">
    <w:name w:val="Normal Indent"/>
    <w:basedOn w:val="1"/>
    <w:next w:val="1"/>
    <w:qFormat/>
    <w:uiPriority w:val="0"/>
    <w:pPr>
      <w:ind w:firstLine="200" w:firstLineChars="200"/>
    </w:pPr>
  </w:style>
  <w:style w:type="paragraph" w:styleId="6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7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8">
    <w:name w:val="Normal (Web)"/>
    <w:basedOn w:val="1"/>
    <w:autoRedefine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11">
    <w:name w:val="Hyperlink"/>
    <w:basedOn w:val="10"/>
    <w:autoRedefine/>
    <w:qFormat/>
    <w:uiPriority w:val="0"/>
    <w:rPr>
      <w:color w:val="0000FF"/>
      <w:u w:val="single"/>
    </w:rPr>
  </w:style>
  <w:style w:type="character" w:customStyle="1" w:styleId="12">
    <w:name w:val="font81"/>
    <w:basedOn w:val="10"/>
    <w:autoRedefine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13">
    <w:name w:val="font11"/>
    <w:basedOn w:val="10"/>
    <w:autoRedefine/>
    <w:qFormat/>
    <w:uiPriority w:val="0"/>
    <w:rPr>
      <w:rFonts w:hint="eastAsia" w:ascii="仿宋_GB2312" w:eastAsia="仿宋_GB2312" w:cs="仿宋_GB2312"/>
      <w:color w:val="000000"/>
      <w:sz w:val="24"/>
      <w:szCs w:val="24"/>
      <w:u w:val="none"/>
    </w:rPr>
  </w:style>
  <w:style w:type="character" w:customStyle="1" w:styleId="14">
    <w:name w:val="font61"/>
    <w:basedOn w:val="10"/>
    <w:autoRedefine/>
    <w:qFormat/>
    <w:uiPriority w:val="0"/>
    <w:rPr>
      <w:rFonts w:hint="eastAsia" w:ascii="仿宋_GB2312" w:eastAsia="仿宋_GB2312" w:cs="仿宋_GB2312"/>
      <w:color w:val="000000"/>
      <w:sz w:val="24"/>
      <w:szCs w:val="24"/>
      <w:u w:val="none"/>
    </w:rPr>
  </w:style>
  <w:style w:type="character" w:customStyle="1" w:styleId="15">
    <w:name w:val="font71"/>
    <w:basedOn w:val="10"/>
    <w:autoRedefine/>
    <w:qFormat/>
    <w:uiPriority w:val="0"/>
    <w:rPr>
      <w:rFonts w:hint="eastAsia" w:ascii="宋体" w:hAnsi="宋体" w:eastAsia="宋体" w:cs="宋体"/>
      <w:color w:val="FF0000"/>
      <w:sz w:val="20"/>
      <w:szCs w:val="20"/>
      <w:u w:val="none"/>
    </w:rPr>
  </w:style>
  <w:style w:type="paragraph" w:customStyle="1" w:styleId="16">
    <w:name w:val="表格"/>
    <w:basedOn w:val="1"/>
    <w:autoRedefine/>
    <w:qFormat/>
    <w:uiPriority w:val="0"/>
    <w:pPr>
      <w:autoSpaceDN w:val="0"/>
      <w:jc w:val="center"/>
    </w:pPr>
    <w:rPr>
      <w:rFonts w:ascii="Verdana" w:hAnsi="Verdana" w:eastAsia="仿宋_GB2312" w:cs="Times New Roman"/>
      <w:bCs/>
      <w:sz w:val="24"/>
      <w:szCs w:val="21"/>
      <w:lang w:eastAsia="en-US"/>
    </w:rPr>
  </w:style>
  <w:style w:type="paragraph" w:customStyle="1" w:styleId="17">
    <w:name w:val="首行缩进"/>
    <w:basedOn w:val="1"/>
    <w:autoRedefine/>
    <w:qFormat/>
    <w:uiPriority w:val="0"/>
    <w:pPr>
      <w:ind w:firstLine="480"/>
    </w:pPr>
    <w:rPr>
      <w:szCs w:val="20"/>
      <w:lang w:val="zh-CN"/>
    </w:rPr>
  </w:style>
  <w:style w:type="paragraph" w:customStyle="1" w:styleId="18">
    <w:name w:val="TOC 11"/>
    <w:next w:val="1"/>
    <w:autoRedefine/>
    <w:qFormat/>
    <w:uiPriority w:val="0"/>
    <w:pPr>
      <w:wordWrap w:val="0"/>
      <w:jc w:val="both"/>
    </w:pPr>
    <w:rPr>
      <w:rFonts w:ascii="Times New Roman" w:hAnsi="Times New Roman" w:eastAsia="宋体" w:cs="Times New Roman"/>
      <w:kern w:val="0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2024-03-12T19:08:00Z</dcterms:created>
  <dc:creator>user</dc:creator>
  <cp:lastModifiedBy>x'j</cp:lastModifiedBy>
  <cp:lastPrinted>2024-03-30T01:59:00Z</cp:lastPrinted>
  <dcterms:modified xsi:type="dcterms:W3CDTF">2024-04-16T09:43:52Z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3442942D773A45D38E0AACF2ABBFCF8D_13</vt:lpwstr>
  </property>
</Properties>
</file>