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8"/>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    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cs="宋体" w:eastAsiaTheme="minorEastAsia"/>
                <w:color w:val="000000" w:themeColor="text1"/>
                <w:kern w:val="0"/>
                <w:sz w:val="20"/>
                <w:szCs w:val="20"/>
                <w:lang w:eastAsia="zh-CN"/>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第五次全国经济普查</w:t>
            </w:r>
          </w:p>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000000" w:themeColor="text1"/>
                <w:kern w:val="0"/>
                <w:sz w:val="20"/>
                <w:szCs w:val="20"/>
                <w:lang w:val="en-US" w:eastAsia="zh-CN"/>
                <w14:textFill>
                  <w14:solidFill>
                    <w14:schemeClr w14:val="tx1"/>
                  </w14:solidFill>
                </w14:textFill>
              </w:rPr>
              <w:t>通州区统计局</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000000" w:themeColor="text1"/>
                <w:kern w:val="0"/>
                <w:sz w:val="20"/>
                <w:szCs w:val="20"/>
                <w:lang w:val="en-US" w:eastAsia="zh-CN"/>
                <w14:textFill>
                  <w14:solidFill>
                    <w14:schemeClr w14:val="tx1"/>
                  </w14:solidFill>
                </w14:textFill>
              </w:rPr>
              <w:t>九棵树街道统计所</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000000" w:themeColor="text1"/>
                <w:kern w:val="0"/>
                <w:sz w:val="20"/>
                <w:szCs w:val="20"/>
                <w:lang w:val="en-US" w:eastAsia="zh-CN"/>
                <w14:textFill>
                  <w14:solidFill>
                    <w14:schemeClr w14:val="tx1"/>
                  </w14:solidFill>
                </w14:textFill>
              </w:rPr>
              <w:t>刘京宁</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000000" w:themeColor="text1"/>
                <w:kern w:val="0"/>
                <w:sz w:val="20"/>
                <w:szCs w:val="20"/>
                <w:lang w:val="en-US" w:eastAsia="zh-CN"/>
                <w14:textFill>
                  <w14:solidFill>
                    <w14:schemeClr w14:val="tx1"/>
                  </w14:solidFill>
                </w14:textFill>
              </w:rPr>
              <w:t>60515949</w:t>
            </w: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401500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401500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401500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401500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401500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401500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91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ind w:firstLine="200" w:firstLineChars="100"/>
              <w:rPr>
                <w:rFonts w:hint="eastAsia" w:ascii="宋体" w:hAnsi="宋体" w:cs="宋体"/>
                <w:color w:val="000000" w:themeColor="text1"/>
                <w:kern w:val="0"/>
                <w:sz w:val="20"/>
                <w:szCs w:val="20"/>
                <w:lang w:val="en-US" w:eastAsia="zh-CN"/>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1.</w:t>
            </w:r>
            <w:r>
              <w:rPr>
                <w:rFonts w:hint="eastAsia" w:ascii="宋体" w:hAnsi="宋体" w:cs="宋体"/>
                <w:color w:val="000000" w:themeColor="text1"/>
                <w:kern w:val="0"/>
                <w:sz w:val="20"/>
                <w:szCs w:val="20"/>
                <w:lang w:eastAsia="zh-CN"/>
                <w14:textFill>
                  <w14:solidFill>
                    <w14:schemeClr w14:val="tx1"/>
                  </w14:solidFill>
                </w14:textFill>
              </w:rPr>
              <w:t>组建本级普查机构。</w:t>
            </w:r>
            <w:r>
              <w:rPr>
                <w:rFonts w:hint="eastAsia" w:ascii="宋体" w:hAnsi="宋体" w:cs="宋体"/>
                <w:color w:val="000000" w:themeColor="text1"/>
                <w:kern w:val="0"/>
                <w:sz w:val="20"/>
                <w:szCs w:val="20"/>
                <w:lang w:val="en-US" w:eastAsia="zh-CN"/>
                <w14:textFill>
                  <w14:solidFill>
                    <w14:schemeClr w14:val="tx1"/>
                  </w14:solidFill>
                </w14:textFill>
              </w:rPr>
              <w:t>2.</w:t>
            </w:r>
            <w:r>
              <w:rPr>
                <w:rFonts w:hint="eastAsia" w:ascii="宋体" w:hAnsi="宋体" w:cs="宋体"/>
                <w:color w:val="000000" w:themeColor="text1"/>
                <w:kern w:val="0"/>
                <w:sz w:val="20"/>
                <w:szCs w:val="20"/>
                <w:lang w:eastAsia="zh-CN"/>
                <w14:textFill>
                  <w14:solidFill>
                    <w14:schemeClr w14:val="tx1"/>
                  </w14:solidFill>
                </w14:textFill>
              </w:rPr>
              <w:t>选调聘用普查指导员、普查员。</w:t>
            </w:r>
            <w:r>
              <w:rPr>
                <w:rFonts w:hint="eastAsia" w:ascii="宋体" w:hAnsi="宋体" w:cs="宋体"/>
                <w:color w:val="000000" w:themeColor="text1"/>
                <w:kern w:val="0"/>
                <w:sz w:val="20"/>
                <w:szCs w:val="20"/>
                <w:lang w:val="en-US" w:eastAsia="zh-CN"/>
                <w14:textFill>
                  <w14:solidFill>
                    <w14:schemeClr w14:val="tx1"/>
                  </w14:solidFill>
                </w14:textFill>
              </w:rPr>
              <w:t>3.</w:t>
            </w:r>
            <w:r>
              <w:rPr>
                <w:rFonts w:hint="eastAsia" w:ascii="宋体" w:hAnsi="宋体" w:cs="宋体"/>
                <w:color w:val="000000" w:themeColor="text1"/>
                <w:kern w:val="0"/>
                <w:sz w:val="20"/>
                <w:szCs w:val="20"/>
                <w:lang w:eastAsia="zh-CN"/>
                <w14:textFill>
                  <w14:solidFill>
                    <w14:schemeClr w14:val="tx1"/>
                  </w14:solidFill>
                </w14:textFill>
              </w:rPr>
              <w:t>进行各类专业培训。</w:t>
            </w:r>
            <w:r>
              <w:rPr>
                <w:rFonts w:hint="eastAsia" w:ascii="宋体" w:hAnsi="宋体" w:cs="宋体"/>
                <w:color w:val="000000" w:themeColor="text1"/>
                <w:kern w:val="0"/>
                <w:sz w:val="20"/>
                <w:szCs w:val="20"/>
                <w:lang w:val="en-US" w:eastAsia="zh-CN"/>
                <w14:textFill>
                  <w14:solidFill>
                    <w14:schemeClr w14:val="tx1"/>
                  </w14:solidFill>
                </w14:textFill>
              </w:rPr>
              <w:t>4.</w:t>
            </w:r>
            <w:r>
              <w:rPr>
                <w:rFonts w:hint="eastAsia" w:ascii="宋体" w:hAnsi="宋体" w:cs="宋体"/>
                <w:color w:val="000000" w:themeColor="text1"/>
                <w:kern w:val="0"/>
                <w:sz w:val="20"/>
                <w:szCs w:val="20"/>
                <w:lang w:eastAsia="zh-CN"/>
                <w14:textFill>
                  <w14:solidFill>
                    <w14:schemeClr w14:val="tx1"/>
                  </w14:solidFill>
                </w14:textFill>
              </w:rPr>
              <w:t>对各类单位和个体户进行清查。</w:t>
            </w:r>
            <w:r>
              <w:rPr>
                <w:rFonts w:hint="eastAsia" w:ascii="宋体" w:hAnsi="宋体" w:cs="宋体"/>
                <w:color w:val="000000" w:themeColor="text1"/>
                <w:kern w:val="0"/>
                <w:sz w:val="20"/>
                <w:szCs w:val="20"/>
                <w:lang w:val="en-US" w:eastAsia="zh-CN"/>
                <w14:textFill>
                  <w14:solidFill>
                    <w14:schemeClr w14:val="tx1"/>
                  </w14:solidFill>
                </w14:textFill>
              </w:rPr>
              <w:t>5.做好物资保障。</w:t>
            </w:r>
          </w:p>
          <w:p>
            <w:pPr>
              <w:widowControl/>
              <w:spacing w:line="240" w:lineRule="exact"/>
              <w:jc w:val="center"/>
              <w:rPr>
                <w:rFonts w:ascii="宋体" w:hAnsi="宋体" w:cs="宋体"/>
                <w:color w:val="auto"/>
                <w:kern w:val="0"/>
                <w:sz w:val="18"/>
                <w:szCs w:val="18"/>
              </w:rPr>
            </w:pPr>
          </w:p>
        </w:tc>
        <w:tc>
          <w:tcPr>
            <w:tcW w:w="3356" w:type="dxa"/>
            <w:gridSpan w:val="7"/>
            <w:tcBorders>
              <w:top w:val="single" w:color="auto" w:sz="4" w:space="0"/>
              <w:left w:val="nil"/>
              <w:bottom w:val="single" w:color="auto" w:sz="4" w:space="0"/>
              <w:right w:val="single" w:color="auto" w:sz="4" w:space="0"/>
            </w:tcBorders>
            <w:noWrap w:val="0"/>
            <w:vAlign w:val="center"/>
          </w:tcPr>
          <w:p>
            <w:pPr>
              <w:ind w:firstLine="200" w:firstLineChars="100"/>
              <w:rPr>
                <w:rFonts w:hint="eastAsia" w:ascii="宋体" w:hAnsi="宋体" w:cs="宋体"/>
                <w:color w:val="000000" w:themeColor="text1"/>
                <w:kern w:val="0"/>
                <w:sz w:val="20"/>
                <w:szCs w:val="20"/>
                <w:lang w:val="en-US" w:eastAsia="zh-CN"/>
                <w14:textFill>
                  <w14:solidFill>
                    <w14:schemeClr w14:val="tx1"/>
                  </w14:solidFill>
                </w14:textFill>
              </w:rPr>
            </w:pPr>
            <w:r>
              <w:rPr>
                <w:rFonts w:hint="eastAsia" w:ascii="宋体" w:hAnsi="宋体" w:eastAsia="宋体" w:cs="宋体"/>
                <w:color w:val="000000" w:themeColor="text1"/>
                <w:kern w:val="0"/>
                <w:sz w:val="20"/>
                <w:szCs w:val="20"/>
                <w:lang w:eastAsia="zh-CN"/>
                <w14:textFill>
                  <w14:solidFill>
                    <w14:schemeClr w14:val="tx1"/>
                  </w14:solidFill>
                </w14:textFill>
              </w:rPr>
              <w:t>完成项目要求：</w:t>
            </w:r>
            <w:r>
              <w:rPr>
                <w:rFonts w:hint="eastAsia" w:ascii="宋体" w:hAnsi="宋体" w:cs="宋体"/>
                <w:color w:val="000000" w:themeColor="text1"/>
                <w:kern w:val="0"/>
                <w:sz w:val="20"/>
                <w:szCs w:val="20"/>
                <w:lang w:val="en-US" w:eastAsia="zh-CN"/>
                <w14:textFill>
                  <w14:solidFill>
                    <w14:schemeClr w14:val="tx1"/>
                  </w14:solidFill>
                </w14:textFill>
              </w:rPr>
              <w:t>1.</w:t>
            </w:r>
            <w:r>
              <w:rPr>
                <w:rFonts w:hint="eastAsia" w:ascii="宋体" w:hAnsi="宋体" w:cs="宋体"/>
                <w:color w:val="000000" w:themeColor="text1"/>
                <w:kern w:val="0"/>
                <w:sz w:val="20"/>
                <w:szCs w:val="20"/>
                <w:lang w:eastAsia="zh-CN"/>
                <w14:textFill>
                  <w14:solidFill>
                    <w14:schemeClr w14:val="tx1"/>
                  </w14:solidFill>
                </w14:textFill>
              </w:rPr>
              <w:t>组建本级普查机构。</w:t>
            </w:r>
            <w:r>
              <w:rPr>
                <w:rFonts w:hint="eastAsia" w:ascii="宋体" w:hAnsi="宋体" w:cs="宋体"/>
                <w:color w:val="000000" w:themeColor="text1"/>
                <w:kern w:val="0"/>
                <w:sz w:val="20"/>
                <w:szCs w:val="20"/>
                <w:lang w:val="en-US" w:eastAsia="zh-CN"/>
                <w14:textFill>
                  <w14:solidFill>
                    <w14:schemeClr w14:val="tx1"/>
                  </w14:solidFill>
                </w14:textFill>
              </w:rPr>
              <w:t>2.</w:t>
            </w:r>
            <w:r>
              <w:rPr>
                <w:rFonts w:hint="eastAsia" w:ascii="宋体" w:hAnsi="宋体" w:cs="宋体"/>
                <w:color w:val="000000" w:themeColor="text1"/>
                <w:kern w:val="0"/>
                <w:sz w:val="20"/>
                <w:szCs w:val="20"/>
                <w:lang w:eastAsia="zh-CN"/>
                <w14:textFill>
                  <w14:solidFill>
                    <w14:schemeClr w14:val="tx1"/>
                  </w14:solidFill>
                </w14:textFill>
              </w:rPr>
              <w:t>选调聘用普查指导员、普查员。</w:t>
            </w:r>
            <w:r>
              <w:rPr>
                <w:rFonts w:hint="eastAsia" w:ascii="宋体" w:hAnsi="宋体" w:cs="宋体"/>
                <w:color w:val="000000" w:themeColor="text1"/>
                <w:kern w:val="0"/>
                <w:sz w:val="20"/>
                <w:szCs w:val="20"/>
                <w:lang w:val="en-US" w:eastAsia="zh-CN"/>
                <w14:textFill>
                  <w14:solidFill>
                    <w14:schemeClr w14:val="tx1"/>
                  </w14:solidFill>
                </w14:textFill>
              </w:rPr>
              <w:t>3.</w:t>
            </w:r>
            <w:r>
              <w:rPr>
                <w:rFonts w:hint="eastAsia" w:ascii="宋体" w:hAnsi="宋体" w:cs="宋体"/>
                <w:color w:val="000000" w:themeColor="text1"/>
                <w:kern w:val="0"/>
                <w:sz w:val="20"/>
                <w:szCs w:val="20"/>
                <w:lang w:eastAsia="zh-CN"/>
                <w14:textFill>
                  <w14:solidFill>
                    <w14:schemeClr w14:val="tx1"/>
                  </w14:solidFill>
                </w14:textFill>
              </w:rPr>
              <w:t>进行各类专业培训。</w:t>
            </w:r>
            <w:r>
              <w:rPr>
                <w:rFonts w:hint="eastAsia" w:ascii="宋体" w:hAnsi="宋体" w:cs="宋体"/>
                <w:color w:val="000000" w:themeColor="text1"/>
                <w:kern w:val="0"/>
                <w:sz w:val="20"/>
                <w:szCs w:val="20"/>
                <w:lang w:val="en-US" w:eastAsia="zh-CN"/>
                <w14:textFill>
                  <w14:solidFill>
                    <w14:schemeClr w14:val="tx1"/>
                  </w14:solidFill>
                </w14:textFill>
              </w:rPr>
              <w:t>4.</w:t>
            </w:r>
            <w:r>
              <w:rPr>
                <w:rFonts w:hint="eastAsia" w:ascii="宋体" w:hAnsi="宋体" w:cs="宋体"/>
                <w:color w:val="000000" w:themeColor="text1"/>
                <w:kern w:val="0"/>
                <w:sz w:val="20"/>
                <w:szCs w:val="20"/>
                <w:lang w:eastAsia="zh-CN"/>
                <w14:textFill>
                  <w14:solidFill>
                    <w14:schemeClr w14:val="tx1"/>
                  </w14:solidFill>
                </w14:textFill>
              </w:rPr>
              <w:t>对各类单位和个体户进行清查。</w:t>
            </w:r>
            <w:r>
              <w:rPr>
                <w:rFonts w:hint="eastAsia" w:ascii="宋体" w:hAnsi="宋体" w:cs="宋体"/>
                <w:color w:val="000000" w:themeColor="text1"/>
                <w:kern w:val="0"/>
                <w:sz w:val="20"/>
                <w:szCs w:val="20"/>
                <w:lang w:val="en-US" w:eastAsia="zh-CN"/>
                <w14:textFill>
                  <w14:solidFill>
                    <w14:schemeClr w14:val="tx1"/>
                  </w14:solidFill>
                </w14:textFill>
              </w:rPr>
              <w:t>5.做好物资保障。</w:t>
            </w:r>
          </w:p>
          <w:p>
            <w:pPr>
              <w:widowControl/>
              <w:spacing w:line="240" w:lineRule="exact"/>
              <w:jc w:val="center"/>
              <w:rPr>
                <w:rFonts w:hint="eastAsia" w:ascii="宋体" w:hAnsi="宋体" w:eastAsia="宋体" w:cs="宋体"/>
                <w:color w:val="auto"/>
                <w:kern w:val="0"/>
                <w:sz w:val="18"/>
                <w:szCs w:val="18"/>
                <w:lang w:eastAsia="zh-CN"/>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指标1：区普查办、街道普查办聘用临时人员</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指标2：单位清查培训</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w:t>
            </w:r>
            <w:r>
              <w:rPr>
                <w:rFonts w:hint="eastAsia" w:ascii="宋体" w:hAnsi="宋体" w:cs="宋体"/>
                <w:color w:val="auto"/>
                <w:kern w:val="0"/>
                <w:sz w:val="18"/>
                <w:szCs w:val="18"/>
                <w:lang w:val="en-US" w:eastAsia="zh-CN"/>
              </w:rPr>
              <w:t>3</w:t>
            </w:r>
            <w:r>
              <w:rPr>
                <w:rFonts w:hint="eastAsia" w:ascii="宋体" w:hAnsi="宋体" w:cs="宋体"/>
                <w:color w:val="auto"/>
                <w:kern w:val="0"/>
                <w:sz w:val="18"/>
                <w:szCs w:val="18"/>
              </w:rPr>
              <w:t>：普查员清查单位个数</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指标</w:t>
            </w:r>
            <w:r>
              <w:rPr>
                <w:rFonts w:hint="eastAsia" w:ascii="宋体" w:hAnsi="宋体" w:cs="宋体"/>
                <w:color w:val="auto"/>
                <w:kern w:val="0"/>
                <w:sz w:val="18"/>
                <w:szCs w:val="18"/>
                <w:lang w:val="en-US" w:eastAsia="zh-CN"/>
              </w:rPr>
              <w:t>4</w:t>
            </w:r>
            <w:r>
              <w:rPr>
                <w:rFonts w:hint="eastAsia" w:ascii="宋体" w:hAnsi="宋体" w:cs="宋体"/>
                <w:color w:val="auto"/>
                <w:kern w:val="0"/>
                <w:sz w:val="18"/>
                <w:szCs w:val="18"/>
              </w:rPr>
              <w:t>：普查员清查个体户个数</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指标1：参培率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99</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99</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指标2：</w:t>
            </w:r>
            <w:r>
              <w:rPr>
                <w:rFonts w:hint="eastAsia" w:ascii="宋体" w:hAnsi="宋体" w:cs="宋体"/>
                <w:color w:val="auto"/>
                <w:kern w:val="0"/>
                <w:sz w:val="18"/>
                <w:szCs w:val="18"/>
                <w:lang w:eastAsia="zh-CN"/>
              </w:rPr>
              <w:t>清查率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指标1：组建机构时间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指标2：培训完成时间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w:t>
            </w:r>
            <w:r>
              <w:rPr>
                <w:rFonts w:hint="eastAsia" w:ascii="宋体" w:hAnsi="宋体" w:cs="宋体"/>
                <w:color w:val="auto"/>
                <w:kern w:val="0"/>
                <w:sz w:val="18"/>
                <w:szCs w:val="18"/>
                <w:lang w:val="en-US" w:eastAsia="zh-CN"/>
              </w:rPr>
              <w:t>3</w:t>
            </w:r>
            <w:r>
              <w:rPr>
                <w:rFonts w:hint="eastAsia" w:ascii="宋体" w:hAnsi="宋体" w:cs="宋体"/>
                <w:color w:val="auto"/>
                <w:kern w:val="0"/>
                <w:sz w:val="18"/>
                <w:szCs w:val="18"/>
              </w:rPr>
              <w:t>：清查完成时间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2023</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指标1：总量控制在401500元以内</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401500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401500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经济效益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全面调查我区自第四次全国经济普查以来第二产业和第三产业的发展规模及布局，特别是第三产业的发展情况，了解产业组织、产业结构的现状以及各生产要素的构成，摸清本区各类单位的基本情况，完善本区国民经济各行业的基本单位名录库。</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指标2：通过普查，进一步夯实统计基础，建立全区的数据交换交流平台，逐步整合各部门行政记录，实现信息资源共享。</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指标1：满足市普查办工作要求；服务区委区政府决策需要</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bookmarkStart w:id="0" w:name="_GoBack"/>
            <w:bookmarkEnd w:id="0"/>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填报注意事项：</w:t>
      </w:r>
    </w:p>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评价方法说明</w:t>
      </w:r>
      <w:r>
        <w:rPr>
          <w:rFonts w:hint="eastAsia" w:ascii="宋体" w:hAnsi="宋体" w:cs="宋体"/>
          <w:color w:val="auto"/>
          <w:kern w:val="0"/>
          <w:sz w:val="22"/>
          <w:szCs w:val="24"/>
          <w:lang w:eastAsia="zh-CN"/>
        </w:rPr>
        <w:t>：</w:t>
      </w:r>
      <w:r>
        <w:rPr>
          <w:rFonts w:hint="eastAsia" w:ascii="宋体" w:hAnsi="宋体" w:eastAsia="宋体" w:cs="宋体"/>
          <w:color w:val="auto"/>
          <w:kern w:val="0"/>
          <w:sz w:val="22"/>
          <w:szCs w:val="24"/>
        </w:rPr>
        <w:t>采取打分的形式，满分为100分。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2.</w:t>
      </w:r>
      <w:r>
        <w:rPr>
          <w:rFonts w:hint="eastAsia" w:ascii="宋体" w:hAnsi="宋体" w:eastAsia="宋体" w:cs="宋体"/>
          <w:color w:val="auto"/>
          <w:kern w:val="0"/>
          <w:sz w:val="22"/>
          <w:szCs w:val="24"/>
        </w:rPr>
        <w:t>评价的得分评定方法分为两类：一是定量指标。与年初指标值相比，完成指标值的，记该指标所赋全部分值；如果是由于年初指标值设定明显偏低造成的，要按照偏离度适度调减分值；未完成指标值的，按照完成值在指标值中所占比例记分</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rPr>
        <w:t>得分一档最高不能超过该指标分值上限。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二是定性指标。</w:t>
      </w:r>
      <w:r>
        <w:rPr>
          <w:rFonts w:hint="eastAsia" w:ascii="宋体" w:hAnsi="宋体" w:eastAsia="宋体" w:cs="宋体"/>
          <w:color w:val="auto"/>
          <w:kern w:val="0"/>
          <w:sz w:val="22"/>
          <w:szCs w:val="24"/>
          <w:highlight w:val="none"/>
        </w:rPr>
        <w:t>定性指标得分按照以下方法评定：根据指标完成情况分为达成年度指标、部分达成年度指标且有一定效果、未达成年度指标且效果较差3档，分别按照该指标对应分值区间100%-80%（含80%）、80-60%（含60%）、60%-0%合理确定分值。</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各项绩效指标得分汇总成该项目自评的总分。</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3.</w:t>
      </w:r>
      <w:r>
        <w:rPr>
          <w:rFonts w:hint="eastAsia" w:ascii="宋体" w:hAnsi="宋体" w:eastAsia="宋体" w:cs="宋体"/>
          <w:color w:val="auto"/>
          <w:kern w:val="0"/>
          <w:sz w:val="22"/>
          <w:szCs w:val="24"/>
        </w:rPr>
        <w:t>各部门在收集、分析上述绩效执行信息的基础上，</w:t>
      </w:r>
      <w:r>
        <w:rPr>
          <w:rFonts w:hint="eastAsia" w:ascii="宋体" w:hAnsi="宋体" w:eastAsia="宋体" w:cs="宋体"/>
          <w:color w:val="auto"/>
          <w:kern w:val="0"/>
          <w:sz w:val="22"/>
          <w:szCs w:val="24"/>
          <w:lang w:val="en-US" w:eastAsia="zh-CN"/>
        </w:rPr>
        <w:t>针</w:t>
      </w:r>
      <w:r>
        <w:rPr>
          <w:rFonts w:hint="eastAsia" w:ascii="宋体" w:hAnsi="宋体" w:eastAsia="宋体" w:cs="宋体"/>
          <w:color w:val="auto"/>
          <w:kern w:val="0"/>
          <w:sz w:val="22"/>
          <w:szCs w:val="24"/>
        </w:rPr>
        <w:t>对未完成绩效目标及指标</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lang w:val="en-US" w:eastAsia="zh-CN"/>
        </w:rPr>
        <w:t>需</w:t>
      </w:r>
      <w:r>
        <w:rPr>
          <w:rFonts w:hint="eastAsia" w:ascii="宋体" w:hAnsi="宋体" w:eastAsia="宋体" w:cs="宋体"/>
          <w:color w:val="auto"/>
          <w:kern w:val="0"/>
          <w:sz w:val="22"/>
          <w:szCs w:val="24"/>
        </w:rPr>
        <w:t>在“偏差原因分析及改进措施”中</w:t>
      </w:r>
      <w:r>
        <w:rPr>
          <w:rFonts w:hint="eastAsia" w:ascii="宋体" w:hAnsi="宋体" w:eastAsia="宋体" w:cs="宋体"/>
          <w:color w:val="auto"/>
          <w:kern w:val="0"/>
          <w:sz w:val="22"/>
          <w:szCs w:val="24"/>
          <w:lang w:val="en-US" w:eastAsia="zh-CN"/>
        </w:rPr>
        <w:t>逐条分析</w:t>
      </w:r>
      <w:r>
        <w:rPr>
          <w:rFonts w:hint="eastAsia" w:ascii="宋体" w:hAnsi="宋体" w:eastAsia="宋体" w:cs="宋体"/>
          <w:color w:val="auto"/>
          <w:kern w:val="0"/>
          <w:sz w:val="22"/>
          <w:szCs w:val="24"/>
        </w:rPr>
        <w:t>说明偏离目标、不能完成目标的原因及拟采取的措施。</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4.</w:t>
      </w:r>
      <w:r>
        <w:rPr>
          <w:rFonts w:hint="eastAsia" w:ascii="宋体" w:hAnsi="宋体" w:cs="宋体"/>
          <w:color w:val="auto"/>
          <w:kern w:val="0"/>
          <w:sz w:val="22"/>
          <w:szCs w:val="24"/>
          <w:lang w:val="en-US" w:eastAsia="zh-CN"/>
        </w:rPr>
        <w:t>等级划分：</w:t>
      </w:r>
      <w:r>
        <w:rPr>
          <w:rFonts w:hint="eastAsia" w:ascii="宋体" w:hAnsi="宋体" w:eastAsia="宋体" w:cs="宋体"/>
          <w:color w:val="auto"/>
          <w:kern w:val="0"/>
          <w:sz w:val="22"/>
          <w:szCs w:val="24"/>
        </w:rPr>
        <w:t>90（含）-100分为</w:t>
      </w:r>
      <w:r>
        <w:rPr>
          <w:rFonts w:hint="eastAsia" w:ascii="宋体" w:hAnsi="宋体" w:eastAsia="宋体" w:cs="宋体"/>
          <w:color w:val="auto"/>
          <w:kern w:val="0"/>
          <w:sz w:val="22"/>
          <w:szCs w:val="24"/>
          <w:lang w:val="en-US" w:eastAsia="zh-CN"/>
        </w:rPr>
        <w:t>优</w:t>
      </w:r>
      <w:r>
        <w:rPr>
          <w:rFonts w:hint="eastAsia" w:ascii="宋体" w:hAnsi="宋体" w:eastAsia="宋体" w:cs="宋体"/>
          <w:color w:val="auto"/>
          <w:kern w:val="0"/>
          <w:sz w:val="22"/>
          <w:szCs w:val="24"/>
        </w:rPr>
        <w:t>、80（含）-90分为</w:t>
      </w:r>
      <w:r>
        <w:rPr>
          <w:rFonts w:hint="eastAsia" w:ascii="宋体" w:hAnsi="宋体" w:eastAsia="宋体" w:cs="宋体"/>
          <w:color w:val="auto"/>
          <w:kern w:val="0"/>
          <w:sz w:val="22"/>
          <w:szCs w:val="24"/>
          <w:lang w:val="en-US" w:eastAsia="zh-CN"/>
        </w:rPr>
        <w:t>良</w:t>
      </w:r>
      <w:r>
        <w:rPr>
          <w:rFonts w:hint="eastAsia" w:ascii="宋体" w:hAnsi="宋体" w:eastAsia="宋体" w:cs="宋体"/>
          <w:color w:val="auto"/>
          <w:kern w:val="0"/>
          <w:sz w:val="22"/>
          <w:szCs w:val="24"/>
        </w:rPr>
        <w:t>、60（含）-80分为</w:t>
      </w:r>
      <w:r>
        <w:rPr>
          <w:rFonts w:hint="eastAsia" w:ascii="宋体" w:hAnsi="宋体" w:cs="宋体"/>
          <w:color w:val="auto"/>
          <w:kern w:val="0"/>
          <w:sz w:val="22"/>
          <w:szCs w:val="24"/>
          <w:lang w:val="en-US" w:eastAsia="zh-CN"/>
        </w:rPr>
        <w:t>中</w:t>
      </w:r>
      <w:r>
        <w:rPr>
          <w:rFonts w:hint="eastAsia" w:ascii="宋体" w:hAnsi="宋体" w:eastAsia="宋体" w:cs="宋体"/>
          <w:color w:val="auto"/>
          <w:kern w:val="0"/>
          <w:sz w:val="22"/>
          <w:szCs w:val="24"/>
        </w:rPr>
        <w:t>、60分以下为差。</w:t>
      </w:r>
    </w:p>
    <w:p>
      <w:pPr>
        <w:spacing w:line="600" w:lineRule="exact"/>
      </w:pPr>
    </w:p>
    <w:p>
      <w:pPr>
        <w:keepNext w:val="0"/>
        <w:keepLines w:val="0"/>
        <w:pageBreakBefore w:val="0"/>
        <w:numPr>
          <w:ilvl w:val="0"/>
          <w:numId w:val="0"/>
        </w:numPr>
        <w:pBdr>
          <w:bottom w:val="single" w:color="FFFFFF" w:sz="4" w:space="17"/>
        </w:pBdr>
        <w:kinsoku/>
        <w:wordWrap/>
        <w:overflowPunct/>
        <w:topLinePunct w:val="0"/>
        <w:autoSpaceDE/>
        <w:autoSpaceDN/>
        <w:bidi w:val="0"/>
        <w:adjustRightInd/>
        <w:snapToGrid/>
        <w:spacing w:line="560" w:lineRule="exact"/>
        <w:ind w:firstLine="486" w:firstLineChars="0"/>
        <w:textAlignment w:val="auto"/>
        <w:rPr>
          <w:rFonts w:hint="eastAsia" w:ascii="仿宋_GB2312" w:hAnsi="Calibri" w:eastAsia="仿宋_GB2312" w:cs="Times New Roman"/>
          <w:b w:val="0"/>
          <w:bCs w:val="0"/>
          <w:color w:val="auto"/>
          <w:kern w:val="2"/>
          <w:sz w:val="32"/>
          <w:szCs w:val="32"/>
          <w:highlight w:val="none"/>
          <w:lang w:val="en-US" w:eastAsia="zh-CN" w:bidi="ar-SA"/>
        </w:rPr>
      </w:pPr>
    </w:p>
    <w:p>
      <w:pPr>
        <w:pStyle w:val="2"/>
        <w:spacing w:before="0" w:after="0" w:line="240" w:lineRule="auto"/>
        <w:rPr>
          <w:rFonts w:hint="default" w:ascii="黑体" w:hAnsi="黑体" w:eastAsia="黑体"/>
          <w:b w:val="0"/>
          <w:color w:val="auto"/>
          <w:szCs w:val="32"/>
          <w:lang w:val="en-US" w:eastAsia="zh-CN"/>
        </w:rPr>
      </w:pPr>
      <w:r>
        <w:rPr>
          <w:rFonts w:hint="eastAsia" w:ascii="黑体" w:hAnsi="黑体"/>
          <w:b w:val="0"/>
          <w:color w:val="auto"/>
          <w:szCs w:val="32"/>
        </w:rPr>
        <w:t>附件</w:t>
      </w:r>
      <w:r>
        <w:rPr>
          <w:rFonts w:hint="eastAsia" w:ascii="黑体" w:hAnsi="黑体"/>
          <w:b w:val="0"/>
          <w:color w:val="auto"/>
          <w:szCs w:val="32"/>
          <w:lang w:val="en-US" w:eastAsia="zh-CN"/>
        </w:rPr>
        <w:t>1-</w:t>
      </w:r>
      <w:r>
        <w:rPr>
          <w:rFonts w:hint="eastAsia" w:ascii="黑体" w:hAnsi="黑体"/>
          <w:b w:val="0"/>
          <w:color w:val="auto"/>
          <w:szCs w:val="32"/>
        </w:rPr>
        <w:t>2</w:t>
      </w:r>
    </w:p>
    <w:p>
      <w:pPr>
        <w:jc w:val="center"/>
        <w:rPr>
          <w:rFonts w:ascii="Arial" w:hAnsi="Arial" w:cs="Arial"/>
          <w:b/>
          <w:bCs/>
          <w:color w:val="auto"/>
          <w:sz w:val="36"/>
          <w:szCs w:val="36"/>
        </w:rPr>
      </w:pPr>
      <w:r>
        <w:rPr>
          <w:rFonts w:hint="eastAsia" w:ascii="宋体" w:hAnsi="宋体" w:cs="Arial"/>
          <w:b/>
          <w:bCs/>
          <w:color w:val="auto"/>
          <w:sz w:val="36"/>
          <w:szCs w:val="36"/>
        </w:rPr>
        <w:t>项目支出</w:t>
      </w:r>
      <w:r>
        <w:rPr>
          <w:rFonts w:ascii="宋体" w:hAnsi="宋体" w:cs="Arial"/>
          <w:b/>
          <w:bCs/>
          <w:color w:val="auto"/>
          <w:sz w:val="36"/>
          <w:szCs w:val="36"/>
        </w:rPr>
        <w:t>绩效</w:t>
      </w:r>
      <w:r>
        <w:rPr>
          <w:rFonts w:hint="eastAsia" w:ascii="宋体" w:hAnsi="宋体" w:cs="Arial"/>
          <w:b/>
          <w:bCs/>
          <w:color w:val="auto"/>
          <w:sz w:val="36"/>
          <w:szCs w:val="36"/>
        </w:rPr>
        <w:t>评价报告</w:t>
      </w:r>
    </w:p>
    <w:p>
      <w:pPr>
        <w:jc w:val="center"/>
        <w:rPr>
          <w:rFonts w:ascii="仿宋_GB2312"/>
          <w:color w:val="auto"/>
        </w:rPr>
      </w:pPr>
      <w:r>
        <w:rPr>
          <w:rFonts w:hint="eastAsia" w:ascii="仿宋_GB2312"/>
          <w:color w:val="auto"/>
        </w:rPr>
        <w:t>（参考提纲）</w:t>
      </w:r>
    </w:p>
    <w:p>
      <w:pPr>
        <w:jc w:val="center"/>
        <w:rPr>
          <w:rFonts w:ascii="仿宋_GB2312"/>
          <w:color w:val="auto"/>
          <w:szCs w:val="30"/>
        </w:rPr>
      </w:pP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一、基本情况</w:t>
      </w:r>
    </w:p>
    <w:p>
      <w:pPr>
        <w:spacing w:line="600" w:lineRule="exact"/>
        <w:ind w:firstLine="440" w:firstLineChars="200"/>
        <w:outlineLvl w:val="0"/>
        <w:rPr>
          <w:rFonts w:ascii="宋体" w:hAnsi="宋体" w:cs="宋体"/>
          <w:color w:val="auto"/>
          <w:kern w:val="0"/>
          <w:sz w:val="22"/>
        </w:rPr>
      </w:pPr>
      <w:r>
        <w:rPr>
          <w:rFonts w:hint="eastAsia" w:ascii="宋体" w:hAnsi="宋体" w:cs="宋体"/>
          <w:color w:val="auto"/>
          <w:kern w:val="0"/>
          <w:sz w:val="22"/>
        </w:rPr>
        <w:t>（一）项目概况。包括项目背景、主要内容及实施情况、资金投入和使用情况等。</w:t>
      </w:r>
    </w:p>
    <w:p>
      <w:pPr>
        <w:spacing w:line="600" w:lineRule="exact"/>
        <w:ind w:firstLine="440" w:firstLineChars="200"/>
        <w:rPr>
          <w:rFonts w:ascii="宋体" w:hAnsi="宋体" w:cs="宋体"/>
          <w:color w:val="auto"/>
          <w:kern w:val="0"/>
          <w:sz w:val="22"/>
        </w:rPr>
      </w:pPr>
      <w:r>
        <w:rPr>
          <w:rFonts w:hint="eastAsia" w:ascii="宋体" w:hAnsi="宋体" w:cs="宋体"/>
          <w:color w:val="auto"/>
          <w:kern w:val="0"/>
          <w:sz w:val="22"/>
        </w:rPr>
        <w:t>（二）项目绩效目标。包括总体目标和阶段性目标。</w:t>
      </w: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二、绩效评价工作开展情况</w:t>
      </w:r>
    </w:p>
    <w:p>
      <w:pPr>
        <w:spacing w:line="600" w:lineRule="exact"/>
        <w:ind w:firstLine="440" w:firstLineChars="200"/>
        <w:rPr>
          <w:rFonts w:ascii="宋体" w:hAnsi="宋体" w:cs="宋体"/>
          <w:color w:val="auto"/>
          <w:kern w:val="0"/>
          <w:sz w:val="22"/>
        </w:rPr>
      </w:pPr>
      <w:r>
        <w:rPr>
          <w:rFonts w:hint="eastAsia" w:ascii="宋体" w:hAnsi="宋体" w:cs="宋体"/>
          <w:color w:val="auto"/>
          <w:kern w:val="0"/>
          <w:sz w:val="22"/>
        </w:rPr>
        <w:t>（一）绩效评价目的、对象和范围。</w:t>
      </w:r>
    </w:p>
    <w:p>
      <w:pPr>
        <w:spacing w:line="600" w:lineRule="exact"/>
        <w:ind w:firstLine="440" w:firstLineChars="200"/>
        <w:rPr>
          <w:rFonts w:ascii="宋体" w:hAnsi="宋体" w:cs="宋体"/>
          <w:color w:val="auto"/>
          <w:kern w:val="0"/>
          <w:sz w:val="22"/>
        </w:rPr>
      </w:pPr>
      <w:r>
        <w:rPr>
          <w:rFonts w:hint="eastAsia" w:ascii="宋体" w:hAnsi="宋体" w:cs="宋体"/>
          <w:color w:val="auto"/>
          <w:kern w:val="0"/>
          <w:sz w:val="22"/>
        </w:rPr>
        <w:t>（二）绩效评价原则、评价指标体系（附表说明）、评价方法、评价标准等。</w:t>
      </w:r>
    </w:p>
    <w:p>
      <w:pPr>
        <w:spacing w:line="600" w:lineRule="exact"/>
        <w:ind w:firstLine="440" w:firstLineChars="200"/>
        <w:rPr>
          <w:rFonts w:ascii="宋体" w:hAnsi="宋体" w:cs="宋体"/>
          <w:color w:val="auto"/>
          <w:kern w:val="0"/>
          <w:sz w:val="22"/>
        </w:rPr>
      </w:pPr>
      <w:r>
        <w:rPr>
          <w:rFonts w:hint="eastAsia" w:ascii="宋体" w:hAnsi="宋体" w:cs="宋体"/>
          <w:color w:val="auto"/>
          <w:kern w:val="0"/>
          <w:sz w:val="22"/>
        </w:rPr>
        <w:t>（三）绩效评价工作过程。</w:t>
      </w: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三、综合评价情况及评价结论（附相关评分表）</w:t>
      </w: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四、绩效评价指标分析</w:t>
      </w:r>
    </w:p>
    <w:p>
      <w:pPr>
        <w:spacing w:line="600" w:lineRule="exact"/>
        <w:ind w:firstLine="440" w:firstLineChars="200"/>
        <w:outlineLvl w:val="0"/>
        <w:rPr>
          <w:rFonts w:ascii="宋体" w:hAnsi="宋体" w:cs="宋体"/>
          <w:color w:val="auto"/>
          <w:kern w:val="0"/>
          <w:sz w:val="22"/>
        </w:rPr>
      </w:pPr>
      <w:r>
        <w:rPr>
          <w:rFonts w:hint="eastAsia" w:ascii="宋体" w:hAnsi="宋体" w:cs="宋体"/>
          <w:color w:val="auto"/>
          <w:kern w:val="0"/>
          <w:sz w:val="22"/>
        </w:rPr>
        <w:t>（一）项目决策情况。</w:t>
      </w:r>
    </w:p>
    <w:p>
      <w:pPr>
        <w:spacing w:line="600" w:lineRule="exact"/>
        <w:ind w:firstLine="440" w:firstLineChars="200"/>
        <w:outlineLvl w:val="0"/>
        <w:rPr>
          <w:rFonts w:ascii="宋体" w:hAnsi="宋体" w:cs="宋体"/>
          <w:color w:val="auto"/>
          <w:kern w:val="0"/>
          <w:sz w:val="22"/>
        </w:rPr>
      </w:pPr>
      <w:r>
        <w:rPr>
          <w:rFonts w:hint="eastAsia" w:ascii="宋体" w:hAnsi="宋体" w:cs="宋体"/>
          <w:color w:val="auto"/>
          <w:kern w:val="0"/>
          <w:sz w:val="22"/>
        </w:rPr>
        <w:t>（二）项目过程情况。</w:t>
      </w:r>
    </w:p>
    <w:p>
      <w:pPr>
        <w:spacing w:line="600" w:lineRule="exact"/>
        <w:ind w:firstLine="440" w:firstLineChars="200"/>
        <w:outlineLvl w:val="0"/>
        <w:rPr>
          <w:rFonts w:ascii="宋体" w:hAnsi="宋体" w:cs="宋体"/>
          <w:color w:val="auto"/>
          <w:kern w:val="0"/>
          <w:sz w:val="22"/>
        </w:rPr>
      </w:pPr>
      <w:r>
        <w:rPr>
          <w:rFonts w:hint="eastAsia" w:ascii="宋体" w:hAnsi="宋体" w:cs="宋体"/>
          <w:color w:val="auto"/>
          <w:kern w:val="0"/>
          <w:sz w:val="22"/>
        </w:rPr>
        <w:t>（三）项目产出情况。</w:t>
      </w:r>
    </w:p>
    <w:p>
      <w:pPr>
        <w:spacing w:line="600" w:lineRule="exact"/>
        <w:ind w:firstLine="440" w:firstLineChars="200"/>
        <w:outlineLvl w:val="0"/>
        <w:rPr>
          <w:rFonts w:ascii="宋体" w:hAnsi="宋体" w:cs="宋体"/>
          <w:color w:val="auto"/>
          <w:kern w:val="0"/>
          <w:sz w:val="22"/>
        </w:rPr>
      </w:pPr>
      <w:r>
        <w:rPr>
          <w:rFonts w:hint="eastAsia" w:ascii="宋体" w:hAnsi="宋体" w:cs="宋体"/>
          <w:color w:val="auto"/>
          <w:kern w:val="0"/>
          <w:sz w:val="22"/>
        </w:rPr>
        <w:t>（四）项目效益情况。</w:t>
      </w: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五、主要经验及做法、存在的问题及原因分析</w:t>
      </w: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六、有关建议</w:t>
      </w:r>
    </w:p>
    <w:p>
      <w:pPr>
        <w:spacing w:line="600" w:lineRule="exact"/>
        <w:ind w:firstLine="442" w:firstLineChars="200"/>
        <w:rPr>
          <w:rFonts w:ascii="宋体" w:hAnsi="宋体" w:cs="宋体"/>
          <w:b/>
          <w:color w:val="auto"/>
          <w:kern w:val="0"/>
          <w:sz w:val="22"/>
        </w:rPr>
      </w:pPr>
      <w:r>
        <w:rPr>
          <w:rFonts w:hint="eastAsia" w:ascii="宋体" w:hAnsi="宋体" w:cs="宋体"/>
          <w:b/>
          <w:color w:val="auto"/>
          <w:kern w:val="0"/>
          <w:sz w:val="22"/>
        </w:rPr>
        <w:t>七、其他需要说明的问题</w:t>
      </w:r>
    </w:p>
    <w:p>
      <w:pPr>
        <w:spacing w:line="600" w:lineRule="exact"/>
        <w:ind w:firstLine="440" w:firstLineChars="200"/>
        <w:rPr>
          <w:rFonts w:hint="eastAsia" w:ascii="宋体" w:hAnsi="宋体" w:eastAsia="宋体" w:cs="宋体"/>
          <w:color w:val="auto"/>
          <w:kern w:val="0"/>
          <w:sz w:val="22"/>
          <w:lang w:eastAsia="zh-CN"/>
        </w:rPr>
      </w:pPr>
      <w:r>
        <w:rPr>
          <w:rFonts w:hint="eastAsia" w:ascii="宋体" w:hAnsi="宋体" w:cs="宋体"/>
          <w:color w:val="auto"/>
          <w:kern w:val="0"/>
          <w:sz w:val="22"/>
        </w:rPr>
        <w:t>附件：《评分表》</w:t>
      </w:r>
      <w:r>
        <w:rPr>
          <w:rFonts w:hint="eastAsia" w:ascii="宋体" w:hAnsi="宋体" w:cs="宋体"/>
          <w:color w:val="auto"/>
          <w:kern w:val="0"/>
          <w:sz w:val="22"/>
          <w:lang w:eastAsia="zh-CN"/>
        </w:rPr>
        <w:t>等</w:t>
      </w:r>
    </w:p>
    <w:p/>
    <w:p>
      <w:pPr>
        <w:pStyle w:val="3"/>
      </w:pPr>
    </w:p>
    <w:p>
      <w:pPr>
        <w:widowControl/>
        <w:spacing w:line="360" w:lineRule="auto"/>
        <w:ind w:firstLine="0" w:firstLineChars="0"/>
        <w:outlineLvl w:val="9"/>
        <w:rPr>
          <w:rFonts w:hint="eastAsia" w:ascii="黑体" w:hAnsi="黑体" w:eastAsia="黑体" w:cs="Times New Roman"/>
          <w:color w:val="auto"/>
          <w:kern w:val="2"/>
          <w:sz w:val="32"/>
          <w:szCs w:val="32"/>
        </w:rPr>
      </w:pPr>
    </w:p>
    <w:p>
      <w:pPr>
        <w:widowControl/>
        <w:spacing w:line="360" w:lineRule="auto"/>
        <w:ind w:firstLine="0" w:firstLineChars="0"/>
        <w:outlineLvl w:val="9"/>
        <w:rPr>
          <w:rFonts w:hint="eastAsia" w:ascii="黑体" w:hAnsi="黑体" w:eastAsia="黑体" w:cs="Times New Roman"/>
          <w:color w:val="auto"/>
          <w:kern w:val="2"/>
          <w:sz w:val="32"/>
          <w:szCs w:val="32"/>
        </w:rPr>
      </w:pPr>
    </w:p>
    <w:p>
      <w:pPr>
        <w:widowControl/>
        <w:spacing w:line="360" w:lineRule="auto"/>
        <w:ind w:firstLine="0" w:firstLineChars="0"/>
        <w:outlineLvl w:val="9"/>
        <w:rPr>
          <w:rFonts w:hint="default" w:ascii="黑体" w:hAnsi="黑体" w:eastAsia="黑体" w:cs="Times New Roman"/>
          <w:b w:val="0"/>
          <w:color w:val="auto"/>
          <w:kern w:val="2"/>
          <w:sz w:val="32"/>
          <w:szCs w:val="32"/>
          <w:lang w:val="en-US"/>
        </w:rPr>
      </w:pPr>
      <w:r>
        <w:rPr>
          <w:rFonts w:hint="eastAsia" w:ascii="黑体" w:hAnsi="黑体" w:eastAsia="黑体" w:cs="Times New Roman"/>
          <w:color w:val="auto"/>
          <w:kern w:val="2"/>
          <w:sz w:val="32"/>
          <w:szCs w:val="32"/>
        </w:rPr>
        <w:t>附件</w:t>
      </w:r>
      <w:r>
        <w:rPr>
          <w:rFonts w:hint="eastAsia" w:ascii="黑体" w:hAnsi="黑体" w:eastAsia="黑体" w:cs="Times New Roman"/>
          <w:color w:val="auto"/>
          <w:kern w:val="2"/>
          <w:sz w:val="32"/>
          <w:szCs w:val="32"/>
          <w:lang w:val="en-US" w:eastAsia="zh-CN"/>
        </w:rPr>
        <w:t>1-3-1</w:t>
      </w:r>
    </w:p>
    <w:p>
      <w:pPr>
        <w:widowControl/>
        <w:spacing w:line="360" w:lineRule="auto"/>
        <w:ind w:firstLine="0" w:firstLineChars="0"/>
        <w:jc w:val="center"/>
        <w:outlineLvl w:val="9"/>
        <w:rPr>
          <w:rFonts w:hint="eastAsia" w:ascii="宋体" w:hAnsi="宋体" w:eastAsia="宋体" w:cs="宋体"/>
          <w:b/>
          <w:bCs/>
          <w:color w:val="auto"/>
          <w:kern w:val="0"/>
          <w:sz w:val="32"/>
          <w:szCs w:val="32"/>
        </w:rPr>
      </w:pPr>
      <w:r>
        <w:rPr>
          <w:rFonts w:hint="eastAsia" w:ascii="宋体" w:hAnsi="宋体" w:eastAsia="宋体" w:cs="宋体"/>
          <w:b/>
          <w:bCs/>
          <w:color w:val="auto"/>
          <w:kern w:val="0"/>
          <w:sz w:val="32"/>
          <w:szCs w:val="32"/>
        </w:rPr>
        <w:t>自评项目汇总表</w:t>
      </w:r>
    </w:p>
    <w:p>
      <w:pPr>
        <w:widowControl/>
        <w:spacing w:line="360" w:lineRule="auto"/>
        <w:ind w:firstLine="0" w:firstLineChars="0"/>
        <w:jc w:val="left"/>
        <w:outlineLvl w:val="9"/>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部门名称：</w:t>
      </w:r>
    </w:p>
    <w:tbl>
      <w:tblPr>
        <w:tblStyle w:val="8"/>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412"/>
        <w:gridCol w:w="1404"/>
        <w:gridCol w:w="886"/>
        <w:gridCol w:w="850"/>
        <w:gridCol w:w="851"/>
        <w:gridCol w:w="845"/>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915" w:type="dxa"/>
            <w:vMerge w:val="restart"/>
            <w:noWrap w:val="0"/>
            <w:vAlign w:val="top"/>
          </w:tcPr>
          <w:p>
            <w:pPr>
              <w:spacing w:line="300" w:lineRule="exact"/>
              <w:ind w:left="0" w:firstLine="0" w:firstLineChars="0"/>
              <w:jc w:val="center"/>
              <w:outlineLvl w:val="0"/>
              <w:rPr>
                <w:rFonts w:hint="eastAsia" w:ascii="宋体" w:hAnsi="宋体" w:eastAsia="宋体" w:cs="宋体"/>
                <w:color w:val="auto"/>
                <w:kern w:val="0"/>
                <w:sz w:val="15"/>
                <w:szCs w:val="16"/>
              </w:rPr>
            </w:pPr>
          </w:p>
          <w:p>
            <w:pPr>
              <w:spacing w:line="300" w:lineRule="exact"/>
              <w:ind w:left="0"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序号</w:t>
            </w:r>
          </w:p>
        </w:tc>
        <w:tc>
          <w:tcPr>
            <w:tcW w:w="1412" w:type="dxa"/>
            <w:vMerge w:val="restart"/>
            <w:noWrap w:val="0"/>
            <w:vAlign w:val="top"/>
          </w:tcPr>
          <w:p>
            <w:pPr>
              <w:spacing w:line="300" w:lineRule="exact"/>
              <w:ind w:left="0" w:firstLine="0" w:firstLineChars="0"/>
              <w:jc w:val="both"/>
              <w:outlineLvl w:val="0"/>
              <w:rPr>
                <w:rFonts w:hint="eastAsia" w:ascii="宋体" w:hAnsi="宋体" w:eastAsia="宋体" w:cs="宋体"/>
                <w:color w:val="auto"/>
                <w:kern w:val="0"/>
                <w:sz w:val="22"/>
                <w:szCs w:val="24"/>
              </w:rPr>
            </w:pPr>
          </w:p>
          <w:p>
            <w:pPr>
              <w:spacing w:line="300" w:lineRule="exact"/>
              <w:ind w:left="0"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项目名称</w:t>
            </w:r>
          </w:p>
        </w:tc>
        <w:tc>
          <w:tcPr>
            <w:tcW w:w="1404" w:type="dxa"/>
            <w:vMerge w:val="restart"/>
            <w:noWrap w:val="0"/>
            <w:vAlign w:val="top"/>
          </w:tcPr>
          <w:p>
            <w:pPr>
              <w:spacing w:line="44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项目金额(万元)</w:t>
            </w:r>
          </w:p>
        </w:tc>
        <w:tc>
          <w:tcPr>
            <w:tcW w:w="3432" w:type="dxa"/>
            <w:gridSpan w:val="4"/>
            <w:noWrap w:val="0"/>
            <w:vAlign w:val="top"/>
          </w:tcPr>
          <w:p>
            <w:pPr>
              <w:spacing w:line="36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评价结果</w:t>
            </w:r>
          </w:p>
        </w:tc>
        <w:tc>
          <w:tcPr>
            <w:tcW w:w="1917" w:type="dxa"/>
            <w:vMerge w:val="restart"/>
            <w:noWrap w:val="0"/>
            <w:vAlign w:val="top"/>
          </w:tcPr>
          <w:p>
            <w:pPr>
              <w:spacing w:line="320" w:lineRule="exact"/>
              <w:ind w:firstLine="660" w:firstLineChars="300"/>
              <w:jc w:val="both"/>
              <w:outlineLvl w:val="0"/>
              <w:rPr>
                <w:rFonts w:hint="eastAsia" w:ascii="宋体" w:hAnsi="宋体" w:eastAsia="宋体" w:cs="宋体"/>
                <w:color w:val="auto"/>
                <w:kern w:val="0"/>
                <w:sz w:val="22"/>
                <w:szCs w:val="24"/>
              </w:rPr>
            </w:pPr>
          </w:p>
          <w:p>
            <w:pPr>
              <w:spacing w:line="320" w:lineRule="exact"/>
              <w:ind w:firstLine="660" w:firstLineChars="300"/>
              <w:jc w:val="both"/>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412" w:type="dxa"/>
            <w:vMerge w:val="continue"/>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404" w:type="dxa"/>
            <w:vMerge w:val="continue"/>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86" w:type="dxa"/>
            <w:noWrap w:val="0"/>
            <w:vAlign w:val="top"/>
          </w:tcPr>
          <w:p>
            <w:pPr>
              <w:spacing w:line="40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优</w:t>
            </w:r>
          </w:p>
        </w:tc>
        <w:tc>
          <w:tcPr>
            <w:tcW w:w="850" w:type="dxa"/>
            <w:noWrap w:val="0"/>
            <w:vAlign w:val="top"/>
          </w:tcPr>
          <w:p>
            <w:pPr>
              <w:spacing w:line="40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良</w:t>
            </w:r>
          </w:p>
        </w:tc>
        <w:tc>
          <w:tcPr>
            <w:tcW w:w="851" w:type="dxa"/>
            <w:noWrap w:val="0"/>
            <w:vAlign w:val="top"/>
          </w:tcPr>
          <w:p>
            <w:pPr>
              <w:spacing w:line="400" w:lineRule="exact"/>
              <w:ind w:firstLine="0" w:firstLineChars="0"/>
              <w:jc w:val="center"/>
              <w:outlineLvl w:val="0"/>
              <w:rPr>
                <w:rFonts w:hint="eastAsia" w:ascii="宋体" w:hAnsi="宋体" w:eastAsia="宋体" w:cs="宋体"/>
                <w:color w:val="auto"/>
                <w:kern w:val="0"/>
                <w:sz w:val="22"/>
                <w:szCs w:val="24"/>
                <w:lang w:eastAsia="zh-CN"/>
              </w:rPr>
            </w:pPr>
            <w:r>
              <w:rPr>
                <w:rFonts w:hint="eastAsia" w:ascii="宋体" w:hAnsi="宋体" w:cs="宋体"/>
                <w:color w:val="auto"/>
                <w:kern w:val="0"/>
                <w:sz w:val="22"/>
                <w:szCs w:val="24"/>
                <w:lang w:eastAsia="zh-CN"/>
              </w:rPr>
              <w:t>中</w:t>
            </w:r>
          </w:p>
        </w:tc>
        <w:tc>
          <w:tcPr>
            <w:tcW w:w="845" w:type="dxa"/>
            <w:noWrap w:val="0"/>
            <w:vAlign w:val="top"/>
          </w:tcPr>
          <w:p>
            <w:pPr>
              <w:spacing w:line="40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差</w:t>
            </w:r>
          </w:p>
        </w:tc>
        <w:tc>
          <w:tcPr>
            <w:tcW w:w="1917" w:type="dxa"/>
            <w:vMerge w:val="continue"/>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15" w:type="dxa"/>
            <w:noWrap w:val="0"/>
            <w:vAlign w:val="top"/>
          </w:tcPr>
          <w:p>
            <w:pPr>
              <w:spacing w:line="44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1</w:t>
            </w:r>
          </w:p>
        </w:tc>
        <w:tc>
          <w:tcPr>
            <w:tcW w:w="1412"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404"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86"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50"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51"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45"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917" w:type="dxa"/>
            <w:noWrap w:val="0"/>
            <w:vAlign w:val="top"/>
          </w:tcPr>
          <w:p>
            <w:pPr>
              <w:spacing w:line="240" w:lineRule="auto"/>
              <w:jc w:val="both"/>
              <w:outlineLvl w:val="0"/>
              <w:rPr>
                <w:rFonts w:hint="default" w:ascii="宋体" w:hAnsi="宋体" w:eastAsia="宋体" w:cs="宋体"/>
                <w:color w:val="auto"/>
                <w:kern w:val="0"/>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15" w:type="dxa"/>
            <w:noWrap w:val="0"/>
            <w:vAlign w:val="top"/>
          </w:tcPr>
          <w:p>
            <w:pPr>
              <w:spacing w:line="44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2</w:t>
            </w:r>
          </w:p>
        </w:tc>
        <w:tc>
          <w:tcPr>
            <w:tcW w:w="1412"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404"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86"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50"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51"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45"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917"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15" w:type="dxa"/>
            <w:noWrap w:val="0"/>
            <w:vAlign w:val="top"/>
          </w:tcPr>
          <w:p>
            <w:pPr>
              <w:spacing w:line="440" w:lineRule="exact"/>
              <w:ind w:firstLine="0" w:firstLineChars="0"/>
              <w:jc w:val="center"/>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w:t>
            </w:r>
          </w:p>
        </w:tc>
        <w:tc>
          <w:tcPr>
            <w:tcW w:w="1412" w:type="dxa"/>
            <w:noWrap w:val="0"/>
            <w:vAlign w:val="top"/>
          </w:tcPr>
          <w:p>
            <w:pPr>
              <w:spacing w:line="600" w:lineRule="exact"/>
              <w:ind w:firstLine="440" w:firstLineChars="200"/>
              <w:jc w:val="center"/>
              <w:outlineLvl w:val="0"/>
              <w:rPr>
                <w:rFonts w:hint="eastAsia" w:ascii="宋体" w:hAnsi="宋体" w:eastAsia="宋体" w:cs="宋体"/>
                <w:color w:val="auto"/>
                <w:kern w:val="0"/>
                <w:sz w:val="22"/>
                <w:szCs w:val="24"/>
              </w:rPr>
            </w:pPr>
          </w:p>
        </w:tc>
        <w:tc>
          <w:tcPr>
            <w:tcW w:w="1404"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86"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50"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51"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845"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c>
          <w:tcPr>
            <w:tcW w:w="1917" w:type="dxa"/>
            <w:noWrap w:val="0"/>
            <w:vAlign w:val="top"/>
          </w:tcPr>
          <w:p>
            <w:pPr>
              <w:spacing w:line="600" w:lineRule="exact"/>
              <w:ind w:firstLine="440" w:firstLineChars="200"/>
              <w:outlineLvl w:val="0"/>
              <w:rPr>
                <w:rFonts w:hint="eastAsia" w:ascii="宋体" w:hAnsi="宋体" w:eastAsia="宋体" w:cs="宋体"/>
                <w:color w:val="auto"/>
                <w:kern w:val="0"/>
                <w:sz w:val="22"/>
                <w:szCs w:val="24"/>
              </w:rPr>
            </w:pPr>
          </w:p>
        </w:tc>
      </w:tr>
    </w:tbl>
    <w:p>
      <w:pPr>
        <w:spacing w:line="600" w:lineRule="exact"/>
        <w:ind w:firstLine="0" w:firstLineChars="0"/>
        <w:outlineLvl w:val="0"/>
        <w:rPr>
          <w:rFonts w:hint="eastAsia" w:ascii="宋体" w:hAnsi="宋体" w:eastAsia="宋体" w:cs="宋体"/>
          <w:b w:val="0"/>
          <w:color w:val="auto"/>
          <w:kern w:val="0"/>
          <w:sz w:val="22"/>
          <w:szCs w:val="24"/>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注：</w:t>
      </w: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绩效</w:t>
      </w:r>
      <w:r>
        <w:rPr>
          <w:rFonts w:hint="eastAsia" w:ascii="宋体" w:hAnsi="宋体" w:eastAsia="宋体" w:cs="宋体"/>
          <w:color w:val="auto"/>
          <w:kern w:val="0"/>
          <w:sz w:val="22"/>
          <w:szCs w:val="24"/>
          <w:lang w:val="en-US" w:eastAsia="zh-CN"/>
        </w:rPr>
        <w:t>自评</w:t>
      </w:r>
      <w:r>
        <w:rPr>
          <w:rFonts w:hint="eastAsia" w:ascii="宋体" w:hAnsi="宋体" w:eastAsia="宋体" w:cs="宋体"/>
          <w:color w:val="auto"/>
          <w:kern w:val="0"/>
          <w:sz w:val="22"/>
          <w:szCs w:val="24"/>
        </w:rPr>
        <w:t>实施百分制和四级分类。四个级别分别是：优（90（含）分-100分）、良（</w:t>
      </w:r>
      <w:r>
        <w:rPr>
          <w:rFonts w:hint="eastAsia" w:ascii="宋体" w:hAnsi="宋体" w:eastAsia="宋体" w:cs="宋体"/>
          <w:color w:val="auto"/>
          <w:kern w:val="0"/>
          <w:sz w:val="22"/>
          <w:szCs w:val="24"/>
          <w:lang w:val="en-US" w:eastAsia="zh-CN"/>
        </w:rPr>
        <w:t>80</w:t>
      </w:r>
      <w:r>
        <w:rPr>
          <w:rFonts w:hint="eastAsia" w:ascii="宋体" w:hAnsi="宋体" w:eastAsia="宋体" w:cs="宋体"/>
          <w:color w:val="auto"/>
          <w:kern w:val="0"/>
          <w:sz w:val="22"/>
          <w:szCs w:val="24"/>
        </w:rPr>
        <w:t>（含）分-90分）、</w:t>
      </w:r>
      <w:r>
        <w:rPr>
          <w:rFonts w:hint="eastAsia" w:ascii="宋体" w:hAnsi="宋体" w:cs="宋体"/>
          <w:color w:val="auto"/>
          <w:kern w:val="0"/>
          <w:sz w:val="22"/>
          <w:szCs w:val="24"/>
          <w:lang w:eastAsia="zh-CN"/>
        </w:rPr>
        <w:t>中</w:t>
      </w:r>
      <w:r>
        <w:rPr>
          <w:rFonts w:hint="eastAsia" w:ascii="宋体" w:hAnsi="宋体" w:eastAsia="宋体" w:cs="宋体"/>
          <w:color w:val="auto"/>
          <w:kern w:val="0"/>
          <w:sz w:val="22"/>
          <w:szCs w:val="24"/>
        </w:rPr>
        <w:t>（60（含）分-</w:t>
      </w:r>
      <w:r>
        <w:rPr>
          <w:rFonts w:hint="eastAsia" w:ascii="宋体" w:hAnsi="宋体" w:eastAsia="宋体" w:cs="宋体"/>
          <w:color w:val="auto"/>
          <w:kern w:val="0"/>
          <w:sz w:val="22"/>
          <w:szCs w:val="24"/>
          <w:lang w:val="en-US" w:eastAsia="zh-CN"/>
        </w:rPr>
        <w:t>80</w:t>
      </w:r>
      <w:r>
        <w:rPr>
          <w:rFonts w:hint="eastAsia" w:ascii="宋体" w:hAnsi="宋体" w:eastAsia="宋体" w:cs="宋体"/>
          <w:color w:val="auto"/>
          <w:kern w:val="0"/>
          <w:sz w:val="22"/>
          <w:szCs w:val="24"/>
        </w:rPr>
        <w:t>分）、差（60（不含）分以下）。</w:t>
      </w:r>
    </w:p>
    <w:p>
      <w:pPr>
        <w:pStyle w:val="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color w:val="auto"/>
          <w:kern w:val="0"/>
          <w:sz w:val="22"/>
          <w:szCs w:val="24"/>
          <w:lang w:val="en-US" w:eastAsia="zh-CN" w:bidi="ar-SA"/>
        </w:rPr>
      </w:pPr>
      <w:r>
        <w:rPr>
          <w:rFonts w:hint="eastAsia" w:ascii="宋体" w:hAnsi="宋体" w:eastAsia="宋体" w:cs="宋体"/>
          <w:color w:val="auto"/>
          <w:kern w:val="0"/>
          <w:sz w:val="22"/>
          <w:szCs w:val="24"/>
          <w:lang w:val="en-US" w:eastAsia="zh-CN" w:bidi="ar-SA"/>
        </w:rPr>
        <w:t xml:space="preserve">    2.部门重点自评项目请在备注栏填写“部门重点自评”。</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Pr>
        <w:spacing w:line="600" w:lineRule="exact"/>
        <w:ind w:firstLine="440" w:firstLineChars="200"/>
        <w:outlineLvl w:val="0"/>
        <w:rPr>
          <w:rFonts w:hint="eastAsia" w:ascii="宋体" w:hAnsi="宋体" w:eastAsia="宋体" w:cs="宋体"/>
          <w:color w:val="auto"/>
          <w:kern w:val="0"/>
          <w:sz w:val="22"/>
        </w:rPr>
      </w:pPr>
    </w:p>
    <w:p/>
    <w:p>
      <w:pPr>
        <w:pStyle w:val="3"/>
      </w:pPr>
    </w:p>
    <w:p>
      <w:pPr>
        <w:pStyle w:val="3"/>
      </w:pPr>
    </w:p>
    <w:p>
      <w:pPr>
        <w:pStyle w:val="3"/>
      </w:pPr>
    </w:p>
    <w:p>
      <w:pPr>
        <w:pStyle w:val="3"/>
      </w:pPr>
    </w:p>
    <w:p>
      <w:pPr>
        <w:pStyle w:val="3"/>
      </w:pPr>
    </w:p>
    <w:p>
      <w:pPr>
        <w:pStyle w:val="3"/>
      </w:pPr>
    </w:p>
    <w:p>
      <w:pPr>
        <w:pStyle w:val="3"/>
      </w:pPr>
    </w:p>
    <w:p>
      <w:pPr>
        <w:widowControl/>
        <w:spacing w:line="560" w:lineRule="exact"/>
        <w:ind w:firstLine="0" w:firstLineChars="0"/>
        <w:outlineLvl w:val="9"/>
        <w:rPr>
          <w:rFonts w:hint="default" w:ascii="黑体" w:hAnsi="黑体" w:eastAsia="黑体" w:cs="Times New Roman"/>
          <w:b w:val="0"/>
          <w:color w:val="auto"/>
          <w:kern w:val="2"/>
          <w:sz w:val="32"/>
          <w:szCs w:val="32"/>
          <w:lang w:val="en-US"/>
        </w:rPr>
      </w:pPr>
      <w:r>
        <w:rPr>
          <w:rFonts w:hint="eastAsia" w:ascii="黑体" w:hAnsi="黑体" w:eastAsia="黑体" w:cs="Times New Roman"/>
          <w:color w:val="auto"/>
          <w:kern w:val="2"/>
          <w:sz w:val="32"/>
          <w:szCs w:val="32"/>
        </w:rPr>
        <w:t>附件</w:t>
      </w:r>
      <w:r>
        <w:rPr>
          <w:rFonts w:hint="eastAsia" w:ascii="黑体" w:hAnsi="黑体" w:eastAsia="黑体" w:cs="Times New Roman"/>
          <w:color w:val="auto"/>
          <w:kern w:val="2"/>
          <w:sz w:val="32"/>
          <w:szCs w:val="32"/>
          <w:lang w:val="en-US" w:eastAsia="zh-CN"/>
        </w:rPr>
        <w:t>1-3-2</w:t>
      </w:r>
    </w:p>
    <w:p>
      <w:pPr>
        <w:spacing w:line="600" w:lineRule="exact"/>
        <w:ind w:firstLine="0" w:firstLineChars="0"/>
        <w:outlineLvl w:val="0"/>
        <w:rPr>
          <w:rFonts w:hint="eastAsia" w:ascii="宋体" w:hAnsi="宋体" w:eastAsia="宋体" w:cs="宋体"/>
          <w:color w:val="auto"/>
          <w:kern w:val="0"/>
          <w:sz w:val="22"/>
        </w:rPr>
      </w:pPr>
    </w:p>
    <w:p>
      <w:pPr>
        <w:spacing w:line="560" w:lineRule="exact"/>
        <w:ind w:firstLine="0" w:firstLineChars="0"/>
        <w:jc w:val="center"/>
        <w:rPr>
          <w:rFonts w:hint="eastAsia" w:ascii="方正小标宋简体" w:eastAsia="方正小标宋简体"/>
          <w:b w:val="0"/>
          <w:sz w:val="36"/>
          <w:szCs w:val="36"/>
          <w:lang w:val="en-US" w:eastAsia="zh-CN"/>
        </w:rPr>
      </w:pPr>
      <w:r>
        <w:rPr>
          <w:rFonts w:hint="eastAsia" w:ascii="方正小标宋简体" w:eastAsia="方正小标宋简体"/>
          <w:b w:val="0"/>
          <w:sz w:val="36"/>
          <w:szCs w:val="36"/>
        </w:rPr>
        <w:t>预算绩效</w:t>
      </w:r>
      <w:r>
        <w:rPr>
          <w:rFonts w:hint="eastAsia" w:ascii="方正小标宋简体" w:eastAsia="方正小标宋简体"/>
          <w:b w:val="0"/>
          <w:sz w:val="36"/>
          <w:szCs w:val="36"/>
          <w:lang w:eastAsia="zh-CN"/>
        </w:rPr>
        <w:t>管理</w:t>
      </w:r>
      <w:r>
        <w:rPr>
          <w:rFonts w:hint="eastAsia" w:ascii="方正小标宋简体" w:eastAsia="方正小标宋简体"/>
          <w:b w:val="0"/>
          <w:sz w:val="36"/>
          <w:szCs w:val="36"/>
        </w:rPr>
        <w:t>工作开展情况</w:t>
      </w:r>
      <w:r>
        <w:rPr>
          <w:rFonts w:hint="eastAsia" w:ascii="方正小标宋简体" w:eastAsia="方正小标宋简体"/>
          <w:b w:val="0"/>
          <w:sz w:val="36"/>
          <w:szCs w:val="36"/>
          <w:lang w:val="en-US" w:eastAsia="zh-CN"/>
        </w:rPr>
        <w:t>报告</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（参考模板）</w:t>
      </w:r>
    </w:p>
    <w:p>
      <w:pPr>
        <w:ind w:firstLine="643" w:firstLineChars="200"/>
        <w:jc w:val="center"/>
        <w:rPr>
          <w:rFonts w:ascii="仿宋_GB2312" w:eastAsia="仿宋_GB2312"/>
          <w:b/>
          <w:sz w:val="32"/>
          <w:szCs w:val="32"/>
        </w:rPr>
      </w:pPr>
    </w:p>
    <w:p>
      <w:pPr>
        <w:spacing w:line="60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一、基本情况</w:t>
      </w:r>
    </w:p>
    <w:p>
      <w:pPr>
        <w:spacing w:line="600" w:lineRule="exact"/>
        <w:ind w:firstLine="641"/>
        <w:rPr>
          <w:rFonts w:hint="eastAsia" w:ascii="仿宋_GB2312" w:hAnsi="Calibri" w:eastAsia="仿宋_GB2312" w:cs="黑体"/>
          <w:sz w:val="32"/>
          <w:szCs w:val="32"/>
        </w:rPr>
      </w:pPr>
      <w:r>
        <w:rPr>
          <w:rFonts w:hint="eastAsia" w:ascii="仿宋_GB2312" w:hAnsi="Calibri" w:eastAsia="仿宋_GB2312" w:cs="黑体"/>
          <w:sz w:val="32"/>
          <w:szCs w:val="32"/>
        </w:rPr>
        <w:t>20××年，××（部门名称）对20××年度部门项目支出实施了绩效评价，</w:t>
      </w:r>
      <w:r>
        <w:rPr>
          <w:rFonts w:hint="eastAsia" w:ascii="仿宋_GB2312" w:eastAsia="仿宋_GB2312" w:cs="黑体"/>
          <w:sz w:val="32"/>
          <w:szCs w:val="32"/>
          <w:lang w:eastAsia="zh-CN"/>
        </w:rPr>
        <w:t>单位自评项目</w:t>
      </w:r>
      <w:r>
        <w:rPr>
          <w:rFonts w:hint="eastAsia" w:ascii="仿宋_GB2312" w:hAnsi="Calibri" w:eastAsia="仿宋_GB2312" w:cs="黑体"/>
          <w:sz w:val="32"/>
          <w:szCs w:val="32"/>
        </w:rPr>
        <w:t>××个</w:t>
      </w:r>
      <w:r>
        <w:rPr>
          <w:rFonts w:hint="eastAsia" w:ascii="仿宋_GB2312" w:eastAsia="仿宋_GB2312" w:cs="黑体"/>
          <w:sz w:val="32"/>
          <w:szCs w:val="32"/>
          <w:lang w:eastAsia="zh-CN"/>
        </w:rPr>
        <w:t>，部门重点自评项目</w:t>
      </w:r>
      <w:r>
        <w:rPr>
          <w:rFonts w:hint="eastAsia" w:ascii="仿宋_GB2312" w:hAnsi="Calibri" w:eastAsia="仿宋_GB2312" w:cs="黑体"/>
          <w:sz w:val="32"/>
          <w:szCs w:val="32"/>
        </w:rPr>
        <w:t>××个</w:t>
      </w:r>
      <w:r>
        <w:rPr>
          <w:rFonts w:hint="eastAsia" w:ascii="仿宋_GB2312" w:eastAsia="仿宋_GB2312" w:cs="黑体"/>
          <w:sz w:val="32"/>
          <w:szCs w:val="32"/>
          <w:lang w:eastAsia="zh-CN"/>
        </w:rPr>
        <w:t>，</w:t>
      </w:r>
      <w:r>
        <w:rPr>
          <w:rFonts w:hint="eastAsia" w:ascii="仿宋_GB2312" w:hAnsi="Calibri" w:eastAsia="仿宋_GB2312" w:cs="黑体"/>
          <w:sz w:val="32"/>
          <w:szCs w:val="32"/>
        </w:rPr>
        <w:t>评价项目</w:t>
      </w:r>
      <w:r>
        <w:rPr>
          <w:rFonts w:hint="eastAsia" w:ascii="仿宋_GB2312" w:eastAsia="仿宋_GB2312" w:cs="黑体"/>
          <w:sz w:val="32"/>
          <w:szCs w:val="32"/>
          <w:lang w:eastAsia="zh-CN"/>
        </w:rPr>
        <w:t>共计</w:t>
      </w:r>
      <w:r>
        <w:rPr>
          <w:rFonts w:hint="eastAsia" w:ascii="仿宋_GB2312" w:hAnsi="Calibri" w:eastAsia="仿宋_GB2312" w:cs="黑体"/>
          <w:sz w:val="32"/>
          <w:szCs w:val="32"/>
        </w:rPr>
        <w:t>××个，占部门项目总数的××%，涉及金额××万元。其中，评价得分在90分（含90分）以上的××个、评价得分在</w:t>
      </w:r>
      <w:r>
        <w:rPr>
          <w:rFonts w:hint="eastAsia" w:ascii="仿宋_GB2312" w:hAnsi="Calibri" w:eastAsia="仿宋_GB2312" w:cs="黑体"/>
          <w:sz w:val="32"/>
          <w:szCs w:val="32"/>
          <w:lang w:val="en-US" w:eastAsia="zh-CN"/>
        </w:rPr>
        <w:t>80</w:t>
      </w:r>
      <w:r>
        <w:rPr>
          <w:rFonts w:hint="eastAsia" w:ascii="仿宋_GB2312" w:hAnsi="Calibri" w:eastAsia="仿宋_GB2312" w:cs="黑体"/>
          <w:sz w:val="32"/>
          <w:szCs w:val="32"/>
        </w:rPr>
        <w:t>-90分（含</w:t>
      </w:r>
      <w:r>
        <w:rPr>
          <w:rFonts w:hint="eastAsia" w:ascii="仿宋_GB2312" w:hAnsi="Calibri" w:eastAsia="仿宋_GB2312" w:cs="黑体"/>
          <w:sz w:val="32"/>
          <w:szCs w:val="32"/>
          <w:lang w:val="en-US" w:eastAsia="zh-CN"/>
        </w:rPr>
        <w:t>80</w:t>
      </w:r>
      <w:r>
        <w:rPr>
          <w:rFonts w:hint="eastAsia" w:ascii="仿宋_GB2312" w:hAnsi="Calibri" w:eastAsia="仿宋_GB2312" w:cs="黑体"/>
          <w:sz w:val="32"/>
          <w:szCs w:val="32"/>
        </w:rPr>
        <w:t>分）的××个、评价得分在60-</w:t>
      </w:r>
      <w:r>
        <w:rPr>
          <w:rFonts w:hint="eastAsia" w:ascii="仿宋_GB2312" w:hAnsi="Calibri" w:eastAsia="仿宋_GB2312" w:cs="黑体"/>
          <w:sz w:val="32"/>
          <w:szCs w:val="32"/>
          <w:lang w:val="en-US" w:eastAsia="zh-CN"/>
        </w:rPr>
        <w:t>80</w:t>
      </w:r>
      <w:r>
        <w:rPr>
          <w:rFonts w:hint="eastAsia" w:ascii="仿宋_GB2312" w:hAnsi="Calibri" w:eastAsia="仿宋_GB2312" w:cs="黑体"/>
          <w:sz w:val="32"/>
          <w:szCs w:val="32"/>
        </w:rPr>
        <w:t xml:space="preserve">分（含60分）的××个、评价得分在60分以下的××个。 </w:t>
      </w:r>
    </w:p>
    <w:p>
      <w:pPr>
        <w:spacing w:line="60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二、主要经验或存在问题</w:t>
      </w:r>
    </w:p>
    <w:p>
      <w:pPr>
        <w:spacing w:line="600" w:lineRule="exact"/>
        <w:ind w:firstLine="640" w:firstLineChars="200"/>
      </w:pPr>
      <w:r>
        <w:rPr>
          <w:rFonts w:hint="eastAsia" w:ascii="黑体" w:hAnsi="黑体" w:eastAsia="黑体" w:cs="黑体"/>
          <w:color w:val="auto"/>
          <w:sz w:val="32"/>
          <w:szCs w:val="32"/>
        </w:rPr>
        <w:t>三、下一步工作措施或建议</w:t>
      </w:r>
    </w:p>
    <w:p/>
    <w:p/>
    <w:p>
      <w:pPr>
        <w:pStyle w:val="3"/>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eastAsia="zh-CN"/>
        </w:rPr>
      </w:pPr>
    </w:p>
    <w:p>
      <w:pPr>
        <w:rPr>
          <w:rFonts w:hint="eastAsia" w:eastAsia="宋体"/>
          <w:b w:val="0"/>
          <w:bCs w:val="0"/>
          <w:lang w:val="en-US" w:eastAsia="zh-CN"/>
        </w:rPr>
      </w:pPr>
    </w:p>
    <w:sectPr>
      <w:footerReference r:id="rId3" w:type="default"/>
      <w:pgSz w:w="11906" w:h="16838"/>
      <w:pgMar w:top="1440" w:right="1803" w:bottom="1440" w:left="1803" w:header="851" w:footer="992" w:gutter="0"/>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5"/>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NJWO7QAAAABQEAAA8A&#10;AAAAAAAAAQAgAAAAIgAAAGRycy9kb3ducmV2LnhtbFBLAQIUABQAAAAIAIdO4kAuhIZC5gEAAMcD&#10;AAAOAAAAAAAAAAEAIAAAAB8BAABkcnMvZTJvRG9jLnhtbFBLBQYAAAAABgAGAFkBAAB3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wZTExYTc3N2Y2NDQ3NWY2MWVkMDFlNjA0MGYwZjcifQ=="/>
  </w:docVars>
  <w:rsids>
    <w:rsidRoot w:val="5EDB0B63"/>
    <w:rsid w:val="01534994"/>
    <w:rsid w:val="0C8165E0"/>
    <w:rsid w:val="18470CD3"/>
    <w:rsid w:val="2CBF8107"/>
    <w:rsid w:val="2EB70209"/>
    <w:rsid w:val="30FF2B40"/>
    <w:rsid w:val="35D339CB"/>
    <w:rsid w:val="3FF79B31"/>
    <w:rsid w:val="4BA31FDB"/>
    <w:rsid w:val="4BFF9656"/>
    <w:rsid w:val="537B9DA3"/>
    <w:rsid w:val="5A474F5C"/>
    <w:rsid w:val="5DDF52D1"/>
    <w:rsid w:val="5EDB0B63"/>
    <w:rsid w:val="5F9F33EB"/>
    <w:rsid w:val="6AC7B1A3"/>
    <w:rsid w:val="6B77FB6F"/>
    <w:rsid w:val="6EE9A86C"/>
    <w:rsid w:val="6FD43E60"/>
    <w:rsid w:val="763E871D"/>
    <w:rsid w:val="79EBFCAD"/>
    <w:rsid w:val="7BBD97BD"/>
    <w:rsid w:val="7BFE4A5B"/>
    <w:rsid w:val="7BFFEC6B"/>
    <w:rsid w:val="7DBF4FBB"/>
    <w:rsid w:val="7DCD9330"/>
    <w:rsid w:val="7DD758A1"/>
    <w:rsid w:val="7E562264"/>
    <w:rsid w:val="7E5EB5A1"/>
    <w:rsid w:val="7F2773F9"/>
    <w:rsid w:val="7F3909BD"/>
    <w:rsid w:val="7F7C49BA"/>
    <w:rsid w:val="7FBF70D0"/>
    <w:rsid w:val="7FF719AD"/>
    <w:rsid w:val="9BFD2FEF"/>
    <w:rsid w:val="AFDDEFDC"/>
    <w:rsid w:val="B2DFF942"/>
    <w:rsid w:val="B5FC34C6"/>
    <w:rsid w:val="BAEFCA12"/>
    <w:rsid w:val="BD5D8A02"/>
    <w:rsid w:val="D4CEDA1A"/>
    <w:rsid w:val="D5A31DC0"/>
    <w:rsid w:val="D7FF1616"/>
    <w:rsid w:val="DFEAA56F"/>
    <w:rsid w:val="E6922BE3"/>
    <w:rsid w:val="EB5BB730"/>
    <w:rsid w:val="EDFF835A"/>
    <w:rsid w:val="EEBB59E1"/>
    <w:rsid w:val="EFCF022D"/>
    <w:rsid w:val="F37B3AB2"/>
    <w:rsid w:val="F6FF4047"/>
    <w:rsid w:val="F7E365DE"/>
    <w:rsid w:val="FA5A168B"/>
    <w:rsid w:val="FD3F40DC"/>
    <w:rsid w:val="FEF8056D"/>
    <w:rsid w:val="FEF82787"/>
    <w:rsid w:val="FEFD3F0E"/>
    <w:rsid w:val="FFBDEA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200" w:firstLineChars="200"/>
    </w:pPr>
  </w:style>
  <w:style w:type="paragraph" w:styleId="4">
    <w:name w:val="Body Text"/>
    <w:basedOn w:val="1"/>
    <w:next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Hyperlink"/>
    <w:basedOn w:val="9"/>
    <w:uiPriority w:val="0"/>
    <w:rPr>
      <w:color w:val="0000FF"/>
      <w:u w:val="single"/>
    </w:rPr>
  </w:style>
  <w:style w:type="character" w:customStyle="1" w:styleId="11">
    <w:name w:val="font81"/>
    <w:basedOn w:val="9"/>
    <w:qFormat/>
    <w:uiPriority w:val="0"/>
    <w:rPr>
      <w:rFonts w:hint="eastAsia" w:ascii="宋体" w:hAnsi="宋体" w:eastAsia="宋体" w:cs="宋体"/>
      <w:color w:val="000000"/>
      <w:sz w:val="20"/>
      <w:szCs w:val="20"/>
      <w:u w:val="none"/>
    </w:rPr>
  </w:style>
  <w:style w:type="character" w:customStyle="1" w:styleId="12">
    <w:name w:val="font11"/>
    <w:basedOn w:val="9"/>
    <w:qFormat/>
    <w:uiPriority w:val="0"/>
    <w:rPr>
      <w:rFonts w:hint="eastAsia" w:ascii="仿宋_GB2312" w:eastAsia="仿宋_GB2312" w:cs="仿宋_GB2312"/>
      <w:color w:val="000000"/>
      <w:sz w:val="24"/>
      <w:szCs w:val="24"/>
      <w:u w:val="none"/>
    </w:rPr>
  </w:style>
  <w:style w:type="character" w:customStyle="1" w:styleId="13">
    <w:name w:val="font61"/>
    <w:basedOn w:val="9"/>
    <w:qFormat/>
    <w:uiPriority w:val="0"/>
    <w:rPr>
      <w:rFonts w:hint="eastAsia" w:ascii="仿宋_GB2312" w:eastAsia="仿宋_GB2312" w:cs="仿宋_GB2312"/>
      <w:color w:val="000000"/>
      <w:sz w:val="24"/>
      <w:szCs w:val="24"/>
      <w:u w:val="none"/>
    </w:rPr>
  </w:style>
  <w:style w:type="character" w:customStyle="1" w:styleId="14">
    <w:name w:val="font71"/>
    <w:basedOn w:val="9"/>
    <w:qFormat/>
    <w:uiPriority w:val="0"/>
    <w:rPr>
      <w:rFonts w:hint="eastAsia" w:ascii="宋体" w:hAnsi="宋体" w:eastAsia="宋体" w:cs="宋体"/>
      <w:color w:val="FF0000"/>
      <w:sz w:val="20"/>
      <w:szCs w:val="20"/>
      <w:u w:val="none"/>
    </w:rPr>
  </w:style>
  <w:style w:type="paragraph" w:customStyle="1" w:styleId="15">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16">
    <w:name w:val="首行缩进"/>
    <w:basedOn w:val="1"/>
    <w:qFormat/>
    <w:uiPriority w:val="0"/>
    <w:pPr>
      <w:ind w:firstLine="480"/>
    </w:pPr>
    <w:rPr>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2024-03-12T19:08:00Z</dcterms:created>
  <dc:creator>user</dc:creator>
  <cp:lastModifiedBy>WPS_1698896319</cp:lastModifiedBy>
  <cp:lastPrinted>2024-03-30T01:59:00Z</cp:lastPrinted>
  <dcterms:modified xsi:type="dcterms:W3CDTF">2024-04-16T07:13:17Z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966755F35DD54D169CBA0E03FED554CF_13</vt:lpwstr>
  </property>
</Properties>
</file>