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eastAsia="黑体"/>
          <w:sz w:val="72"/>
          <w:szCs w:val="72"/>
        </w:rPr>
      </w:pPr>
      <w:bookmarkStart w:id="18" w:name="_GoBack"/>
      <w:bookmarkEnd w:id="18"/>
    </w:p>
    <w:p>
      <w:pPr>
        <w:jc w:val="center"/>
        <w:rPr>
          <w:rFonts w:ascii="黑体" w:eastAsia="黑体"/>
          <w:sz w:val="52"/>
          <w:szCs w:val="52"/>
        </w:rPr>
      </w:pPr>
      <w:r>
        <w:rPr>
          <w:rFonts w:hint="eastAsia" w:ascii="黑体" w:eastAsia="黑体"/>
          <w:sz w:val="72"/>
          <w:szCs w:val="72"/>
        </w:rPr>
        <w:t>2023年度部门决算</w:t>
      </w:r>
    </w:p>
    <w:p>
      <w:pPr>
        <w:jc w:val="center"/>
        <w:rPr>
          <w:rFonts w:ascii="黑体" w:eastAsia="黑体"/>
          <w:sz w:val="32"/>
          <w:szCs w:val="32"/>
        </w:rPr>
      </w:pPr>
    </w:p>
    <w:p>
      <w:pPr>
        <w:spacing w:line="500" w:lineRule="exact"/>
        <w:ind w:firstLine="645"/>
        <w:jc w:val="center"/>
        <w:rPr>
          <w:rFonts w:hint="eastAsia"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both"/>
        <w:rPr>
          <w:rFonts w:hint="eastAsia" w:ascii="宋体" w:hAnsi="宋体" w:cs="宋体"/>
          <w:b/>
          <w:bCs/>
          <w:kern w:val="0"/>
          <w:sz w:val="36"/>
          <w:szCs w:val="36"/>
        </w:rPr>
      </w:pPr>
    </w:p>
    <w:p>
      <w:pPr>
        <w:tabs>
          <w:tab w:val="center" w:pos="6979"/>
        </w:tabs>
        <w:spacing w:line="500" w:lineRule="exact"/>
        <w:jc w:val="both"/>
        <w:rPr>
          <w:rFonts w:hint="eastAsia" w:ascii="宋体" w:hAnsi="宋体" w:cs="宋体"/>
          <w:bCs/>
          <w:spacing w:val="40"/>
          <w:kern w:val="0"/>
          <w:sz w:val="32"/>
          <w:szCs w:val="32"/>
        </w:rPr>
      </w:pPr>
      <w:r>
        <w:rPr>
          <w:rFonts w:hint="eastAsia" w:ascii="宋体" w:hAnsi="宋体" w:cs="宋体"/>
          <w:bCs/>
          <w:spacing w:val="40"/>
          <w:kern w:val="0"/>
          <w:sz w:val="32"/>
          <w:szCs w:val="32"/>
        </w:rPr>
        <w:t>第一部分 2023年度部门决算报表</w:t>
      </w:r>
    </w:p>
    <w:p>
      <w:pPr>
        <w:tabs>
          <w:tab w:val="center" w:pos="6979"/>
        </w:tabs>
        <w:spacing w:line="500" w:lineRule="exact"/>
        <w:jc w:val="both"/>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jc w:val="both"/>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jc w:val="both"/>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jc w:val="both"/>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jc w:val="both"/>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jc w:val="both"/>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jc w:val="both"/>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jc w:val="both"/>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jc w:val="both"/>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jc w:val="both"/>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jc w:val="both"/>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jc w:val="both"/>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jc w:val="both"/>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jc w:val="both"/>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2023年度部门决算说明</w:t>
      </w:r>
    </w:p>
    <w:p>
      <w:pPr>
        <w:tabs>
          <w:tab w:val="center" w:pos="6979"/>
        </w:tabs>
        <w:spacing w:line="500" w:lineRule="exact"/>
        <w:jc w:val="both"/>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2023年度</w:t>
      </w:r>
      <w:r>
        <w:rPr>
          <w:rFonts w:hint="eastAsia" w:ascii="宋体" w:hAnsi="宋体" w:cs="宋体"/>
          <w:spacing w:val="40"/>
          <w:kern w:val="0"/>
          <w:sz w:val="32"/>
          <w:szCs w:val="32"/>
        </w:rPr>
        <w:t>其他重要事项的情况说明</w:t>
      </w:r>
    </w:p>
    <w:p>
      <w:pPr>
        <w:tabs>
          <w:tab w:val="center" w:pos="6979"/>
        </w:tabs>
        <w:spacing w:line="500" w:lineRule="exact"/>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2023年度部门绩效评价情况</w:t>
      </w:r>
    </w:p>
    <w:p>
      <w:pPr>
        <w:tabs>
          <w:tab w:val="center" w:pos="6979"/>
        </w:tabs>
        <w:spacing w:before="156" w:beforeLines="50" w:after="156" w:afterLines="50"/>
        <w:jc w:val="both"/>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4819"/>
        </w:tabs>
        <w:bidi w:val="0"/>
        <w:jc w:val="left"/>
        <w:rPr>
          <w:rFonts w:hint="eastAsia" w:eastAsia="宋体"/>
          <w:lang w:eastAsia="zh-CN"/>
        </w:rPr>
        <w:sectPr>
          <w:footerReference r:id="rId3" w:type="default"/>
          <w:pgSz w:w="11906" w:h="16838"/>
          <w:pgMar w:top="1134" w:right="1134" w:bottom="1134" w:left="1134" w:header="851" w:footer="992" w:gutter="0"/>
          <w:cols w:space="720" w:num="1"/>
          <w:docGrid w:type="linesAndChars" w:linePitch="312" w:charSpace="0"/>
        </w:sectPr>
      </w:pPr>
    </w:p>
    <w:p>
      <w:pPr>
        <w:tabs>
          <w:tab w:val="center" w:pos="6979"/>
        </w:tabs>
        <w:spacing w:before="156" w:beforeLines="50" w:after="156" w:afterLines="50"/>
        <w:jc w:val="both"/>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2023年度部门决算报表</w:t>
      </w:r>
    </w:p>
    <w:p>
      <w:pPr>
        <w:pStyle w:val="2"/>
        <w:rPr>
          <w:rFonts w:hint="eastAsia" w:ascii="宋体" w:hAnsi="宋体" w:cs="宋体"/>
          <w:b/>
          <w:bCs/>
          <w:spacing w:val="40"/>
          <w:kern w:val="0"/>
          <w:sz w:val="32"/>
          <w:szCs w:val="32"/>
        </w:r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pPr>
        <w:tabs>
          <w:tab w:val="center" w:pos="6979"/>
        </w:tabs>
        <w:spacing w:before="156" w:beforeLines="50" w:after="156" w:afterLines="50"/>
        <w:jc w:val="both"/>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2023年度部门决算说明</w:t>
      </w:r>
    </w:p>
    <w:p>
      <w:pPr>
        <w:tabs>
          <w:tab w:val="center" w:pos="6979"/>
        </w:tabs>
        <w:spacing w:line="580" w:lineRule="exact"/>
        <w:ind w:firstLine="551" w:firstLineChars="196"/>
        <w:rPr>
          <w:rFonts w:ascii="黑体" w:eastAsia="黑体"/>
          <w:b/>
          <w:sz w:val="28"/>
          <w:szCs w:val="28"/>
        </w:rPr>
      </w:pPr>
      <w:r>
        <w:rPr>
          <w:rFonts w:hint="eastAsia" w:ascii="黑体" w:eastAsia="黑体"/>
          <w:b/>
          <w:sz w:val="28"/>
          <w:szCs w:val="28"/>
        </w:rPr>
        <w:t>一、部门/单位基本情况</w:t>
      </w:r>
    </w:p>
    <w:p>
      <w:pPr>
        <w:spacing w:line="560" w:lineRule="exact"/>
        <w:ind w:left="479" w:leftChars="228" w:firstLine="140" w:firstLineChars="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spacing w:line="560" w:lineRule="exact"/>
        <w:ind w:left="479" w:leftChars="228" w:firstLine="140" w:firstLineChars="50"/>
        <w:rPr>
          <w:rFonts w:hint="eastAsia" w:ascii="仿宋_GB2312" w:hAnsi="仿宋" w:eastAsia="仿宋_GB2312"/>
          <w:sz w:val="32"/>
          <w:szCs w:val="32"/>
        </w:rPr>
      </w:pPr>
      <w:r>
        <w:rPr>
          <w:rFonts w:hint="eastAsia" w:ascii="仿宋_GB2312" w:eastAsia="仿宋_GB2312"/>
          <w:sz w:val="28"/>
          <w:szCs w:val="28"/>
        </w:rPr>
        <w:t>永乐店</w:t>
      </w:r>
      <w:r>
        <w:rPr>
          <w:rFonts w:hint="eastAsia" w:ascii="仿宋_GB2312" w:hAnsi="仿宋" w:eastAsia="仿宋_GB2312"/>
          <w:sz w:val="32"/>
          <w:szCs w:val="32"/>
        </w:rPr>
        <w:t>镇政府下设7个办公室。</w:t>
      </w:r>
    </w:p>
    <w:p>
      <w:pPr>
        <w:spacing w:line="560" w:lineRule="exact"/>
        <w:ind w:left="479" w:leftChars="228" w:firstLine="160" w:firstLineChars="50"/>
        <w:rPr>
          <w:rFonts w:ascii="仿宋_GB2312" w:eastAsia="仿宋_GB2312"/>
          <w:bCs/>
          <w:sz w:val="32"/>
          <w:szCs w:val="32"/>
        </w:rPr>
      </w:pPr>
      <w:r>
        <w:rPr>
          <w:rFonts w:hint="eastAsia" w:ascii="仿宋_GB2312" w:eastAsia="仿宋_GB2312"/>
          <w:sz w:val="32"/>
          <w:szCs w:val="32"/>
        </w:rPr>
        <w:t>（1）综合办公室</w:t>
      </w:r>
    </w:p>
    <w:p>
      <w:pPr>
        <w:spacing w:line="560" w:lineRule="exact"/>
        <w:ind w:firstLine="640" w:firstLineChars="200"/>
        <w:rPr>
          <w:rFonts w:ascii="仿宋_GB2312" w:eastAsia="仿宋_GB2312"/>
          <w:sz w:val="32"/>
          <w:szCs w:val="32"/>
          <w:highlight w:val="yellow"/>
        </w:rPr>
      </w:pPr>
      <w:r>
        <w:rPr>
          <w:rFonts w:hint="eastAsia" w:ascii="仿宋_GB2312" w:eastAsia="仿宋_GB2312"/>
          <w:color w:val="000000"/>
          <w:sz w:val="32"/>
          <w:szCs w:val="32"/>
        </w:rPr>
        <w:t>负责机关日常运转工作，承担文电、会务、机要、档案等工作；承担机关重要文件的起草、审核和调查研究工作；承担信息、建议议案提案办理、保密、外事、政府信息公开、绩效管理等工作；承担机关重要事项的组织和督查工作；承担“</w:t>
      </w:r>
      <w:r>
        <w:rPr>
          <w:rFonts w:ascii="仿宋_GB2312" w:eastAsia="仿宋_GB2312"/>
          <w:color w:val="000000"/>
          <w:sz w:val="32"/>
          <w:szCs w:val="32"/>
        </w:rPr>
        <w:t>12345</w:t>
      </w:r>
      <w:r>
        <w:rPr>
          <w:rFonts w:hint="eastAsia" w:ascii="仿宋_GB2312" w:eastAsia="仿宋_GB2312"/>
          <w:color w:val="000000"/>
          <w:sz w:val="32"/>
          <w:szCs w:val="32"/>
        </w:rPr>
        <w:t>”市民服务热线等交办事件的统筹工作；负责固定资产管理工作；负责机关安全保卫、应急值守、后勤服务工作。</w:t>
      </w:r>
    </w:p>
    <w:p>
      <w:pPr>
        <w:adjustRightInd w:val="0"/>
        <w:snapToGrid w:val="0"/>
        <w:spacing w:line="560" w:lineRule="exact"/>
        <w:ind w:firstLine="627" w:firstLineChars="196"/>
        <w:rPr>
          <w:rFonts w:hint="eastAsia" w:ascii="仿宋_GB2312" w:hAnsi="黑体" w:eastAsia="仿宋_GB2312"/>
          <w:bCs/>
          <w:sz w:val="32"/>
          <w:szCs w:val="32"/>
        </w:rPr>
      </w:pPr>
      <w:r>
        <w:rPr>
          <w:rFonts w:hint="eastAsia" w:ascii="仿宋_GB2312" w:hAnsi="黑体" w:eastAsia="仿宋_GB2312"/>
          <w:sz w:val="32"/>
          <w:szCs w:val="32"/>
        </w:rPr>
        <w:t>（2）党群工作办公室（加挂人大工作办公室牌子）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color w:val="000000"/>
          <w:sz w:val="32"/>
          <w:szCs w:val="32"/>
        </w:rPr>
        <w:t>负责党内监督，加强党风建设和反腐败协调工作；负责村（社区）、社会组织、农村经济组织及机关和所属事业单位党建工作；负责村民委员会的设立、撤销、范围调整报批、农村集体经济组织的换届选举、辖区村务监督工作；负责意识形态工作，加强</w:t>
      </w:r>
      <w:r>
        <w:rPr>
          <w:rFonts w:hint="eastAsia" w:ascii="仿宋_GB2312" w:hAnsi="宋体" w:eastAsia="仿宋_GB2312" w:cs="仿宋_GB2312"/>
          <w:color w:val="000000"/>
          <w:sz w:val="32"/>
          <w:szCs w:val="32"/>
        </w:rPr>
        <w:t>思想政治和精神文明建设；负责统战、宣传、选举等工作；</w:t>
      </w:r>
      <w:r>
        <w:rPr>
          <w:rFonts w:hint="eastAsia" w:ascii="仿宋_GB2312" w:eastAsia="仿宋_GB2312"/>
          <w:color w:val="000000"/>
          <w:sz w:val="32"/>
          <w:szCs w:val="32"/>
        </w:rPr>
        <w:t>负责党员教育、管理、监督和服务，加强党员队伍建设；按照权限，负责干部人事、机构编制和老干部工作，统筹编制外人员管理；承担人大、政协等相关具体工作；负责总工会、</w:t>
      </w:r>
      <w:r>
        <w:rPr>
          <w:rFonts w:hint="eastAsia" w:ascii="仿宋_GB2312" w:hAnsi="仿宋_GB2312" w:eastAsia="仿宋_GB2312" w:cs="仿宋_GB2312"/>
          <w:sz w:val="32"/>
          <w:szCs w:val="32"/>
        </w:rPr>
        <w:t>共青团</w:t>
      </w:r>
      <w:r>
        <w:rPr>
          <w:rFonts w:hint="eastAsia" w:ascii="仿宋_GB2312" w:eastAsia="仿宋_GB2312"/>
          <w:color w:val="000000"/>
          <w:sz w:val="32"/>
          <w:szCs w:val="32"/>
        </w:rPr>
        <w:t>、妇联、</w:t>
      </w:r>
      <w:r>
        <w:rPr>
          <w:rFonts w:hint="eastAsia" w:ascii="仿宋_GB2312" w:eastAsia="仿宋_GB2312" w:cs="仿宋_GB2312"/>
          <w:color w:val="000000"/>
          <w:sz w:val="32"/>
          <w:szCs w:val="32"/>
        </w:rPr>
        <w:t>残联、红十字</w:t>
      </w:r>
      <w:r>
        <w:rPr>
          <w:rFonts w:hint="eastAsia" w:ascii="仿宋_GB2312" w:eastAsia="仿宋_GB2312"/>
          <w:color w:val="000000"/>
          <w:sz w:val="32"/>
          <w:szCs w:val="32"/>
        </w:rPr>
        <w:t>等群团组织工作。</w:t>
      </w:r>
    </w:p>
    <w:p>
      <w:pPr>
        <w:spacing w:line="560" w:lineRule="exact"/>
        <w:ind w:firstLine="640" w:firstLineChars="200"/>
        <w:rPr>
          <w:rFonts w:ascii="仿宋_GB2312" w:eastAsia="仿宋_GB2312"/>
          <w:bCs/>
          <w:sz w:val="32"/>
          <w:szCs w:val="32"/>
        </w:rPr>
      </w:pPr>
      <w:r>
        <w:rPr>
          <w:rFonts w:hint="eastAsia" w:ascii="仿宋_GB2312" w:hAnsi="黑体" w:eastAsia="仿宋_GB2312"/>
          <w:sz w:val="32"/>
          <w:szCs w:val="32"/>
        </w:rPr>
        <w:t>（3）平安建设办公室（加挂司法所、人民武装部牌子）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负责维护辖区社会稳定，加强群防群治组织建设，推动辖区内的社会治安综合治理各项措施的落实；</w:t>
      </w:r>
      <w:r>
        <w:rPr>
          <w:rFonts w:hint="eastAsia" w:ascii="仿宋_GB2312" w:eastAsia="仿宋_GB2312" w:cs="仿宋_GB2312"/>
          <w:sz w:val="32"/>
          <w:szCs w:val="32"/>
        </w:rPr>
        <w:t>负责信访、人民调解、</w:t>
      </w:r>
      <w:r>
        <w:rPr>
          <w:rFonts w:hint="eastAsia" w:ascii="仿宋_GB2312" w:eastAsia="仿宋_GB2312" w:cs="仿宋_GB2312"/>
          <w:color w:val="000000"/>
          <w:sz w:val="32"/>
          <w:szCs w:val="32"/>
        </w:rPr>
        <w:t>具体实施社区戒毒和康复、民兵、征兵、人民防空、地下空间治理、防震减灾、突发事件应对等相关工作；承担法制相关工作；负责依法行政、组织开展法治宣传等工作；承担</w:t>
      </w:r>
      <w:r>
        <w:rPr>
          <w:rFonts w:hint="eastAsia" w:ascii="仿宋_GB2312" w:eastAsia="仿宋_GB2312" w:cs="仿宋_GB2312"/>
          <w:sz w:val="32"/>
          <w:szCs w:val="32"/>
        </w:rPr>
        <w:t>社区矫正日常工作；承担辖区安全生产、消防安全等工作；配合有关部门做好流动人口和出租房屋的综合管理、国家安全、反恐、防范处理邪教、烟花爆竹的安全管理等相关工作；协同开展辖区“疏解整治促提升”专项行动；做好辖区“扫黄打非”工作。</w:t>
      </w:r>
    </w:p>
    <w:p>
      <w:pPr>
        <w:spacing w:line="560" w:lineRule="exact"/>
        <w:ind w:firstLine="640" w:firstLineChars="200"/>
        <w:outlineLvl w:val="0"/>
        <w:rPr>
          <w:rFonts w:ascii="仿宋_GB2312" w:eastAsia="仿宋_GB2312"/>
          <w:bCs/>
          <w:sz w:val="32"/>
          <w:szCs w:val="32"/>
        </w:rPr>
      </w:pPr>
      <w:r>
        <w:rPr>
          <w:rFonts w:hint="eastAsia" w:ascii="仿宋_GB2312" w:eastAsia="仿宋_GB2312"/>
          <w:sz w:val="32"/>
          <w:szCs w:val="32"/>
        </w:rPr>
        <w:t>（4）</w:t>
      </w:r>
      <w:r>
        <w:rPr>
          <w:rFonts w:hint="eastAsia" w:ascii="仿宋_GB2312" w:hAnsi="黑体" w:eastAsia="仿宋_GB2312"/>
          <w:sz w:val="32"/>
          <w:szCs w:val="32"/>
        </w:rPr>
        <w:t>城乡建设办公室</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负责区域内城乡规划工作；组织农村基础设施建设，受理农村地区住宅建设的申请工作；</w:t>
      </w:r>
      <w:r>
        <w:rPr>
          <w:rFonts w:hint="eastAsia" w:ascii="仿宋_GB2312" w:eastAsia="仿宋_GB2312" w:cs="仿宋_GB2312"/>
          <w:sz w:val="32"/>
          <w:szCs w:val="32"/>
        </w:rPr>
        <w:t>负责控制和查处辖区内违法建设；负责</w:t>
      </w:r>
      <w:r>
        <w:rPr>
          <w:rFonts w:hint="eastAsia" w:ascii="仿宋_GB2312" w:hAnsi="黑体" w:eastAsia="仿宋_GB2312"/>
          <w:sz w:val="32"/>
          <w:szCs w:val="32"/>
        </w:rPr>
        <w:t>征地补偿安置、乡村道路建设养护、地质灾害群测群防、摸排无证无照经营和“开墙打洞”等工作；负责</w:t>
      </w:r>
      <w:r>
        <w:rPr>
          <w:rFonts w:hint="eastAsia" w:ascii="仿宋_GB2312" w:hAnsi="仿宋_GB2312" w:eastAsia="仿宋_GB2312" w:cs="仿宋_GB2312"/>
          <w:sz w:val="32"/>
          <w:szCs w:val="32"/>
        </w:rPr>
        <w:t>市容环境卫生和生活垃圾日常管理，开展背街小巷环境整治提升工作和爱国卫生运动；负责统筹辖区内机动车、非机动车停车管理工作；负责植树护林、森林防火、防汛抗洪和河长制等相关工作；负责镇域生态环境保护及生态环境质量监管工作，重点做好大气、水、土壤污染防治等工作；负责协助开展老旧小区综合整治，综合协调城市服务管理网格工作；承担协管员管理职责。</w:t>
      </w:r>
    </w:p>
    <w:p>
      <w:pPr>
        <w:spacing w:line="560" w:lineRule="exact"/>
        <w:ind w:firstLine="640" w:firstLineChars="200"/>
        <w:outlineLvl w:val="0"/>
        <w:rPr>
          <w:rFonts w:hint="eastAsia" w:ascii="仿宋_GB2312" w:hAnsi="黑体" w:eastAsia="仿宋_GB2312"/>
          <w:bCs/>
          <w:sz w:val="32"/>
          <w:szCs w:val="32"/>
        </w:rPr>
      </w:pPr>
      <w:r>
        <w:rPr>
          <w:rFonts w:hint="eastAsia" w:ascii="仿宋_GB2312" w:hAnsi="仿宋_GB2312" w:eastAsia="仿宋_GB2312" w:cs="仿宋_GB2312"/>
          <w:sz w:val="32"/>
          <w:szCs w:val="32"/>
        </w:rPr>
        <w:t>（5）</w:t>
      </w:r>
      <w:r>
        <w:rPr>
          <w:rFonts w:hint="eastAsia" w:ascii="仿宋_GB2312" w:hAnsi="黑体" w:eastAsia="仿宋_GB2312"/>
          <w:sz w:val="32"/>
          <w:szCs w:val="32"/>
        </w:rPr>
        <w:t>经济发展办公室（加挂统计所牌子）</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负责全镇经济发展、经济指标统计分析等工作；负责企业服务和引进、高新技术认定、项目扶持、人才服务和引进、知识产权保护等工作；负责全镇农业和农村经济发展工作；负责农村土地承包经营及承包经营合同管理，指导和监督农村集体资产管理工作；负责农民负担监督管理工作；</w:t>
      </w:r>
      <w:r>
        <w:rPr>
          <w:rFonts w:hint="eastAsia" w:ascii="仿宋_GB2312" w:eastAsia="仿宋_GB2312"/>
          <w:sz w:val="32"/>
          <w:szCs w:val="32"/>
        </w:rPr>
        <w:t>负责全镇预算内（外）资金、自筹资金的年度预决算编报、收支核算及各类上报工作，按镇财政预算核拨各类资金及镇机关的日常财务核算工作；负责属于审计监督范围财务收支情况的审计监督等工作；</w:t>
      </w:r>
      <w:r>
        <w:rPr>
          <w:rFonts w:hint="eastAsia" w:ascii="仿宋_GB2312" w:hAnsi="仿宋_GB2312" w:eastAsia="仿宋_GB2312" w:cs="仿宋_GB2312"/>
          <w:sz w:val="32"/>
          <w:szCs w:val="32"/>
        </w:rPr>
        <w:t>负责做好食品安全日常工作；依法管理、开展统计工作。</w:t>
      </w:r>
    </w:p>
    <w:p>
      <w:pPr>
        <w:spacing w:line="560" w:lineRule="exact"/>
        <w:ind w:firstLine="640" w:firstLineChars="200"/>
        <w:outlineLvl w:val="0"/>
        <w:rPr>
          <w:rFonts w:hint="eastAsia" w:ascii="仿宋_GB2312" w:hAnsi="黑体" w:eastAsia="仿宋_GB2312"/>
          <w:bCs/>
          <w:sz w:val="32"/>
          <w:szCs w:val="32"/>
        </w:rPr>
      </w:pPr>
      <w:r>
        <w:rPr>
          <w:rFonts w:hint="eastAsia" w:ascii="仿宋_GB2312" w:hAnsi="黑体" w:eastAsia="仿宋_GB2312"/>
          <w:sz w:val="32"/>
          <w:szCs w:val="32"/>
        </w:rPr>
        <w:t>（6）农业农村办公室</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负责</w:t>
      </w:r>
      <w:r>
        <w:rPr>
          <w:rFonts w:hint="eastAsia" w:ascii="仿宋_GB2312" w:eastAsia="仿宋_GB2312"/>
          <w:sz w:val="32"/>
          <w:szCs w:val="32"/>
        </w:rPr>
        <w:t>编制实施农业发展规划、</w:t>
      </w:r>
      <w:r>
        <w:rPr>
          <w:rFonts w:hint="eastAsia" w:ascii="仿宋_GB2312" w:hAnsi="仿宋_GB2312" w:eastAsia="仿宋_GB2312" w:cs="仿宋_GB2312"/>
          <w:sz w:val="32"/>
          <w:szCs w:val="32"/>
        </w:rPr>
        <w:t>美丽乡村建设、村级基础设施管护、煤改清洁能源、农业补贴等工作；</w:t>
      </w:r>
      <w:r>
        <w:rPr>
          <w:rFonts w:hint="eastAsia" w:ascii="仿宋_GB2312" w:eastAsia="仿宋_GB2312"/>
          <w:sz w:val="32"/>
          <w:szCs w:val="32"/>
        </w:rPr>
        <w:t>负责基本农田保护管理、农业机械化、农业技术推广、农业植物疫情、动物防疫、农产品监管和农民专业合作社等工作。</w:t>
      </w:r>
    </w:p>
    <w:p>
      <w:pPr>
        <w:spacing w:line="560" w:lineRule="exact"/>
        <w:ind w:firstLine="640" w:firstLineChars="200"/>
        <w:outlineLvl w:val="0"/>
        <w:rPr>
          <w:rFonts w:ascii="仿宋_GB2312" w:eastAsia="仿宋_GB2312"/>
          <w:bCs/>
          <w:sz w:val="32"/>
          <w:szCs w:val="32"/>
        </w:rPr>
      </w:pPr>
      <w:r>
        <w:rPr>
          <w:rFonts w:hint="eastAsia" w:ascii="仿宋_GB2312" w:hAnsi="黑体" w:eastAsia="仿宋_GB2312"/>
          <w:sz w:val="32"/>
          <w:szCs w:val="32"/>
        </w:rPr>
        <w:t>（7）社区建设和</w:t>
      </w:r>
      <w:r>
        <w:rPr>
          <w:rFonts w:hint="eastAsia" w:ascii="仿宋_GB2312" w:eastAsia="仿宋_GB2312"/>
          <w:sz w:val="32"/>
          <w:szCs w:val="32"/>
        </w:rPr>
        <w:t>民生保障</w:t>
      </w:r>
      <w:r>
        <w:rPr>
          <w:rFonts w:hint="eastAsia" w:ascii="仿宋_GB2312" w:hAnsi="黑体" w:eastAsia="仿宋_GB2312"/>
          <w:sz w:val="32"/>
          <w:szCs w:val="32"/>
        </w:rPr>
        <w:t>办公室</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负责推动基层民主政治建设和群众自治等工作；负责指导村（居）民委员会、村（居）务监督委员会、社区规范化建设、业主委员会工作；</w:t>
      </w:r>
      <w:r>
        <w:rPr>
          <w:rFonts w:hint="eastAsia" w:ascii="仿宋_GB2312" w:eastAsia="仿宋_GB2312" w:cs="仿宋_GB2312"/>
          <w:sz w:val="32"/>
          <w:szCs w:val="32"/>
        </w:rPr>
        <w:t>负责管理社会组织、社区工作者、社区志愿者工作；</w:t>
      </w:r>
      <w:r>
        <w:rPr>
          <w:rFonts w:hint="eastAsia" w:ascii="仿宋_GB2312" w:eastAsia="仿宋_GB2312"/>
          <w:sz w:val="32"/>
          <w:szCs w:val="32"/>
        </w:rPr>
        <w:t>协助做好未成年人保护、社区科普、全民健身、家庭教育、学前教育、义务教育实施等工作；协助做好公共文</w:t>
      </w:r>
      <w:r>
        <w:rPr>
          <w:rFonts w:hint="eastAsia" w:ascii="仿宋_GB2312" w:eastAsia="仿宋_GB2312"/>
          <w:color w:val="000000"/>
          <w:sz w:val="32"/>
          <w:szCs w:val="32"/>
        </w:rPr>
        <w:t>化设施建设；</w:t>
      </w:r>
      <w:r>
        <w:rPr>
          <w:rFonts w:hint="eastAsia" w:ascii="仿宋_GB2312" w:eastAsia="仿宋_GB2312" w:cs="仿宋_GB2312"/>
          <w:sz w:val="32"/>
          <w:szCs w:val="32"/>
        </w:rPr>
        <w:t>负责组织开展基层就业服务，协调劳动关系、调解劳动争议等与居民生活密切相关的服务保障工作；负责城市最低生活保障、低收入家</w:t>
      </w:r>
      <w:r>
        <w:rPr>
          <w:rFonts w:hint="eastAsia" w:ascii="仿宋_GB2312" w:eastAsia="仿宋_GB2312" w:cs="仿宋_GB2312"/>
          <w:color w:val="000000"/>
          <w:sz w:val="32"/>
          <w:szCs w:val="32"/>
        </w:rPr>
        <w:t>庭救助的受理调查工作；承担企业退休人员社会化管理等工作；按权限做好养老助残、社会保障、医疗保障、卫生计生、社会救助、拥军优属、伤残抚恤、丧葬补贴、住房保障、征收补偿、便民服务、政务服务等</w:t>
      </w:r>
      <w:r>
        <w:rPr>
          <w:rFonts w:hint="eastAsia" w:ascii="仿宋_GB2312" w:eastAsia="仿宋_GB2312" w:cs="仿宋_GB2312"/>
          <w:sz w:val="32"/>
          <w:szCs w:val="32"/>
        </w:rPr>
        <w:t>领域相关工作。</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pStyle w:val="3"/>
        <w:ind w:firstLine="640"/>
      </w:pPr>
      <w:r>
        <w:rPr>
          <w:rFonts w:hint="eastAsia" w:ascii="仿宋_GB2312" w:eastAsia="仿宋_GB2312"/>
          <w:sz w:val="32"/>
          <w:szCs w:val="32"/>
        </w:rPr>
        <w:t>北京市通州区永乐店镇人民政府部门行政编制94人，实际78人；事业编制72人，实际58人。</w:t>
      </w:r>
    </w:p>
    <w:p>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2023年度收、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118472.31</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rPr>
        <w:t>（减少</w:t>
      </w:r>
      <w:r>
        <w:rPr>
          <w:rFonts w:ascii="仿宋_GB2312" w:eastAsia="仿宋_GB2312"/>
          <w:sz w:val="28"/>
          <w:szCs w:val="28"/>
        </w:rPr>
        <w:t>）</w:t>
      </w:r>
      <w:r>
        <w:rPr>
          <w:rFonts w:hint="eastAsia" w:ascii="仿宋_GB2312" w:hAnsi="仿宋" w:eastAsia="仿宋_GB2312"/>
          <w:sz w:val="32"/>
          <w:szCs w:val="32"/>
        </w:rPr>
        <w:t>38931.07</w:t>
      </w:r>
      <w:r>
        <w:rPr>
          <w:rFonts w:hint="eastAsia" w:ascii="仿宋_GB2312" w:eastAsia="仿宋_GB2312"/>
          <w:sz w:val="28"/>
          <w:szCs w:val="28"/>
        </w:rPr>
        <w:t>万元，增长（下降</w:t>
      </w:r>
      <w:r>
        <w:rPr>
          <w:rFonts w:ascii="仿宋_GB2312" w:eastAsia="仿宋_GB2312"/>
          <w:sz w:val="28"/>
          <w:szCs w:val="28"/>
        </w:rPr>
        <w:t>）</w:t>
      </w:r>
      <w:r>
        <w:rPr>
          <w:rFonts w:hint="eastAsia" w:ascii="仿宋_GB2312" w:hAnsi="仿宋" w:eastAsia="仿宋_GB2312"/>
          <w:sz w:val="32"/>
          <w:szCs w:val="32"/>
        </w:rPr>
        <w:t>48.94</w:t>
      </w:r>
      <w:r>
        <w:rPr>
          <w:rFonts w:hint="eastAsia" w:ascii="仿宋_GB2312" w:eastAsia="仿宋_GB2312"/>
          <w:sz w:val="28"/>
          <w:szCs w:val="28"/>
        </w:rPr>
        <w:t>%。</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2023年度本年收入合计</w:t>
      </w:r>
      <w:r>
        <w:rPr>
          <w:rFonts w:ascii="仿宋_GB2312" w:eastAsia="仿宋_GB2312"/>
          <w:sz w:val="28"/>
          <w:szCs w:val="28"/>
        </w:rPr>
        <w:t>118472.31</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rPr>
        <w:t>（减少</w:t>
      </w:r>
      <w:r>
        <w:rPr>
          <w:rFonts w:ascii="仿宋_GB2312" w:eastAsia="仿宋_GB2312"/>
          <w:sz w:val="28"/>
          <w:szCs w:val="28"/>
        </w:rPr>
        <w:t>）</w:t>
      </w:r>
      <w:r>
        <w:rPr>
          <w:rFonts w:hint="eastAsia" w:ascii="仿宋_GB2312" w:eastAsia="仿宋_GB2312"/>
          <w:sz w:val="28"/>
          <w:szCs w:val="28"/>
        </w:rPr>
        <w:t>38931.07万元，增长（下降</w:t>
      </w:r>
      <w:r>
        <w:rPr>
          <w:rFonts w:ascii="仿宋_GB2312" w:eastAsia="仿宋_GB2312"/>
          <w:sz w:val="28"/>
          <w:szCs w:val="28"/>
        </w:rPr>
        <w:t>）</w:t>
      </w:r>
      <w:r>
        <w:rPr>
          <w:rFonts w:hint="eastAsia" w:ascii="仿宋_GB2312" w:hAnsi="仿宋" w:eastAsia="仿宋_GB2312"/>
          <w:sz w:val="32"/>
          <w:szCs w:val="32"/>
        </w:rPr>
        <w:t>48.94</w:t>
      </w:r>
      <w:r>
        <w:rPr>
          <w:rFonts w:hint="eastAsia" w:ascii="仿宋_GB2312" w:eastAsia="仿宋_GB2312"/>
          <w:sz w:val="28"/>
          <w:szCs w:val="28"/>
        </w:rPr>
        <w:t>%。</w:t>
      </w:r>
    </w:p>
    <w:p>
      <w:pPr>
        <w:tabs>
          <w:tab w:val="center" w:pos="6979"/>
        </w:tabs>
        <w:spacing w:line="580" w:lineRule="exact"/>
        <w:ind w:firstLine="560" w:firstLineChars="200"/>
      </w:pPr>
      <w:r>
        <w:rPr>
          <w:rFonts w:hint="eastAsia" w:ascii="仿宋_GB2312" w:eastAsia="仿宋_GB2312"/>
          <w:sz w:val="28"/>
          <w:szCs w:val="28"/>
        </w:rPr>
        <w:t>1.财政拨款收入</w:t>
      </w:r>
      <w:r>
        <w:rPr>
          <w:rFonts w:ascii="仿宋_GB2312" w:eastAsia="仿宋_GB2312"/>
          <w:sz w:val="28"/>
          <w:szCs w:val="28"/>
        </w:rPr>
        <w:t>118472.31</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110814.62</w:t>
      </w:r>
      <w:r>
        <w:rPr>
          <w:rFonts w:hint="eastAsia" w:ascii="仿宋_GB2312" w:eastAsia="仿宋_GB2312"/>
          <w:sz w:val="28"/>
          <w:szCs w:val="28"/>
        </w:rPr>
        <w:t>万元，占收入合计的</w:t>
      </w:r>
      <w:r>
        <w:rPr>
          <w:rFonts w:ascii="仿宋_GB2312" w:eastAsia="仿宋_GB2312"/>
          <w:sz w:val="28"/>
          <w:szCs w:val="28"/>
        </w:rPr>
        <w:t>93.53</w:t>
      </w:r>
      <w:r>
        <w:rPr>
          <w:rFonts w:hint="eastAsia" w:ascii="仿宋_GB2312" w:eastAsia="仿宋_GB2312"/>
          <w:sz w:val="28"/>
          <w:szCs w:val="28"/>
        </w:rPr>
        <w:t>%；政府性基金预算财政拨款收入</w:t>
      </w:r>
      <w:r>
        <w:rPr>
          <w:rFonts w:ascii="仿宋_GB2312" w:eastAsia="仿宋_GB2312"/>
          <w:sz w:val="28"/>
          <w:szCs w:val="28"/>
        </w:rPr>
        <w:t>7657.69</w:t>
      </w:r>
      <w:r>
        <w:rPr>
          <w:rFonts w:hint="eastAsia" w:ascii="仿宋_GB2312" w:eastAsia="仿宋_GB2312"/>
          <w:sz w:val="28"/>
          <w:szCs w:val="28"/>
        </w:rPr>
        <w:t>万元，占收入合计的</w:t>
      </w:r>
      <w:r>
        <w:rPr>
          <w:rFonts w:ascii="仿宋_GB2312" w:eastAsia="仿宋_GB2312"/>
          <w:sz w:val="28"/>
          <w:szCs w:val="28"/>
        </w:rPr>
        <w:t>6.46</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spacing w:line="560" w:lineRule="exact"/>
        <w:ind w:firstLine="640"/>
        <w:rPr>
          <w:rFonts w:ascii="仿宋_GB2312" w:eastAsia="仿宋_GB2312" w:cs="Droid Sans"/>
          <w:color w:val="000000"/>
          <w:sz w:val="32"/>
          <w:szCs w:val="32"/>
        </w:rPr>
      </w:pPr>
      <w:r>
        <w:rPr>
          <w:rFonts w:hint="eastAsia" w:ascii="仿宋_GB2312" w:eastAsia="仿宋_GB2312" w:cs="Droid Sans"/>
          <w:color w:val="000000"/>
          <w:sz w:val="32"/>
          <w:szCs w:val="32"/>
        </w:rPr>
        <w:t>（此处插入图表，用上述收入金额制作饼状图，示例如下，无金额类型不必制图）</w:t>
      </w:r>
    </w:p>
    <w:p>
      <w:pPr>
        <w:pStyle w:val="2"/>
        <w:jc w:val="center"/>
      </w:pPr>
      <w:r>
        <w:rPr>
          <w:rFonts w:hint="eastAsia" w:ascii="仿宋_GB2312" w:eastAsia="仿宋_GB2312"/>
          <w:color w:val="000000"/>
          <w:sz w:val="32"/>
        </w:rPr>
        <w:t>图1：收入决算</w:t>
      </w:r>
    </w:p>
    <w:p>
      <w:pPr>
        <w:pStyle w:val="3"/>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2023年度本年支出合计</w:t>
      </w:r>
      <w:r>
        <w:rPr>
          <w:rFonts w:ascii="仿宋_GB2312" w:eastAsia="仿宋_GB2312"/>
          <w:sz w:val="28"/>
          <w:szCs w:val="28"/>
        </w:rPr>
        <w:t>118472.31</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rPr>
        <w:t>（减少</w:t>
      </w:r>
      <w:r>
        <w:rPr>
          <w:rFonts w:ascii="仿宋_GB2312" w:eastAsia="仿宋_GB2312"/>
          <w:sz w:val="28"/>
          <w:szCs w:val="28"/>
        </w:rPr>
        <w:t>）</w:t>
      </w:r>
      <w:r>
        <w:rPr>
          <w:rFonts w:hint="eastAsia" w:ascii="仿宋_GB2312" w:eastAsia="仿宋_GB2312"/>
          <w:sz w:val="28"/>
          <w:szCs w:val="28"/>
        </w:rPr>
        <w:t>38931.07万元，增长（下降</w:t>
      </w:r>
      <w:r>
        <w:rPr>
          <w:rFonts w:ascii="仿宋_GB2312" w:eastAsia="仿宋_GB2312"/>
          <w:sz w:val="28"/>
          <w:szCs w:val="28"/>
        </w:rPr>
        <w:t>）</w:t>
      </w:r>
      <w:r>
        <w:rPr>
          <w:rFonts w:hint="eastAsia" w:ascii="仿宋_GB2312" w:eastAsia="仿宋_GB2312"/>
          <w:sz w:val="28"/>
          <w:szCs w:val="28"/>
        </w:rPr>
        <w:t>48.94%，其中：基本支出</w:t>
      </w:r>
      <w:r>
        <w:rPr>
          <w:rFonts w:ascii="仿宋_GB2312" w:eastAsia="仿宋_GB2312"/>
          <w:sz w:val="28"/>
          <w:szCs w:val="28"/>
        </w:rPr>
        <w:t>5656.95</w:t>
      </w:r>
      <w:r>
        <w:rPr>
          <w:rFonts w:hint="eastAsia" w:ascii="仿宋_GB2312" w:eastAsia="仿宋_GB2312"/>
          <w:sz w:val="28"/>
          <w:szCs w:val="28"/>
        </w:rPr>
        <w:t>万元，占支出合计的</w:t>
      </w:r>
      <w:r>
        <w:rPr>
          <w:rFonts w:ascii="仿宋_GB2312" w:eastAsia="仿宋_GB2312"/>
          <w:sz w:val="28"/>
          <w:szCs w:val="28"/>
        </w:rPr>
        <w:t>4.77</w:t>
      </w:r>
      <w:r>
        <w:rPr>
          <w:rFonts w:hint="eastAsia" w:ascii="仿宋_GB2312" w:eastAsia="仿宋_GB2312"/>
          <w:sz w:val="28"/>
          <w:szCs w:val="28"/>
        </w:rPr>
        <w:t>%；项目支出</w:t>
      </w:r>
      <w:r>
        <w:rPr>
          <w:rFonts w:ascii="仿宋_GB2312" w:eastAsia="仿宋_GB2312"/>
          <w:sz w:val="28"/>
          <w:szCs w:val="28"/>
        </w:rPr>
        <w:t>112815.35</w:t>
      </w:r>
      <w:r>
        <w:rPr>
          <w:rFonts w:hint="eastAsia" w:ascii="仿宋_GB2312" w:eastAsia="仿宋_GB2312"/>
          <w:sz w:val="28"/>
          <w:szCs w:val="28"/>
        </w:rPr>
        <w:t>万元，占支出合计的</w:t>
      </w:r>
      <w:r>
        <w:rPr>
          <w:rFonts w:ascii="仿宋_GB2312" w:eastAsia="仿宋_GB2312"/>
          <w:sz w:val="28"/>
          <w:szCs w:val="28"/>
        </w:rPr>
        <w:t>95.22</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spacing w:line="560" w:lineRule="exact"/>
        <w:ind w:firstLine="640"/>
        <w:rPr>
          <w:rFonts w:ascii="仿宋_GB2312" w:eastAsia="仿宋_GB2312" w:cs="Droid Sans"/>
          <w:color w:val="000000"/>
          <w:sz w:val="32"/>
          <w:szCs w:val="32"/>
        </w:rPr>
      </w:pPr>
      <w:r>
        <w:rPr>
          <w:rFonts w:hint="eastAsia" w:ascii="仿宋_GB2312" w:eastAsia="仿宋_GB2312" w:cs="Droid Sans"/>
          <w:color w:val="000000"/>
          <w:sz w:val="32"/>
          <w:szCs w:val="32"/>
        </w:rPr>
        <w:t>（此处插入图表，用上述支出金额制作饼状图，示例如下，无金额类型不必制图）</w:t>
      </w:r>
    </w:p>
    <w:p>
      <w:pPr>
        <w:pStyle w:val="2"/>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810125" cy="2743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810125" cy="2743200"/>
                    </a:xfrm>
                    <a:prstGeom prst="rect">
                      <a:avLst/>
                    </a:prstGeom>
                    <a:noFill/>
                    <a:ln>
                      <a:noFill/>
                    </a:ln>
                  </pic:spPr>
                </pic:pic>
              </a:graphicData>
            </a:graphic>
          </wp:inline>
        </w:drawing>
      </w:r>
    </w:p>
    <w:p>
      <w:pPr>
        <w:tabs>
          <w:tab w:val="center" w:pos="6979"/>
        </w:tabs>
        <w:spacing w:line="580" w:lineRule="exact"/>
        <w:ind w:firstLine="551"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pStyle w:val="4"/>
        <w:ind w:firstLine="840" w:firstLineChars="300"/>
        <w:rPr>
          <w:rFonts w:hint="eastAsia" w:ascii="仿宋_GB2312" w:hAnsi="仿宋" w:eastAsia="仿宋_GB2312"/>
          <w:sz w:val="32"/>
          <w:szCs w:val="32"/>
        </w:rPr>
      </w:pPr>
      <w:r>
        <w:rPr>
          <w:rFonts w:hint="eastAsia" w:ascii="仿宋_GB2312" w:eastAsia="仿宋_GB2312"/>
          <w:sz w:val="28"/>
          <w:szCs w:val="28"/>
        </w:rPr>
        <w:t>2023年度财政拨款收、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118472.31</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rPr>
        <w:t>（减少</w:t>
      </w:r>
      <w:r>
        <w:rPr>
          <w:rFonts w:ascii="仿宋_GB2312" w:eastAsia="仿宋_GB2312"/>
          <w:sz w:val="28"/>
          <w:szCs w:val="28"/>
        </w:rPr>
        <w:t>）</w:t>
      </w:r>
      <w:r>
        <w:rPr>
          <w:rFonts w:hint="eastAsia" w:ascii="仿宋_GB2312" w:eastAsia="仿宋_GB2312"/>
          <w:sz w:val="28"/>
          <w:szCs w:val="28"/>
        </w:rPr>
        <w:t>38931.07万元，增长（下降</w:t>
      </w:r>
      <w:r>
        <w:rPr>
          <w:rFonts w:ascii="仿宋_GB2312" w:eastAsia="仿宋_GB2312"/>
          <w:sz w:val="28"/>
          <w:szCs w:val="28"/>
        </w:rPr>
        <w:t>）</w:t>
      </w:r>
      <w:r>
        <w:rPr>
          <w:rFonts w:hint="eastAsia" w:ascii="仿宋_GB2312" w:eastAsia="仿宋_GB2312"/>
          <w:sz w:val="28"/>
          <w:szCs w:val="28"/>
        </w:rPr>
        <w:t>48.94%。主要原因：</w:t>
      </w:r>
      <w:r>
        <w:rPr>
          <w:rFonts w:hint="eastAsia" w:ascii="仿宋_GB2312" w:hAnsi="仿宋" w:eastAsia="仿宋_GB2312"/>
          <w:sz w:val="32"/>
          <w:szCs w:val="32"/>
        </w:rPr>
        <w:t>本年收入部分专项资金增加，其中：美丽乡村建设项目27211179.98元，2023年村干部基本待遇和基本保障经费10668969.00元，通州区落实耕地保护空间368642860.91元。</w:t>
      </w:r>
    </w:p>
    <w:p>
      <w:pPr>
        <w:pStyle w:val="4"/>
        <w:rPr>
          <w:rFonts w:ascii="黑体" w:eastAsia="黑体"/>
          <w:b/>
          <w:sz w:val="28"/>
          <w:szCs w:val="28"/>
        </w:rPr>
      </w:pPr>
      <w:r>
        <w:rPr>
          <w:rFonts w:hint="eastAsia" w:ascii="黑体" w:eastAsia="黑体"/>
          <w:b/>
          <w:sz w:val="28"/>
          <w:szCs w:val="28"/>
        </w:rPr>
        <w:t>四、一般公共预算财政拨款支出决算情况说明</w:t>
      </w:r>
    </w:p>
    <w:p>
      <w:pPr>
        <w:pStyle w:val="4"/>
        <w:rPr>
          <w:rFonts w:ascii="仿宋_GB2312" w:eastAsia="仿宋_GB2312"/>
          <w:sz w:val="28"/>
          <w:szCs w:val="28"/>
        </w:rPr>
      </w:pPr>
      <w:bookmarkStart w:id="0" w:name="_Hlk176463470"/>
      <w:r>
        <w:rPr>
          <w:rFonts w:hint="eastAsia" w:ascii="仿宋_GB2312" w:eastAsia="仿宋_GB2312"/>
          <w:sz w:val="28"/>
          <w:szCs w:val="28"/>
        </w:rPr>
        <w:t>（一）一般公共预算财政拨款支出决算总体情况</w:t>
      </w:r>
    </w:p>
    <w:p>
      <w:pPr>
        <w:pStyle w:val="22"/>
        <w:widowControl/>
        <w:spacing w:beforeAutospacing="0"/>
        <w:rPr>
          <w:rFonts w:ascii="仿宋_GB2312" w:eastAsia="仿宋_GB2312" w:cs="宋体"/>
          <w:sz w:val="28"/>
          <w:szCs w:val="28"/>
        </w:rPr>
      </w:pPr>
      <w:r>
        <w:rPr>
          <w:rFonts w:ascii="仿宋_GB2312" w:eastAsia="仿宋_GB2312" w:cs="宋体"/>
          <w:sz w:val="28"/>
          <w:szCs w:val="28"/>
        </w:rPr>
        <w:t>2023年度一般公共预算财政拨款支出110814.62万元，主要用于以下方面（按大类）：</w:t>
      </w:r>
    </w:p>
    <w:p>
      <w:pPr>
        <w:pStyle w:val="22"/>
        <w:widowControl/>
        <w:spacing w:beforeAutospacing="0"/>
        <w:ind w:firstLine="280" w:firstLineChars="100"/>
        <w:rPr>
          <w:rFonts w:ascii="仿宋_GB2312" w:eastAsia="仿宋_GB2312" w:cs="宋体"/>
          <w:sz w:val="28"/>
          <w:szCs w:val="28"/>
        </w:rPr>
      </w:pPr>
      <w:r>
        <w:rPr>
          <w:rFonts w:ascii="仿宋_GB2312" w:eastAsia="仿宋_GB2312" w:cs="宋体"/>
          <w:sz w:val="28"/>
          <w:szCs w:val="28"/>
        </w:rPr>
        <w:t>一般公共服务支出16963.353132万元，占本年财政拨款支出14.32%；</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公共安全支出6595.33301万元，占本年财政拨款支出5.57%；</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教育支出839.2772万元，占本年财政拨款支出0.71%；</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文化旅游体育与传媒支出280.297224万元，占本年财政拨款支出0.24%；</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社会保障和就业支出1548.258247万元，占本年财政拨款支出1.31%；</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卫生健康支出576.885860万元，占本年财政拨款支出0.49%；</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节能环保支出1449.839551万元，占本年财政拨款支出1.22%；</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城乡社区支出8900.321819万元，占本年财政拨款支出7.51%；</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农林水支出71243.281896万元，占本年财政拨款支出60.13%；</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住房保障支出615.400998万元，占本年财政拨款支出0.52%；</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其他支出1802.372550万元，占本年财政拨款支出1.52%；</w:t>
      </w:r>
    </w:p>
    <w:p>
      <w:pPr>
        <w:autoSpaceDE w:val="0"/>
        <w:autoSpaceDN w:val="0"/>
        <w:adjustRightInd w:val="0"/>
        <w:spacing w:line="58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（二）一般公共预算财政拨款支出决算具体情况</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1、“一般公共服务支出”（类）2023年度决算16963.353132万元，比2023年年初预算增加（减少）16963.353132万元，增长（下降）14.32%。其中：</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“人大事务”（款，下同）2023年度决算113.378082万元，比2023年年初预算增加（减少）113.378082万元，增长（下降）0.10%。主要原因：</w:t>
      </w:r>
      <w:r>
        <w:rPr>
          <w:rFonts w:hint="eastAsia" w:ascii="仿宋_GB2312" w:eastAsia="仿宋_GB2312" w:cs="宋体"/>
          <w:sz w:val="28"/>
          <w:szCs w:val="28"/>
          <w:lang w:val="en-US" w:eastAsia="zh-CN"/>
        </w:rPr>
        <w:t>本年度新增人大履职书屋支出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“政府办公厅（室）及相关机构事务”（款，下同）2023年度决算10792.663114万元，比2023年年初预算增加（减少）10792.663114万元，增长（下降）9.11%。主要原因：</w:t>
      </w:r>
      <w:r>
        <w:rPr>
          <w:rFonts w:hint="eastAsia" w:ascii="仿宋_GB2312" w:eastAsia="仿宋_GB2312" w:cs="宋体"/>
          <w:sz w:val="28"/>
          <w:szCs w:val="28"/>
          <w:lang w:val="en-US" w:eastAsia="zh-CN"/>
        </w:rPr>
        <w:t>本年度新增一般行政管理事务支出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“统计信息事务”（款，下同）2023年度决算25.984530万元，比2023年年初预算增加（减少）25.984530万元，增长（下降）0.02%。主要原因：本年度新增</w:t>
      </w:r>
      <w:r>
        <w:rPr>
          <w:rFonts w:hint="eastAsia" w:ascii="仿宋_GB2312" w:eastAsia="仿宋_GB2312" w:cs="宋体"/>
          <w:sz w:val="28"/>
          <w:szCs w:val="28"/>
          <w:lang w:val="en-US" w:eastAsia="zh-CN"/>
        </w:rPr>
        <w:t>统计事务经费</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“审计事务”（款，下同）2023年度决算45.000000万元，比2023年年初预算增加（减少）45.000000万元，增长（下降）0.00%。主要原因：</w:t>
      </w:r>
      <w:r>
        <w:rPr>
          <w:rFonts w:hint="eastAsia" w:ascii="仿宋_GB2312" w:eastAsia="仿宋_GB2312" w:cs="宋体"/>
          <w:sz w:val="28"/>
          <w:szCs w:val="28"/>
          <w:lang w:val="en-US" w:eastAsia="zh-CN"/>
        </w:rPr>
        <w:t>本年度新增统计事务支出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“群众团体事务”（款，下同）2023年度决算117.640184万元，比2023年年初预算增加（减少）117.640184万元，增长（下降）0.00%。主要原因：</w:t>
      </w:r>
      <w:r>
        <w:rPr>
          <w:rFonts w:hint="eastAsia" w:ascii="仿宋_GB2312" w:eastAsia="仿宋_GB2312" w:cs="宋体"/>
          <w:sz w:val="28"/>
          <w:szCs w:val="28"/>
          <w:lang w:val="en-US" w:eastAsia="zh-CN"/>
        </w:rPr>
        <w:t>本年度新增工会事务</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“党委办公厅（室）及相关机构事务”（款，下同）2023年度决算205.000000万元，比2023年年初预算增加（减少）205.000000万元，增长（下降）0.00%。主要原因：</w:t>
      </w:r>
      <w:r>
        <w:rPr>
          <w:rFonts w:hint="eastAsia" w:ascii="仿宋_GB2312" w:eastAsia="仿宋_GB2312" w:cs="宋体"/>
          <w:sz w:val="28"/>
          <w:szCs w:val="28"/>
          <w:lang w:val="en-US" w:eastAsia="zh-CN"/>
        </w:rPr>
        <w:t>本年度新增一般公共管理事务支出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“组织事务”（款，下同）2023年度决算2607.242726万元，比2023年年初预算增加（减少2607.242726万元，增长（下降）0.00%。主要原因：本年度新增</w:t>
      </w:r>
      <w:r>
        <w:rPr>
          <w:rFonts w:hint="eastAsia" w:ascii="仿宋_GB2312" w:eastAsia="仿宋_GB2312" w:cs="宋体"/>
          <w:sz w:val="28"/>
          <w:szCs w:val="28"/>
          <w:lang w:val="en-US" w:eastAsia="zh-CN"/>
        </w:rPr>
        <w:t>组织事务支出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“宣传事务”（款，下同）2023年度决算121.945880万元，比2023年年初预算增加（减少）121.945880万元，增长（下降）0.00%。主要原因：本年度新增</w:t>
      </w:r>
      <w:r>
        <w:rPr>
          <w:rFonts w:hint="eastAsia" w:ascii="仿宋_GB2312" w:eastAsia="仿宋_GB2312" w:cs="宋体"/>
          <w:sz w:val="28"/>
          <w:szCs w:val="28"/>
          <w:lang w:val="en-US" w:eastAsia="zh-CN"/>
        </w:rPr>
        <w:t>宣传事务支出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“其他共产党事务支出”（款，下同）2023年度决算2934.498616万元，比2023年年初预算增加（减少）2934.498616万元，增长（下降）2.48%。主要原因：本年度新增</w:t>
      </w:r>
      <w:r>
        <w:rPr>
          <w:rFonts w:hint="eastAsia" w:ascii="仿宋_GB2312" w:eastAsia="仿宋_GB2312" w:cs="宋体"/>
          <w:sz w:val="28"/>
          <w:szCs w:val="28"/>
          <w:lang w:val="en-US" w:eastAsia="zh-CN"/>
        </w:rPr>
        <w:t>村集体支出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2、“公共安全支出”（类）2023年度决算6595.333010万元，比2023年年初预算增加（减少）6595.333010万元，增长（下降）5.57%。其中：</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“公安”（款，下同）2023年度决算15.000000万元，比2023年年初预算增加（减少）15.000000万元，增长（下降）0.00%。主要原因：</w:t>
      </w:r>
      <w:r>
        <w:rPr>
          <w:rFonts w:hint="eastAsia" w:ascii="仿宋_GB2312" w:eastAsia="仿宋_GB2312" w:cs="宋体"/>
          <w:sz w:val="28"/>
          <w:szCs w:val="28"/>
          <w:lang w:val="en-US" w:eastAsia="zh-CN"/>
        </w:rPr>
        <w:t>本年度新增公安支出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“法院”（款，下同）2023年度决算5814.000000万元，比2023年年初预算增加（减少）5814.000000万元，增长（下降）0.00%。主要原因：本年度新增</w:t>
      </w:r>
      <w:r>
        <w:rPr>
          <w:rFonts w:hint="eastAsia" w:ascii="仿宋_GB2312" w:eastAsia="仿宋_GB2312" w:cs="宋体"/>
          <w:sz w:val="28"/>
          <w:szCs w:val="28"/>
          <w:lang w:val="en-US" w:eastAsia="zh-CN"/>
        </w:rPr>
        <w:t>法院相关业务支出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“司法”（款，下同）2023年度决算63.162750万元，比2023年年初预算增加（减少）63.162750万元，增长（下降）0.00%。主要原因：</w:t>
      </w:r>
      <w:r>
        <w:rPr>
          <w:rFonts w:hint="eastAsia" w:ascii="仿宋_GB2312" w:eastAsia="仿宋_GB2312" w:cs="宋体"/>
          <w:sz w:val="28"/>
          <w:szCs w:val="28"/>
          <w:lang w:val="en-US" w:eastAsia="zh-CN"/>
        </w:rPr>
        <w:t>本年度新增司法业务支出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“其他公共安全支出”（款，下同）2023年度决算521.659660万元，比2023年年初预算增加（减少）521.659660万元，增长（下降）0.00%。主要原因：</w:t>
      </w:r>
      <w:r>
        <w:rPr>
          <w:rFonts w:hint="eastAsia" w:ascii="仿宋_GB2312" w:eastAsia="仿宋_GB2312" w:cs="宋体"/>
          <w:sz w:val="28"/>
          <w:szCs w:val="28"/>
          <w:lang w:val="en-US" w:eastAsia="zh-CN"/>
        </w:rPr>
        <w:t>本年度新增保障公共安全事务支出</w:t>
      </w:r>
      <w:r>
        <w:rPr>
          <w:rFonts w:ascii="仿宋_GB2312" w:eastAsia="仿宋_GB2312" w:cs="宋体"/>
          <w:sz w:val="28"/>
          <w:szCs w:val="28"/>
        </w:rPr>
        <w:t>。</w:t>
      </w:r>
    </w:p>
    <w:p>
      <w:pPr>
        <w:pStyle w:val="22"/>
        <w:widowControl/>
        <w:spacing w:beforeAutospacing="0"/>
        <w:ind w:left="280"/>
        <w:rPr>
          <w:rFonts w:ascii="仿宋_GB2312" w:eastAsia="仿宋_GB2312" w:cs="宋体"/>
          <w:sz w:val="28"/>
          <w:szCs w:val="28"/>
        </w:rPr>
      </w:pPr>
      <w:r>
        <w:rPr>
          <w:rFonts w:ascii="仿宋_GB2312" w:eastAsia="仿宋_GB2312" w:cs="宋体"/>
          <w:sz w:val="28"/>
          <w:szCs w:val="28"/>
        </w:rPr>
        <w:t>3.“教育支出”（类）2023年度决算1,276.512800万元，比2023年年初预算增加（减少）1,276.512800万元，增长（下降）0.00%。其中：</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“普通教育”（款，下同）2023年度决算793.277200万元，比2023年年初预算增加（减少）793.277200万元，增长（下降）0.67%。主要原因：本年度新增</w:t>
      </w:r>
      <w:r>
        <w:rPr>
          <w:rFonts w:hint="eastAsia" w:ascii="仿宋_GB2312" w:eastAsia="仿宋_GB2312" w:cs="宋体"/>
          <w:sz w:val="28"/>
          <w:szCs w:val="28"/>
          <w:lang w:val="en-US" w:eastAsia="zh-CN"/>
        </w:rPr>
        <w:t>村办园事务支出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“其他教育支出”（款，下同）2023年度决算46.000000万元，比2023年年初预算增加（减少）46.000000万元，增长（下降）0.04%。主要原因：</w:t>
      </w:r>
      <w:r>
        <w:rPr>
          <w:rFonts w:hint="eastAsia" w:ascii="仿宋_GB2312" w:eastAsia="仿宋_GB2312" w:cs="宋体"/>
          <w:sz w:val="28"/>
          <w:szCs w:val="28"/>
          <w:lang w:val="en-US" w:eastAsia="zh-CN"/>
        </w:rPr>
        <w:t>本年度新增教育相关业务支出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4、“文化旅游体育与传媒支出”（类）2023年度决算280.297224万元，比2023年年初预算增加（减少）280.297224万元，增长（下降）0.24%。其中：</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“文化和旅游”（款，下同）2023年度决算267.797224万元，比2023年年初预算增加（减少）267.797224万元，增长（下降）0.03%。主要原因：本年度新增</w:t>
      </w:r>
      <w:r>
        <w:rPr>
          <w:rFonts w:hint="eastAsia" w:ascii="仿宋_GB2312" w:eastAsia="仿宋_GB2312" w:cs="宋体"/>
          <w:sz w:val="28"/>
          <w:szCs w:val="28"/>
          <w:lang w:val="en-US" w:eastAsia="zh-CN"/>
        </w:rPr>
        <w:t>文化业务相关支出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“体育”（款，下同）2023年度决算12.500000万元，比2023年年初预算增加（减少）12.500000万元，增长（下降）0.01%。主要原因：本年度新增</w:t>
      </w:r>
      <w:r>
        <w:rPr>
          <w:rFonts w:hint="eastAsia" w:ascii="仿宋_GB2312" w:eastAsia="仿宋_GB2312" w:cs="宋体"/>
          <w:sz w:val="28"/>
          <w:szCs w:val="28"/>
          <w:lang w:val="en-US" w:eastAsia="zh-CN"/>
        </w:rPr>
        <w:t>体育特色乡镇支出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5、“社会保障和就业支出”（类）2023年度决算1548.258247万元，比2023年年初预算增加（减少）1548.258247万元，增长（下降）1.31%。其中：</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“人力资源和社会保障管理事务”（款，下同）2023年度决算506.586527万元，比2023年年初预算增加（减少）506.586527万元，增长（下降）0.43%。主要原因：</w:t>
      </w:r>
      <w:r>
        <w:rPr>
          <w:rFonts w:hint="eastAsia" w:ascii="仿宋_GB2312" w:eastAsia="仿宋_GB2312" w:cs="宋体"/>
          <w:sz w:val="28"/>
          <w:szCs w:val="28"/>
          <w:lang w:val="en-US" w:eastAsia="zh-CN"/>
        </w:rPr>
        <w:t>本年度新增社会保障事务支出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“民政管理事务”（款，下同）2023年度决算21.437720万元，比2023年年初预算增加（减少）21.437720万元，增长（下降）0.02%。主</w:t>
      </w:r>
      <w:r>
        <w:rPr>
          <w:rFonts w:ascii="仿宋_GB2312" w:eastAsia="仿宋_GB2312" w:cs="宋体"/>
          <w:color w:val="000000" w:themeColor="text1"/>
          <w:sz w:val="28"/>
          <w:szCs w:val="28"/>
          <w14:textFill>
            <w14:solidFill>
              <w14:schemeClr w14:val="tx1"/>
            </w14:solidFill>
          </w14:textFill>
        </w:rPr>
        <w:t>要原因：</w:t>
      </w:r>
      <w:r>
        <w:rPr>
          <w:rFonts w:hint="eastAsia" w:ascii="仿宋_GB2312" w:eastAsia="仿宋_GB2312" w:cs="宋体"/>
          <w:color w:val="000000" w:themeColor="text1"/>
          <w:sz w:val="28"/>
          <w:szCs w:val="28"/>
          <w:lang w:val="en-US" w:eastAsia="zh-CN"/>
          <w14:textFill>
            <w14:solidFill>
              <w14:schemeClr w14:val="tx1"/>
            </w14:solidFill>
          </w14:textFill>
        </w:rPr>
        <w:t>本年度新增保民生等事务支出</w:t>
      </w:r>
      <w:r>
        <w:rPr>
          <w:rFonts w:ascii="仿宋_GB2312" w:eastAsia="仿宋_GB2312" w:cs="宋体"/>
          <w:color w:val="000000" w:themeColor="text1"/>
          <w:sz w:val="28"/>
          <w:szCs w:val="28"/>
          <w14:textFill>
            <w14:solidFill>
              <w14:schemeClr w14:val="tx1"/>
            </w14:solidFill>
          </w14:textFill>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“社会福利”（款，下同）2023年度决算1010.2340万元，比2023年年初预算增加（减少）1010.2340万元，增长（下降）0.85%。主要原因：</w:t>
      </w:r>
      <w:r>
        <w:rPr>
          <w:rFonts w:hint="eastAsia" w:ascii="仿宋_GB2312" w:eastAsia="仿宋_GB2312" w:cs="宋体"/>
          <w:color w:val="000000" w:themeColor="text1"/>
          <w:sz w:val="28"/>
          <w:szCs w:val="28"/>
          <w:lang w:val="en-US" w:eastAsia="zh-CN"/>
          <w14:textFill>
            <w14:solidFill>
              <w14:schemeClr w14:val="tx1"/>
            </w14:solidFill>
          </w14:textFill>
        </w:rPr>
        <w:t>本年度新增其他社会福利支出</w:t>
      </w:r>
      <w:r>
        <w:rPr>
          <w:rFonts w:ascii="仿宋_GB2312" w:eastAsia="仿宋_GB2312" w:cs="宋体"/>
          <w:color w:val="000000" w:themeColor="text1"/>
          <w:sz w:val="28"/>
          <w:szCs w:val="28"/>
          <w14:textFill>
            <w14:solidFill>
              <w14:schemeClr w14:val="tx1"/>
            </w14:solidFill>
          </w14:textFill>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“残疾人事业”（款，下同）2023年度决算10.000000万元，比2023年年初预算增加（减少）10.000000万元，增长（下降）0.01%。主要原因：本年度新增</w:t>
      </w:r>
      <w:r>
        <w:rPr>
          <w:rFonts w:hint="eastAsia" w:ascii="仿宋_GB2312" w:eastAsia="仿宋_GB2312" w:cs="宋体"/>
          <w:sz w:val="28"/>
          <w:szCs w:val="28"/>
          <w:lang w:val="en-US" w:eastAsia="zh-CN"/>
        </w:rPr>
        <w:t>残疾人服务支出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6、“卫生健康支出”（类）2023年度决算576.885860万元，比2023年年初预算增加（减少）576.885860万元，增长（下降）0.49%。其中：</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“公共卫生”（款，下同）2023年度决算321.728420万元，比2023年年初预算增加（减少）321.728420万元，增长（下降）0.27%。主要原因：本年度新增</w:t>
      </w:r>
      <w:r>
        <w:rPr>
          <w:rFonts w:hint="eastAsia" w:ascii="仿宋_GB2312" w:eastAsia="仿宋_GB2312" w:cs="宋体"/>
          <w:sz w:val="28"/>
          <w:szCs w:val="28"/>
          <w:lang w:val="en-US" w:eastAsia="zh-CN"/>
        </w:rPr>
        <w:t>公共卫生事务支出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“优抚对象医疗”（款，下同）2023年度决算10.915440万元，比2023年年初预算增加（减少）10.915440万元，增长（下降）0.01%。主要原因：</w:t>
      </w:r>
      <w:r>
        <w:rPr>
          <w:rFonts w:hint="eastAsia" w:ascii="仿宋_GB2312" w:eastAsia="仿宋_GB2312" w:cs="宋体"/>
          <w:sz w:val="28"/>
          <w:szCs w:val="28"/>
          <w:lang w:val="en-US" w:eastAsia="zh-CN"/>
        </w:rPr>
        <w:t>本年度新增优抚对象事务支出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“医疗保障管理事务”（款，下同）2023年度决算30.000000万元，比2023年年初预算增加（减少）30.000000万元，增长（下降）0.03%。主要原因：</w:t>
      </w:r>
      <w:r>
        <w:rPr>
          <w:rFonts w:hint="eastAsia" w:ascii="仿宋_GB2312" w:eastAsia="仿宋_GB2312" w:cs="宋体"/>
          <w:sz w:val="28"/>
          <w:szCs w:val="28"/>
          <w:lang w:val="en-US" w:eastAsia="zh-CN"/>
        </w:rPr>
        <w:t>本年度新增医疗保障管理事务支出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“其他卫生健康支出”（款，下同）2023年度决算214.242000万元，比2023年年初预算增加（减少）214.242000万元，增长（下降）0.18%。主要原因：</w:t>
      </w:r>
      <w:r>
        <w:rPr>
          <w:rFonts w:hint="eastAsia" w:ascii="仿宋_GB2312" w:eastAsia="仿宋_GB2312" w:cs="宋体"/>
          <w:sz w:val="28"/>
          <w:szCs w:val="28"/>
          <w:lang w:val="en-US" w:eastAsia="zh-CN"/>
        </w:rPr>
        <w:t>本年度新增卫生健康事务支出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7、“节能环保支出”（类）2023年度决算1449.839551万元，比2023年年初预算增加（减少）1449.839551万元，增长（下降）1.22%。其中： </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“污染防治”（款，下同）2023年度决算1449.839551万元，比2023年年初预算增加（减少）1449.839551万元，增长（下降）1.22%。主要原因：本年度新增</w:t>
      </w:r>
      <w:r>
        <w:rPr>
          <w:rFonts w:hint="eastAsia" w:ascii="仿宋_GB2312" w:eastAsia="仿宋_GB2312" w:cs="宋体"/>
          <w:sz w:val="28"/>
          <w:szCs w:val="28"/>
          <w:lang w:val="en-US" w:eastAsia="zh-CN"/>
        </w:rPr>
        <w:t>污染防治事务支出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8、“城乡社区支出”（类）2023年度决算8900.321819万元，比2023年年初预算增加（减少）8900.321819万元，增长（下降）7.51%。其中：</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“城乡社区管理事务”（款，下同）2023年度决算2604.712360万元，比2023年年初预算增加（减少）3,252.970000万元，增长（下降）0.00%。主要原因：本年度新增</w:t>
      </w:r>
      <w:r>
        <w:rPr>
          <w:rFonts w:hint="eastAsia" w:ascii="仿宋_GB2312" w:eastAsia="仿宋_GB2312" w:cs="宋体"/>
          <w:sz w:val="28"/>
          <w:szCs w:val="28"/>
          <w:lang w:val="en-US" w:eastAsia="zh-CN"/>
        </w:rPr>
        <w:t>城乡社区管理事务支出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“城乡社区规划与管理”（款，下同）2023年度决算30.000000万元，比2023年年初预算增加（减少）30.000000万元，增长（下降）0.03%。主要原因：本年度新增</w:t>
      </w:r>
      <w:r>
        <w:rPr>
          <w:rFonts w:hint="eastAsia" w:ascii="仿宋_GB2312" w:eastAsia="仿宋_GB2312" w:cs="宋体"/>
          <w:sz w:val="28"/>
          <w:szCs w:val="28"/>
          <w:lang w:val="en-US" w:eastAsia="zh-CN"/>
        </w:rPr>
        <w:t>城乡社区规划与管理事务支出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“城乡社区公共设施”（款，下同）2023年度决算147.996266万元，比2023年年初预算增加（减少）147.996266万元，增长（下降）0.12%。主要原因：本年度新增</w:t>
      </w:r>
      <w:r>
        <w:rPr>
          <w:rFonts w:hint="eastAsia" w:ascii="仿宋_GB2312" w:eastAsia="仿宋_GB2312" w:cs="宋体"/>
          <w:sz w:val="28"/>
          <w:szCs w:val="28"/>
          <w:lang w:val="en-US" w:eastAsia="zh-CN"/>
        </w:rPr>
        <w:t>城乡社区公共设施支出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“城乡社区环境卫生”（款，下同）2023年度决算358.301211万元，比2023年年初预算增加（减少）358.301211万元，增长（下降）0.30%。主要原因：本年度新增</w:t>
      </w:r>
      <w:r>
        <w:rPr>
          <w:rFonts w:hint="eastAsia" w:ascii="仿宋_GB2312" w:eastAsia="仿宋_GB2312" w:cs="宋体"/>
          <w:sz w:val="28"/>
          <w:szCs w:val="28"/>
          <w:lang w:val="en-US" w:eastAsia="zh-CN"/>
        </w:rPr>
        <w:t>城乡社区环境卫生事务支出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“其他城乡社区支出”（款，下同）2023年度决算5759.311982万元，比2023年年初预算增加（减少）5759.311982万元，增长（下降）4.86%。主要原因：本年度新增</w:t>
      </w:r>
      <w:r>
        <w:rPr>
          <w:rFonts w:hint="eastAsia" w:ascii="仿宋_GB2312" w:eastAsia="仿宋_GB2312" w:cs="宋体"/>
          <w:sz w:val="28"/>
          <w:szCs w:val="28"/>
          <w:lang w:val="en-US" w:eastAsia="zh-CN"/>
        </w:rPr>
        <w:t>城乡社区其他事务支出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9、“农林水支出”（类）2023年度决算71243.281896万元，比2023年年初预算增加（减少）71243.281896万元，增长（下降）60.13%。其中：</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“农业农村”（款，下同）2023年度决算47582.696924万元，比2023年年初预算增加（减少）47582.696924万元，增长（下降）40.16%。主要原因：本年度新增</w:t>
      </w:r>
      <w:r>
        <w:rPr>
          <w:rFonts w:hint="eastAsia" w:ascii="仿宋_GB2312" w:eastAsia="仿宋_GB2312" w:cs="宋体"/>
          <w:sz w:val="28"/>
          <w:szCs w:val="28"/>
          <w:lang w:val="en-US" w:eastAsia="zh-CN"/>
        </w:rPr>
        <w:t>农村社区支出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“林业和草原”（款，下同）2023年度决算21259.042870万元，比2023年年初预算增加（减少）21259.042870万元，增长（下降）17.94%。主要原因：本年度新增</w:t>
      </w:r>
      <w:r>
        <w:rPr>
          <w:rFonts w:hint="eastAsia" w:ascii="仿宋_GB2312" w:eastAsia="仿宋_GB2312" w:cs="宋体"/>
          <w:sz w:val="28"/>
          <w:szCs w:val="28"/>
          <w:lang w:val="en-US" w:eastAsia="zh-CN"/>
        </w:rPr>
        <w:t>平原造林事务支出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“水利”（款，下同）2023年度决算1759.993924万元，比2023年年初预算增加（减少）1759.993924万元，增长（下降）1.49%。主要原因：本年度新增</w:t>
      </w:r>
      <w:r>
        <w:rPr>
          <w:rFonts w:hint="eastAsia" w:ascii="仿宋_GB2312" w:eastAsia="仿宋_GB2312" w:cs="宋体"/>
          <w:sz w:val="28"/>
          <w:szCs w:val="28"/>
          <w:lang w:val="en-US" w:eastAsia="zh-CN"/>
        </w:rPr>
        <w:t>水利事务支出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“农村综合改革”（款，下同）2023年度决算230.000000万元，比2023年年初预算增加（减少）230.000000万元，增长（下降）0.19%。主要原因：本年度新增</w:t>
      </w:r>
      <w:r>
        <w:rPr>
          <w:rFonts w:hint="eastAsia" w:ascii="仿宋_GB2312" w:eastAsia="仿宋_GB2312" w:cs="宋体"/>
          <w:sz w:val="28"/>
          <w:szCs w:val="28"/>
          <w:lang w:val="en-US" w:eastAsia="zh-CN"/>
        </w:rPr>
        <w:t>农村税费改革支出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“其他农林水支出”（款，下同）2023年度决算411.548178万元，比2023年年初预算增加（减少）411.548178万元，增长（下降）0.35%。主要原因：本年度新增</w:t>
      </w:r>
      <w:r>
        <w:rPr>
          <w:rFonts w:hint="eastAsia" w:ascii="仿宋_GB2312" w:eastAsia="仿宋_GB2312" w:cs="宋体"/>
          <w:sz w:val="28"/>
          <w:szCs w:val="28"/>
          <w:lang w:val="en-US" w:eastAsia="zh-CN"/>
        </w:rPr>
        <w:t>农业相关事务支出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10、“住房保障支出”（类）2023年度决算615.400998万元，比2023年年初预算增加（减少）615.400998万元，增长（下降）0.52%。其中： </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“住房改革支出”（款，下同）2023年度决算615.400998万元，比2023年年初预算增加（减少）615.400998万元，增长（下降）0.52%。主要原因：本年度新增</w:t>
      </w:r>
      <w:r>
        <w:rPr>
          <w:rFonts w:hint="eastAsia" w:ascii="仿宋_GB2312" w:eastAsia="仿宋_GB2312" w:cs="宋体"/>
          <w:sz w:val="28"/>
          <w:szCs w:val="28"/>
          <w:lang w:val="en-US" w:eastAsia="zh-CN"/>
        </w:rPr>
        <w:t>住房改革事务支出</w:t>
      </w:r>
      <w:r>
        <w:rPr>
          <w:rFonts w:ascii="仿宋_GB2312" w:eastAsia="仿宋_GB2312" w:cs="宋体"/>
          <w:sz w:val="28"/>
          <w:szCs w:val="28"/>
        </w:rPr>
        <w:t>。</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11、“其他支出”（类）2023年度决算1802.372550万元，比2023年年初预算增加（减少）1802.372550万元，增长（下降）0.00%。其中：</w:t>
      </w:r>
    </w:p>
    <w:p>
      <w:pPr>
        <w:pStyle w:val="22"/>
        <w:widowControl/>
        <w:spacing w:beforeAutospacing="0"/>
        <w:rPr>
          <w:rFonts w:ascii="仿宋_GB2312" w:eastAsia="仿宋_GB2312" w:cs="宋体"/>
          <w:sz w:val="28"/>
          <w:szCs w:val="28"/>
        </w:rPr>
      </w:pPr>
      <w:r>
        <w:rPr>
          <w:rFonts w:ascii="仿宋_GB2312" w:eastAsia="仿宋_GB2312" w:cs="宋体"/>
          <w:sz w:val="28"/>
          <w:szCs w:val="28"/>
        </w:rPr>
        <w:t xml:space="preserve">  “其他支出”（款，下同）2023年度决算1802.372550万元，比2023年年初预算增加（减少）1802.372550万元，增长（下降）1.52%。主要原因：本年度新增</w:t>
      </w:r>
      <w:r>
        <w:rPr>
          <w:rFonts w:hint="eastAsia" w:ascii="仿宋_GB2312" w:eastAsia="仿宋_GB2312" w:cs="宋体"/>
          <w:sz w:val="28"/>
          <w:szCs w:val="28"/>
          <w:lang w:val="en-US" w:eastAsia="zh-CN"/>
        </w:rPr>
        <w:t>其他临时性事务支出</w:t>
      </w:r>
      <w:r>
        <w:rPr>
          <w:rFonts w:ascii="仿宋_GB2312" w:eastAsia="仿宋_GB2312" w:cs="宋体"/>
          <w:sz w:val="28"/>
          <w:szCs w:val="28"/>
        </w:rPr>
        <w:t>。</w:t>
      </w:r>
    </w:p>
    <w:bookmarkEnd w:id="0"/>
    <w:p>
      <w:pPr>
        <w:spacing w:line="5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hAnsi="宋体" w:eastAsia="仿宋_GB2312" w:cs="宋体"/>
          <w:kern w:val="0"/>
          <w:sz w:val="28"/>
          <w:szCs w:val="28"/>
        </w:rPr>
      </w:pPr>
      <w:bookmarkStart w:id="1" w:name="_Hlk176463498"/>
      <w:r>
        <w:rPr>
          <w:rFonts w:hint="eastAsia" w:ascii="仿宋_GB2312" w:hAnsi="宋体" w:eastAsia="仿宋_GB2312" w:cs="宋体"/>
          <w:kern w:val="0"/>
          <w:sz w:val="28"/>
          <w:szCs w:val="28"/>
        </w:rPr>
        <w:t>（一）政府性基金预算财政拨款支出决算总体情况</w:t>
      </w:r>
    </w:p>
    <w:p>
      <w:pPr>
        <w:tabs>
          <w:tab w:val="center" w:pos="6979"/>
        </w:tabs>
        <w:spacing w:line="5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2023年度政府性基金预算财政拨款支出7657.69万元，主要用于以下方面（按大类）：城乡社区支出7657.686226万元，占本年财政拨款支出6.46%。</w:t>
      </w:r>
    </w:p>
    <w:p>
      <w:pPr>
        <w:autoSpaceDE w:val="0"/>
        <w:autoSpaceDN w:val="0"/>
        <w:adjustRightInd w:val="0"/>
        <w:spacing w:line="58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（二）政府性基金预算财政拨款支出决算具体情况</w:t>
      </w:r>
    </w:p>
    <w:p>
      <w:pPr>
        <w:autoSpaceDE w:val="0"/>
        <w:autoSpaceDN w:val="0"/>
        <w:adjustRightInd w:val="0"/>
        <w:spacing w:line="580" w:lineRule="exact"/>
        <w:ind w:firstLine="700" w:firstLineChars="25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1、“城乡社区支出”（类，下同）2023年度决算7607.686226万元，比2023年度年初预算增加（减少）7607.686226万元，增长（下降）6.42%。其中：</w:t>
      </w:r>
    </w:p>
    <w:p>
      <w:pPr>
        <w:spacing w:line="5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“国有土地使用权收入安排的支出”（款，下同）2023年度决算7607.686226万元，比2023年度年初预算增加（减少）7607.686226万元，增长（下降）6.42%。主要原因：本年度新增</w:t>
      </w:r>
      <w:r>
        <w:rPr>
          <w:rFonts w:hint="eastAsia" w:ascii="仿宋_GB2312" w:hAnsi="宋体" w:eastAsia="仿宋_GB2312" w:cs="宋体"/>
          <w:kern w:val="0"/>
          <w:sz w:val="28"/>
          <w:szCs w:val="28"/>
          <w:lang w:val="en-US" w:eastAsia="zh-CN"/>
        </w:rPr>
        <w:t>农村基础设施建设支出</w:t>
      </w:r>
      <w:r>
        <w:rPr>
          <w:rFonts w:hint="eastAsia" w:ascii="仿宋_GB2312" w:hAnsi="宋体" w:eastAsia="仿宋_GB2312" w:cs="宋体"/>
          <w:kern w:val="0"/>
          <w:sz w:val="28"/>
          <w:szCs w:val="28"/>
        </w:rPr>
        <w:t>。</w:t>
      </w:r>
    </w:p>
    <w:p>
      <w:pPr>
        <w:spacing w:line="5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2、“其他支出”（类）2023年度决算50.000000万元，比2023年度年初预算增加（减少）50.000000万元，增长（下降）0.04%。其中：</w:t>
      </w:r>
    </w:p>
    <w:p>
      <w:pPr>
        <w:spacing w:line="5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“彩票公益金安排的支出”（款）2023年度决算50.000000万元，比2023年度年初预算增加（减少）50.000000万元，增长（下降）0.04%。主要原因：本年度新增</w:t>
      </w:r>
      <w:r>
        <w:rPr>
          <w:rFonts w:hint="eastAsia" w:ascii="仿宋_GB2312" w:hAnsi="宋体" w:eastAsia="仿宋_GB2312" w:cs="宋体"/>
          <w:kern w:val="0"/>
          <w:sz w:val="28"/>
          <w:szCs w:val="28"/>
          <w:lang w:val="en-US" w:eastAsia="zh-CN"/>
        </w:rPr>
        <w:t>体育特色乡镇事务支出</w:t>
      </w:r>
      <w:r>
        <w:rPr>
          <w:rFonts w:hint="eastAsia" w:ascii="仿宋_GB2312" w:hAnsi="宋体" w:eastAsia="仿宋_GB2312" w:cs="宋体"/>
          <w:kern w:val="0"/>
          <w:sz w:val="28"/>
          <w:szCs w:val="28"/>
        </w:rPr>
        <w:t>。</w:t>
      </w:r>
    </w:p>
    <w:bookmarkEnd w:id="1"/>
    <w:p>
      <w:pPr>
        <w:spacing w:line="580" w:lineRule="exact"/>
        <w:ind w:firstLine="562" w:firstLineChars="200"/>
        <w:rPr>
          <w:rFonts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2023年度国有资本经营预算财政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51" w:firstLineChars="196"/>
        <w:rPr>
          <w:rFonts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ascii="仿宋_GB2312" w:eastAsia="仿宋_GB2312"/>
          <w:sz w:val="28"/>
          <w:szCs w:val="28"/>
        </w:rPr>
      </w:pPr>
      <w:r>
        <w:rPr>
          <w:rFonts w:hint="eastAsia" w:ascii="仿宋_GB2312" w:eastAsia="仿宋_GB2312"/>
          <w:sz w:val="28"/>
          <w:szCs w:val="28"/>
        </w:rPr>
        <w:t>2023年度使用一般公共预算财政拨款安排基本支出</w:t>
      </w:r>
      <w:r>
        <w:rPr>
          <w:rFonts w:ascii="仿宋_GB2312" w:eastAsia="仿宋_GB2312"/>
          <w:sz w:val="28"/>
          <w:szCs w:val="28"/>
        </w:rPr>
        <w:t>5656.95</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tabs>
          <w:tab w:val="center" w:pos="6979"/>
        </w:tabs>
        <w:spacing w:line="580" w:lineRule="exact"/>
        <w:ind w:firstLine="786" w:firstLineChars="196"/>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2023年度</w:t>
      </w:r>
      <w:r>
        <w:rPr>
          <w:rFonts w:hint="eastAsia" w:ascii="宋体" w:hAnsi="宋体" w:cs="宋体"/>
          <w:b/>
          <w:spacing w:val="40"/>
          <w:kern w:val="0"/>
          <w:sz w:val="32"/>
          <w:szCs w:val="32"/>
        </w:rPr>
        <w:t>其他重要事项的情况说明</w:t>
      </w:r>
    </w:p>
    <w:p>
      <w:pPr>
        <w:spacing w:line="560" w:lineRule="exact"/>
        <w:ind w:firstLine="560" w:firstLineChars="200"/>
        <w:rPr>
          <w:rFonts w:ascii="黑体" w:eastAsia="黑体"/>
          <w:sz w:val="28"/>
          <w:szCs w:val="28"/>
        </w:rPr>
      </w:pPr>
      <w:bookmarkStart w:id="2" w:name="_Hlk176463560"/>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rPr>
        <w:t>“三公”经费包括本部门/单位所属</w:t>
      </w:r>
      <w:r>
        <w:rPr>
          <w:rFonts w:hint="eastAsia" w:ascii="仿宋_GB2312" w:eastAsia="仿宋_GB2312"/>
          <w:bCs/>
          <w:sz w:val="28"/>
          <w:szCs w:val="28"/>
        </w:rPr>
        <w:t>1</w:t>
      </w:r>
      <w:r>
        <w:rPr>
          <w:rFonts w:hint="eastAsia" w:ascii="仿宋_GB2312" w:eastAsia="仿宋_GB2312"/>
          <w:sz w:val="28"/>
          <w:szCs w:val="28"/>
        </w:rPr>
        <w:t>个行政单位、0个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rPr>
        <w:t>0个</w:t>
      </w:r>
      <w:r>
        <w:rPr>
          <w:rFonts w:hint="eastAsia" w:ascii="仿宋_GB2312" w:eastAsia="仿宋_GB2312"/>
          <w:sz w:val="28"/>
          <w:szCs w:val="28"/>
        </w:rPr>
        <w:t>事业单位。2023年度“三公”经费财政拨款决算数</w:t>
      </w:r>
      <w:r>
        <w:rPr>
          <w:rFonts w:ascii="仿宋_GB2312" w:eastAsia="仿宋_GB2312"/>
          <w:sz w:val="28"/>
          <w:szCs w:val="28"/>
        </w:rPr>
        <w:t>1.46</w:t>
      </w:r>
      <w:r>
        <w:rPr>
          <w:rFonts w:hint="eastAsia" w:ascii="仿宋_GB2312" w:eastAsia="仿宋_GB2312"/>
          <w:sz w:val="28"/>
          <w:szCs w:val="28"/>
        </w:rPr>
        <w:t>万元，比2023年度“三公”经费财政拨款年初预算</w:t>
      </w:r>
      <w:r>
        <w:rPr>
          <w:rFonts w:ascii="仿宋_GB2312" w:eastAsia="仿宋_GB2312"/>
          <w:sz w:val="28"/>
          <w:szCs w:val="28"/>
        </w:rPr>
        <w:t>5.55</w:t>
      </w:r>
      <w:r>
        <w:rPr>
          <w:rFonts w:hint="eastAsia" w:ascii="仿宋_GB2312" w:eastAsia="仿宋_GB2312"/>
          <w:sz w:val="28"/>
          <w:szCs w:val="28"/>
        </w:rPr>
        <w:t>万元增加（减少）</w:t>
      </w:r>
      <w:r>
        <w:rPr>
          <w:rFonts w:ascii="仿宋_GB2312" w:eastAsia="仿宋_GB2312"/>
          <w:sz w:val="28"/>
          <w:szCs w:val="28"/>
        </w:rPr>
        <w:t>-4.09</w:t>
      </w:r>
      <w:r>
        <w:rPr>
          <w:rFonts w:hint="eastAsia" w:ascii="仿宋_GB2312" w:eastAsia="仿宋_GB2312"/>
          <w:sz w:val="28"/>
          <w:szCs w:val="28"/>
        </w:rPr>
        <w:t>万元。其中：</w:t>
      </w:r>
    </w:p>
    <w:p>
      <w:pPr>
        <w:spacing w:line="560" w:lineRule="exact"/>
        <w:ind w:firstLine="600"/>
        <w:rPr>
          <w:rFonts w:ascii="仿宋_GB2312" w:eastAsia="仿宋_GB2312"/>
          <w:sz w:val="28"/>
          <w:szCs w:val="28"/>
        </w:rPr>
      </w:pPr>
      <w:r>
        <w:rPr>
          <w:rFonts w:hint="eastAsia" w:ascii="仿宋_GB2312" w:eastAsia="仿宋_GB2312"/>
          <w:sz w:val="28"/>
          <w:szCs w:val="28"/>
        </w:rPr>
        <w:t>1.因公出国（境）费用。2023年度决算数</w:t>
      </w:r>
      <w:r>
        <w:rPr>
          <w:rFonts w:ascii="仿宋_GB2312" w:eastAsia="仿宋_GB2312"/>
          <w:sz w:val="28"/>
          <w:szCs w:val="28"/>
        </w:rPr>
        <w:t>0</w:t>
      </w:r>
      <w:r>
        <w:rPr>
          <w:rFonts w:hint="eastAsia" w:ascii="仿宋_GB2312" w:eastAsia="仿宋_GB2312"/>
          <w:sz w:val="28"/>
          <w:szCs w:val="28"/>
        </w:rPr>
        <w:t>万元，比2023年度年初预算数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万元。；2023年度组织因公出国（境）团组</w:t>
      </w:r>
      <w:r>
        <w:rPr>
          <w:rFonts w:hint="eastAsia" w:ascii="仿宋_GB2312" w:eastAsia="仿宋_GB2312"/>
          <w:sz w:val="28"/>
          <w:szCs w:val="28"/>
          <w:lang w:val="en-US" w:eastAsia="zh-CN"/>
        </w:rPr>
        <w:t>0</w:t>
      </w:r>
      <w:r>
        <w:rPr>
          <w:rFonts w:hint="eastAsia" w:ascii="仿宋_GB2312" w:eastAsia="仿宋_GB2312"/>
          <w:sz w:val="28"/>
          <w:szCs w:val="28"/>
        </w:rPr>
        <w:t>个、</w:t>
      </w:r>
      <w:r>
        <w:rPr>
          <w:rFonts w:hint="eastAsia" w:ascii="仿宋_GB2312" w:eastAsia="仿宋_GB2312"/>
          <w:sz w:val="28"/>
          <w:szCs w:val="28"/>
          <w:lang w:val="en-US" w:eastAsia="zh-CN"/>
        </w:rPr>
        <w:t>0</w:t>
      </w:r>
      <w:r>
        <w:rPr>
          <w:rFonts w:hint="eastAsia" w:ascii="仿宋_GB2312" w:eastAsia="仿宋_GB2312"/>
          <w:sz w:val="28"/>
          <w:szCs w:val="28"/>
        </w:rPr>
        <w:t>人次，人均因公出国（境）费用</w:t>
      </w:r>
      <w:r>
        <w:rPr>
          <w:rFonts w:hint="eastAsia" w:ascii="仿宋_GB2312" w:eastAsia="仿宋_GB2312"/>
          <w:sz w:val="28"/>
          <w:szCs w:val="28"/>
          <w:lang w:val="en-US" w:eastAsia="zh-CN"/>
        </w:rPr>
        <w:t>0.00</w:t>
      </w:r>
      <w:r>
        <w:rPr>
          <w:rFonts w:hint="eastAsia" w:ascii="仿宋_GB2312" w:eastAsia="仿宋_GB2312"/>
          <w:sz w:val="28"/>
          <w:szCs w:val="28"/>
        </w:rPr>
        <w:t>万元。</w:t>
      </w:r>
    </w:p>
    <w:p>
      <w:pPr>
        <w:spacing w:line="560" w:lineRule="exact"/>
        <w:ind w:firstLine="600"/>
        <w:rPr>
          <w:rFonts w:ascii="仿宋_GB2312" w:eastAsia="仿宋_GB2312"/>
          <w:sz w:val="28"/>
          <w:szCs w:val="28"/>
        </w:rPr>
      </w:pPr>
      <w:r>
        <w:rPr>
          <w:rFonts w:hint="eastAsia" w:ascii="仿宋_GB2312" w:eastAsia="仿宋_GB2312"/>
          <w:sz w:val="28"/>
          <w:szCs w:val="28"/>
        </w:rPr>
        <w:t>2.公务接待费。2023年度决算数</w:t>
      </w:r>
      <w:r>
        <w:rPr>
          <w:rFonts w:ascii="仿宋_GB2312" w:eastAsia="仿宋_GB2312"/>
          <w:sz w:val="28"/>
          <w:szCs w:val="28"/>
        </w:rPr>
        <w:t>0</w:t>
      </w:r>
      <w:r>
        <w:rPr>
          <w:rFonts w:hint="eastAsia" w:ascii="仿宋_GB2312" w:eastAsia="仿宋_GB2312"/>
          <w:sz w:val="28"/>
          <w:szCs w:val="28"/>
        </w:rPr>
        <w:t>万元，比2023年度年初预算数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万元。2023年度公务接待</w:t>
      </w:r>
      <w:r>
        <w:rPr>
          <w:rFonts w:hint="eastAsia" w:ascii="仿宋_GB2312" w:eastAsia="仿宋_GB2312"/>
          <w:sz w:val="28"/>
          <w:szCs w:val="28"/>
          <w:lang w:val="en-US" w:eastAsia="zh-CN"/>
        </w:rPr>
        <w:t>0</w:t>
      </w:r>
      <w:r>
        <w:rPr>
          <w:rFonts w:hint="eastAsia" w:ascii="仿宋_GB2312" w:eastAsia="仿宋_GB2312"/>
          <w:sz w:val="28"/>
          <w:szCs w:val="28"/>
        </w:rPr>
        <w:t>批次，公务接待</w:t>
      </w:r>
      <w:r>
        <w:rPr>
          <w:rFonts w:hint="eastAsia" w:ascii="仿宋_GB2312" w:eastAsia="仿宋_GB2312"/>
          <w:sz w:val="28"/>
          <w:szCs w:val="28"/>
          <w:lang w:val="en-US" w:eastAsia="zh-CN"/>
        </w:rPr>
        <w:t>0</w:t>
      </w:r>
      <w:r>
        <w:rPr>
          <w:rFonts w:hint="eastAsia" w:ascii="仿宋_GB2312" w:eastAsia="仿宋_GB2312"/>
          <w:sz w:val="28"/>
          <w:szCs w:val="28"/>
        </w:rPr>
        <w:t>人次。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3.公务用车购置及运行维护费。2023年度决算数1.4560万元，比2023年度年初预算数5.55万元增加（减少）4.09万元。</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其中，公务用车购置费2023年度决算数</w:t>
      </w:r>
      <w:r>
        <w:rPr>
          <w:rFonts w:ascii="仿宋_GB2312" w:eastAsia="仿宋_GB2312"/>
          <w:sz w:val="28"/>
          <w:szCs w:val="28"/>
        </w:rPr>
        <w:t>0</w:t>
      </w:r>
      <w:r>
        <w:rPr>
          <w:rFonts w:hint="eastAsia" w:ascii="仿宋_GB2312" w:eastAsia="仿宋_GB2312"/>
          <w:sz w:val="28"/>
          <w:szCs w:val="28"/>
        </w:rPr>
        <w:t>万元，比2023年度年初预算数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万元。2023年度购置（更新）</w:t>
      </w:r>
      <w:r>
        <w:rPr>
          <w:rFonts w:hint="eastAsia" w:ascii="仿宋_GB2312" w:eastAsia="仿宋_GB2312"/>
          <w:sz w:val="28"/>
          <w:szCs w:val="28"/>
          <w:lang w:val="en-US" w:eastAsia="zh-CN"/>
        </w:rPr>
        <w:t>0</w:t>
      </w:r>
      <w:r>
        <w:rPr>
          <w:rFonts w:hint="eastAsia" w:ascii="仿宋_GB2312" w:eastAsia="仿宋_GB2312"/>
          <w:sz w:val="28"/>
          <w:szCs w:val="28"/>
        </w:rPr>
        <w:t>辆，车均购置费</w:t>
      </w:r>
      <w:r>
        <w:rPr>
          <w:rFonts w:hint="eastAsia" w:ascii="仿宋_GB2312" w:eastAsia="仿宋_GB2312"/>
          <w:sz w:val="28"/>
          <w:szCs w:val="28"/>
          <w:lang w:val="en-US" w:eastAsia="zh-CN"/>
        </w:rPr>
        <w:t>0.00</w:t>
      </w:r>
      <w:r>
        <w:rPr>
          <w:rFonts w:hint="eastAsia" w:ascii="仿宋_GB2312" w:eastAsia="仿宋_GB2312"/>
          <w:sz w:val="28"/>
          <w:szCs w:val="28"/>
        </w:rPr>
        <w:t>万元。公务用车运行维护费2023年度决算数</w:t>
      </w:r>
      <w:r>
        <w:rPr>
          <w:rFonts w:ascii="仿宋_GB2312" w:eastAsia="仿宋_GB2312"/>
          <w:sz w:val="28"/>
          <w:szCs w:val="28"/>
        </w:rPr>
        <w:t>1.4</w:t>
      </w:r>
      <w:r>
        <w:rPr>
          <w:rFonts w:hint="eastAsia" w:ascii="仿宋_GB2312" w:eastAsia="仿宋_GB2312"/>
          <w:sz w:val="28"/>
          <w:szCs w:val="28"/>
        </w:rPr>
        <w:t>5</w:t>
      </w:r>
      <w:r>
        <w:rPr>
          <w:rFonts w:ascii="仿宋_GB2312" w:eastAsia="仿宋_GB2312"/>
          <w:sz w:val="28"/>
          <w:szCs w:val="28"/>
        </w:rPr>
        <w:t>6</w:t>
      </w:r>
      <w:r>
        <w:rPr>
          <w:rFonts w:hint="eastAsia" w:ascii="仿宋_GB2312" w:eastAsia="仿宋_GB2312"/>
          <w:sz w:val="28"/>
          <w:szCs w:val="28"/>
        </w:rPr>
        <w:t>万元，比2023年度年初预算数</w:t>
      </w:r>
      <w:r>
        <w:rPr>
          <w:rFonts w:ascii="仿宋_GB2312" w:eastAsia="仿宋_GB2312"/>
          <w:sz w:val="28"/>
          <w:szCs w:val="28"/>
        </w:rPr>
        <w:t>5.55</w:t>
      </w:r>
      <w:r>
        <w:rPr>
          <w:rFonts w:hint="eastAsia" w:ascii="仿宋_GB2312" w:eastAsia="仿宋_GB2312"/>
          <w:sz w:val="28"/>
          <w:szCs w:val="28"/>
        </w:rPr>
        <w:t>万元增加（减少）4.09万元，主要原因：本年度公务用车数量减少。2023年度公务用车运行维护费中，公务用车加油</w:t>
      </w:r>
      <w:r>
        <w:rPr>
          <w:rFonts w:ascii="仿宋_GB2312" w:eastAsia="仿宋_GB2312"/>
          <w:sz w:val="28"/>
          <w:szCs w:val="28"/>
        </w:rPr>
        <w:t>0.5</w:t>
      </w:r>
      <w:r>
        <w:rPr>
          <w:rFonts w:hint="eastAsia" w:ascii="仿宋_GB2312" w:eastAsia="仿宋_GB2312"/>
          <w:sz w:val="28"/>
          <w:szCs w:val="28"/>
        </w:rPr>
        <w:t>万元，公务用车维修</w:t>
      </w:r>
      <w:r>
        <w:rPr>
          <w:rFonts w:ascii="仿宋_GB2312" w:eastAsia="仿宋_GB2312"/>
          <w:sz w:val="28"/>
          <w:szCs w:val="28"/>
        </w:rPr>
        <w:t>0.76</w:t>
      </w:r>
      <w:r>
        <w:rPr>
          <w:rFonts w:hint="eastAsia" w:ascii="仿宋_GB2312" w:eastAsia="仿宋_GB2312"/>
          <w:sz w:val="28"/>
          <w:szCs w:val="28"/>
        </w:rPr>
        <w:t>万元，公务用车保险</w:t>
      </w:r>
      <w:r>
        <w:rPr>
          <w:rFonts w:ascii="仿宋_GB2312" w:eastAsia="仿宋_GB2312"/>
          <w:sz w:val="28"/>
          <w:szCs w:val="28"/>
        </w:rPr>
        <w:t>0.2</w:t>
      </w:r>
      <w:r>
        <w:rPr>
          <w:rFonts w:hint="eastAsia" w:ascii="仿宋_GB2312" w:eastAsia="仿宋_GB2312"/>
          <w:sz w:val="28"/>
          <w:szCs w:val="28"/>
        </w:rPr>
        <w:t>万元，公务用车其他支出</w:t>
      </w:r>
      <w:r>
        <w:rPr>
          <w:rFonts w:ascii="仿宋_GB2312" w:eastAsia="仿宋_GB2312"/>
          <w:sz w:val="28"/>
          <w:szCs w:val="28"/>
        </w:rPr>
        <w:t>0</w:t>
      </w:r>
      <w:r>
        <w:rPr>
          <w:rFonts w:hint="eastAsia" w:ascii="仿宋_GB2312" w:eastAsia="仿宋_GB2312"/>
          <w:sz w:val="28"/>
          <w:szCs w:val="28"/>
        </w:rPr>
        <w:t>万元。2023年度公务用车保有量1辆，车均运行维护费1.456万元。</w:t>
      </w:r>
    </w:p>
    <w:p>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pPr>
        <w:ind w:firstLine="537" w:firstLineChars="192"/>
        <w:rPr>
          <w:rFonts w:ascii="仿宋_GB2312" w:eastAsia="仿宋_GB2312"/>
          <w:sz w:val="28"/>
          <w:szCs w:val="28"/>
        </w:rPr>
      </w:pPr>
      <w:r>
        <w:rPr>
          <w:rFonts w:hint="eastAsia" w:ascii="仿宋_GB2312" w:eastAsia="仿宋_GB2312"/>
          <w:sz w:val="28"/>
          <w:szCs w:val="28"/>
        </w:rPr>
        <w:t>2023年度使用财政拨款安排的基本支出中的日常公用经费支出，合计502.96万元，原因：2023年严格按照财政预算批复支出公用经费。</w:t>
      </w:r>
    </w:p>
    <w:p>
      <w:pPr>
        <w:ind w:left="540"/>
        <w:rPr>
          <w:rFonts w:ascii="黑体" w:eastAsia="黑体"/>
          <w:sz w:val="28"/>
          <w:szCs w:val="28"/>
        </w:rPr>
      </w:pPr>
      <w:r>
        <w:rPr>
          <w:rFonts w:hint="eastAsia" w:ascii="黑体" w:eastAsia="黑体"/>
          <w:sz w:val="28"/>
          <w:szCs w:val="28"/>
        </w:rPr>
        <w:t>三、政府采购支出情况</w:t>
      </w:r>
    </w:p>
    <w:p>
      <w:pPr>
        <w:ind w:firstLine="537" w:firstLineChars="192"/>
        <w:rPr>
          <w:rFonts w:ascii="仿宋_GB2312" w:eastAsia="仿宋_GB2312"/>
          <w:sz w:val="28"/>
          <w:szCs w:val="28"/>
        </w:rPr>
      </w:pPr>
      <w:r>
        <w:rPr>
          <w:rFonts w:hint="eastAsia" w:ascii="仿宋_GB2312" w:eastAsia="仿宋_GB2312"/>
          <w:sz w:val="28"/>
          <w:szCs w:val="28"/>
        </w:rPr>
        <w:t>2023年度政府采购支出总额</w:t>
      </w:r>
      <w:r>
        <w:rPr>
          <w:rFonts w:ascii="仿宋_GB2312" w:eastAsia="仿宋_GB2312"/>
          <w:sz w:val="28"/>
          <w:szCs w:val="28"/>
        </w:rPr>
        <w:t>23755.92</w:t>
      </w:r>
      <w:r>
        <w:rPr>
          <w:rFonts w:hint="eastAsia" w:ascii="仿宋_GB2312" w:eastAsia="仿宋_GB2312"/>
          <w:sz w:val="28"/>
          <w:szCs w:val="28"/>
        </w:rPr>
        <w:t>万元，其中：政府采购货物支出</w:t>
      </w:r>
      <w:r>
        <w:rPr>
          <w:rFonts w:ascii="仿宋_GB2312" w:eastAsia="仿宋_GB2312"/>
          <w:sz w:val="28"/>
          <w:szCs w:val="28"/>
        </w:rPr>
        <w:t>792.33</w:t>
      </w:r>
      <w:r>
        <w:rPr>
          <w:rFonts w:hint="eastAsia" w:ascii="仿宋_GB2312" w:eastAsia="仿宋_GB2312"/>
          <w:sz w:val="28"/>
          <w:szCs w:val="28"/>
        </w:rPr>
        <w:t>万元，政府采购工程支出</w:t>
      </w:r>
      <w:r>
        <w:rPr>
          <w:rFonts w:ascii="仿宋_GB2312" w:eastAsia="仿宋_GB2312"/>
          <w:sz w:val="28"/>
          <w:szCs w:val="28"/>
        </w:rPr>
        <w:t>13931.42</w:t>
      </w:r>
      <w:r>
        <w:rPr>
          <w:rFonts w:hint="eastAsia" w:ascii="仿宋_GB2312" w:eastAsia="仿宋_GB2312"/>
          <w:sz w:val="28"/>
          <w:szCs w:val="28"/>
        </w:rPr>
        <w:t>万元，政府采购服务支出</w:t>
      </w:r>
      <w:r>
        <w:rPr>
          <w:rFonts w:ascii="仿宋_GB2312" w:eastAsia="仿宋_GB2312"/>
          <w:sz w:val="28"/>
          <w:szCs w:val="28"/>
        </w:rPr>
        <w:t>9032.17</w:t>
      </w:r>
      <w:r>
        <w:rPr>
          <w:rFonts w:hint="eastAsia" w:ascii="仿宋_GB2312" w:eastAsia="仿宋_GB2312"/>
          <w:sz w:val="28"/>
          <w:szCs w:val="28"/>
        </w:rPr>
        <w:t>万元。授予中小企业合同金额</w:t>
      </w:r>
      <w:r>
        <w:rPr>
          <w:rFonts w:ascii="仿宋_GB2312" w:eastAsia="仿宋_GB2312"/>
          <w:sz w:val="28"/>
          <w:szCs w:val="28"/>
        </w:rPr>
        <w:t>20280.55</w:t>
      </w:r>
      <w:r>
        <w:rPr>
          <w:rFonts w:hint="eastAsia" w:ascii="仿宋_GB2312" w:eastAsia="仿宋_GB2312"/>
          <w:sz w:val="28"/>
          <w:szCs w:val="28"/>
        </w:rPr>
        <w:t>万元，占政府采购支出总额的</w:t>
      </w:r>
      <w:r>
        <w:rPr>
          <w:rFonts w:ascii="仿宋_GB2312" w:eastAsia="仿宋_GB2312"/>
          <w:sz w:val="28"/>
          <w:szCs w:val="28"/>
        </w:rPr>
        <w:t>85.37</w:t>
      </w:r>
      <w:r>
        <w:rPr>
          <w:rFonts w:hint="eastAsia" w:ascii="仿宋_GB2312" w:eastAsia="仿宋_GB2312"/>
          <w:sz w:val="28"/>
          <w:szCs w:val="28"/>
        </w:rPr>
        <w:t>%，其中：授予小微企业合同金额</w:t>
      </w:r>
      <w:r>
        <w:rPr>
          <w:rFonts w:ascii="仿宋_GB2312" w:eastAsia="仿宋_GB2312"/>
          <w:sz w:val="28"/>
          <w:szCs w:val="28"/>
        </w:rPr>
        <w:t>20280.55</w:t>
      </w:r>
      <w:r>
        <w:rPr>
          <w:rFonts w:hint="eastAsia" w:ascii="仿宋_GB2312" w:eastAsia="仿宋_GB2312"/>
          <w:sz w:val="28"/>
          <w:szCs w:val="28"/>
        </w:rPr>
        <w:t>万元，占政府采购支出总额的</w:t>
      </w:r>
      <w:r>
        <w:rPr>
          <w:rFonts w:ascii="仿宋_GB2312" w:eastAsia="仿宋_GB2312"/>
          <w:sz w:val="28"/>
          <w:szCs w:val="28"/>
        </w:rPr>
        <w:t>85.37</w:t>
      </w:r>
      <w:r>
        <w:rPr>
          <w:rFonts w:hint="eastAsia" w:ascii="仿宋_GB2312" w:eastAsia="仿宋_GB2312"/>
          <w:sz w:val="28"/>
          <w:szCs w:val="28"/>
        </w:rPr>
        <w:t>%。</w:t>
      </w:r>
    </w:p>
    <w:p>
      <w:pPr>
        <w:ind w:firstLine="560" w:firstLineChars="200"/>
        <w:rPr>
          <w:rFonts w:ascii="黑体" w:eastAsia="黑体"/>
          <w:sz w:val="28"/>
          <w:szCs w:val="28"/>
          <w:highlight w:val="yellow"/>
        </w:rPr>
      </w:pPr>
      <w:r>
        <w:rPr>
          <w:rFonts w:hint="eastAsia" w:ascii="黑体" w:eastAsia="黑体"/>
          <w:sz w:val="28"/>
          <w:szCs w:val="28"/>
        </w:rPr>
        <w:t>四、国有资产占用情况</w:t>
      </w:r>
    </w:p>
    <w:p>
      <w:pPr>
        <w:ind w:firstLine="560" w:firstLineChars="200"/>
        <w:rPr>
          <w:rFonts w:ascii="仿宋_GB2312" w:eastAsia="仿宋_GB2312"/>
          <w:sz w:val="32"/>
          <w:szCs w:val="32"/>
        </w:rPr>
      </w:pPr>
      <w:r>
        <w:rPr>
          <w:rFonts w:hint="eastAsia" w:ascii="仿宋_GB2312" w:eastAsia="仿宋_GB2312"/>
          <w:sz w:val="28"/>
          <w:szCs w:val="28"/>
        </w:rPr>
        <w:t>2023年度新购置车辆0台，共计0.00万元；新购置单位价值100万元（含）以上的设备0台（套），共计0.00万元。截至12月31日，部门共有车辆台，共计</w:t>
      </w:r>
      <w:r>
        <w:rPr>
          <w:rFonts w:hint="eastAsia" w:ascii="仿宋_GB2312" w:eastAsia="仿宋_GB2312"/>
          <w:sz w:val="28"/>
          <w:szCs w:val="28"/>
          <w:lang w:val="en-US" w:eastAsia="zh-CN"/>
        </w:rPr>
        <w:t>0.00</w:t>
      </w:r>
      <w:r>
        <w:rPr>
          <w:rFonts w:hint="eastAsia" w:ascii="仿宋_GB2312" w:eastAsia="仿宋_GB2312"/>
          <w:sz w:val="28"/>
          <w:szCs w:val="28"/>
        </w:rPr>
        <w:t>万元；单位价值100万元（含）以上的设备</w:t>
      </w:r>
      <w:r>
        <w:rPr>
          <w:rFonts w:hint="eastAsia" w:ascii="仿宋_GB2312" w:eastAsia="仿宋_GB2312"/>
          <w:sz w:val="28"/>
          <w:szCs w:val="28"/>
          <w:lang w:val="en-US" w:eastAsia="zh-CN"/>
        </w:rPr>
        <w:t>0</w:t>
      </w:r>
      <w:r>
        <w:rPr>
          <w:rFonts w:hint="eastAsia" w:ascii="仿宋_GB2312" w:eastAsia="仿宋_GB2312"/>
          <w:sz w:val="28"/>
          <w:szCs w:val="28"/>
        </w:rPr>
        <w:t>台（套），共计</w:t>
      </w:r>
      <w:r>
        <w:rPr>
          <w:rFonts w:hint="eastAsia" w:ascii="仿宋_GB2312" w:eastAsia="仿宋_GB2312"/>
          <w:sz w:val="28"/>
          <w:szCs w:val="28"/>
          <w:lang w:val="en-US" w:eastAsia="zh-CN"/>
        </w:rPr>
        <w:t>0.00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ascii="仿宋_GB2312" w:eastAsia="仿宋_GB2312"/>
          <w:sz w:val="28"/>
          <w:szCs w:val="28"/>
        </w:rPr>
      </w:pPr>
      <w:r>
        <w:rPr>
          <w:rFonts w:hint="eastAsia" w:ascii="仿宋_GB2312" w:eastAsia="仿宋_GB2312"/>
          <w:sz w:val="28"/>
          <w:szCs w:val="28"/>
        </w:rPr>
        <w:t>2023年度</w:t>
      </w:r>
      <w:r>
        <w:rPr>
          <w:rFonts w:ascii="仿宋_GB2312" w:eastAsia="仿宋_GB2312"/>
          <w:sz w:val="28"/>
          <w:szCs w:val="28"/>
        </w:rPr>
        <w:t>政府购买服务决算730.02</w:t>
      </w:r>
      <w:r>
        <w:rPr>
          <w:rFonts w:hint="eastAsia" w:ascii="仿宋_GB2312" w:eastAsia="仿宋_GB2312"/>
          <w:sz w:val="28"/>
          <w:szCs w:val="28"/>
        </w:rPr>
        <w:t>万元。</w:t>
      </w:r>
    </w:p>
    <w:bookmarkEnd w:id="2"/>
    <w:p>
      <w:pPr>
        <w:ind w:firstLine="560" w:firstLineChars="200"/>
        <w:jc w:val="left"/>
        <w:rPr>
          <w:rFonts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635" w:firstLineChars="200"/>
        <w:rPr>
          <w:rFonts w:ascii="仿宋_GB2312" w:eastAsia="仿宋_GB2312"/>
          <w:b/>
          <w:color w:val="000000"/>
          <w:spacing w:val="-2"/>
          <w:sz w:val="32"/>
          <w:szCs w:val="32"/>
        </w:rPr>
      </w:pPr>
      <w:r>
        <w:rPr>
          <w:rFonts w:hint="eastAsia" w:ascii="仿宋_GB2312" w:eastAsia="仿宋_GB2312"/>
          <w:b/>
          <w:color w:val="000000"/>
          <w:spacing w:val="-2"/>
          <w:sz w:val="32"/>
          <w:szCs w:val="32"/>
        </w:rPr>
        <w:t>7.各单位需根据自身业务职能，补充当年使用的所有支出功能分类项级科目名词解释，例如：</w:t>
      </w:r>
    </w:p>
    <w:p>
      <w:pPr>
        <w:ind w:firstLine="635" w:firstLineChars="200"/>
        <w:rPr>
          <w:rFonts w:ascii="仿宋_GB2312" w:eastAsia="仿宋_GB2312"/>
          <w:sz w:val="28"/>
          <w:szCs w:val="28"/>
        </w:rPr>
      </w:pPr>
      <w:r>
        <w:rPr>
          <w:rFonts w:hint="eastAsia" w:ascii="仿宋_GB2312" w:eastAsia="仿宋_GB2312"/>
          <w:b/>
          <w:color w:val="000000"/>
          <w:spacing w:val="-2"/>
          <w:sz w:val="32"/>
          <w:szCs w:val="32"/>
        </w:rPr>
        <w:t>一般公共服务支出（类）人大事务（款）行政运行（项）：反映行政单位（包括实行公务员管理的事业单位）的基本支出</w:t>
      </w:r>
      <w:r>
        <w:rPr>
          <w:rFonts w:hint="eastAsia" w:ascii="仿宋_GB2312" w:eastAsia="仿宋_GB2312"/>
          <w:sz w:val="28"/>
          <w:szCs w:val="28"/>
        </w:rPr>
        <w:t>。</w:t>
      </w:r>
    </w:p>
    <w:p>
      <w:pPr>
        <w:rPr>
          <w:rFonts w:ascii="仿宋_GB2312" w:eastAsia="仿宋_GB2312"/>
          <w:sz w:val="28"/>
          <w:szCs w:val="28"/>
        </w:rPr>
      </w:pPr>
    </w:p>
    <w:p>
      <w:pPr>
        <w:ind w:firstLine="635" w:firstLineChars="200"/>
        <w:rPr>
          <w:rFonts w:ascii="仿宋_GB2312" w:eastAsia="仿宋_GB2312"/>
          <w:b/>
          <w:color w:val="000000"/>
          <w:spacing w:val="-2"/>
          <w:sz w:val="32"/>
          <w:szCs w:val="32"/>
        </w:rPr>
      </w:pPr>
    </w:p>
    <w:p>
      <w:pPr>
        <w:ind w:firstLine="640" w:firstLineChars="200"/>
        <w:jc w:val="center"/>
        <w:rPr>
          <w:rFonts w:ascii="黑体" w:eastAsia="黑体"/>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rPr>
          <w:rFonts w:hint="eastAsia"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w:t>
      </w:r>
      <w:r>
        <w:rPr>
          <w:rFonts w:hint="eastAsia" w:ascii="黑体" w:eastAsia="黑体"/>
          <w:sz w:val="32"/>
          <w:szCs w:val="32"/>
          <w:lang w:val="en-US" w:eastAsia="zh-CN"/>
        </w:rPr>
        <w:t>3</w:t>
      </w:r>
      <w:r>
        <w:rPr>
          <w:rFonts w:hint="eastAsia" w:ascii="黑体" w:eastAsia="黑体"/>
          <w:sz w:val="32"/>
          <w:szCs w:val="32"/>
          <w:lang w:eastAsia="zh-CN"/>
        </w:rPr>
        <w:t>年度</w:t>
      </w:r>
      <w:r>
        <w:rPr>
          <w:rFonts w:hint="eastAsia" w:ascii="黑体" w:eastAsia="黑体"/>
          <w:sz w:val="32"/>
          <w:szCs w:val="32"/>
        </w:rPr>
        <w:t>部门绩效评价情况</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黑体" w:eastAsia="黑体"/>
          <w:sz w:val="28"/>
          <w:szCs w:val="28"/>
          <w:highlight w:val="yellow"/>
        </w:rPr>
      </w:pPr>
    </w:p>
    <w:p>
      <w:pPr>
        <w:pStyle w:val="4"/>
        <w:keepNext w:val="0"/>
        <w:keepLines w:val="0"/>
        <w:pageBreakBefore w:val="0"/>
        <w:kinsoku/>
        <w:wordWrap/>
        <w:overflowPunct/>
        <w:topLinePunct w:val="0"/>
        <w:autoSpaceDE/>
        <w:autoSpaceDN/>
        <w:bidi w:val="0"/>
        <w:adjustRightInd/>
        <w:snapToGrid/>
        <w:spacing w:before="172" w:line="520" w:lineRule="exact"/>
        <w:ind w:firstLine="554" w:firstLineChars="200"/>
        <w:rPr>
          <w:rFonts w:hint="eastAsia" w:ascii="仿宋_GB2312" w:hAnsi="仿宋_GB2312" w:eastAsia="仿宋_GB2312" w:cs="仿宋_GB2312"/>
          <w:b/>
          <w:bCs/>
          <w:spacing w:val="-2"/>
          <w:kern w:val="2"/>
          <w:position w:val="18"/>
          <w:sz w:val="28"/>
          <w:szCs w:val="28"/>
          <w:lang w:val="en-US" w:eastAsia="zh-CN" w:bidi="ar-SA"/>
        </w:rPr>
      </w:pPr>
      <w:r>
        <w:rPr>
          <w:rFonts w:hint="eastAsia" w:ascii="仿宋_GB2312" w:hAnsi="仿宋_GB2312" w:eastAsia="仿宋_GB2312" w:cs="仿宋_GB2312"/>
          <w:b/>
          <w:bCs/>
          <w:spacing w:val="-2"/>
          <w:kern w:val="2"/>
          <w:position w:val="18"/>
          <w:sz w:val="28"/>
          <w:szCs w:val="28"/>
          <w:lang w:val="en-US" w:eastAsia="zh-CN" w:bidi="ar-SA"/>
        </w:rPr>
        <w:t>一、重点项目支出绩效评价报告（所有部门均需填报）</w:t>
      </w:r>
    </w:p>
    <w:p>
      <w:pPr>
        <w:pStyle w:val="4"/>
        <w:keepNext w:val="0"/>
        <w:keepLines w:val="0"/>
        <w:pageBreakBefore w:val="0"/>
        <w:kinsoku/>
        <w:wordWrap/>
        <w:overflowPunct/>
        <w:topLinePunct w:val="0"/>
        <w:autoSpaceDE/>
        <w:autoSpaceDN/>
        <w:bidi w:val="0"/>
        <w:adjustRightInd/>
        <w:snapToGrid/>
        <w:spacing w:before="172" w:line="520" w:lineRule="exact"/>
        <w:ind w:firstLine="554" w:firstLineChars="200"/>
        <w:rPr>
          <w:rFonts w:hint="eastAsia" w:ascii="仿宋_GB2312" w:hAnsi="仿宋_GB2312" w:eastAsia="仿宋_GB2312" w:cs="仿宋_GB2312"/>
          <w:b/>
          <w:bCs/>
          <w:spacing w:val="-2"/>
          <w:kern w:val="2"/>
          <w:position w:val="18"/>
          <w:sz w:val="28"/>
          <w:szCs w:val="28"/>
          <w:lang w:val="en-US" w:eastAsia="en-US" w:bidi="ar-SA"/>
        </w:rPr>
      </w:pPr>
      <w:r>
        <w:rPr>
          <w:rFonts w:hint="eastAsia" w:ascii="仿宋_GB2312" w:hAnsi="仿宋_GB2312" w:eastAsia="仿宋_GB2312" w:cs="仿宋_GB2312"/>
          <w:b/>
          <w:bCs/>
          <w:spacing w:val="-2"/>
          <w:kern w:val="2"/>
          <w:position w:val="18"/>
          <w:sz w:val="28"/>
          <w:szCs w:val="28"/>
          <w:lang w:val="en-US" w:eastAsia="zh-CN" w:bidi="ar-SA"/>
        </w:rPr>
        <w:t>（一）</w:t>
      </w:r>
      <w:r>
        <w:rPr>
          <w:rFonts w:hint="eastAsia" w:ascii="仿宋_GB2312" w:hAnsi="仿宋_GB2312" w:eastAsia="仿宋_GB2312" w:cs="仿宋_GB2312"/>
          <w:b/>
          <w:bCs/>
          <w:spacing w:val="-2"/>
          <w:kern w:val="2"/>
          <w:position w:val="18"/>
          <w:sz w:val="28"/>
          <w:szCs w:val="28"/>
          <w:lang w:val="en-US" w:eastAsia="en-US" w:bidi="ar-SA"/>
        </w:rPr>
        <w:t>基本情况</w:t>
      </w:r>
    </w:p>
    <w:p>
      <w:pPr>
        <w:pStyle w:val="4"/>
        <w:keepNext w:val="0"/>
        <w:keepLines w:val="0"/>
        <w:pageBreakBefore w:val="0"/>
        <w:kinsoku/>
        <w:wordWrap/>
        <w:overflowPunct/>
        <w:topLinePunct w:val="0"/>
        <w:autoSpaceDE/>
        <w:autoSpaceDN/>
        <w:bidi w:val="0"/>
        <w:adjustRightInd/>
        <w:snapToGrid/>
        <w:spacing w:before="172" w:line="520" w:lineRule="exact"/>
        <w:ind w:firstLine="552" w:firstLineChars="200"/>
        <w:rPr>
          <w:rFonts w:hint="eastAsia" w:ascii="仿宋_GB2312" w:hAnsi="仿宋_GB2312" w:eastAsia="仿宋_GB2312" w:cs="仿宋_GB2312"/>
          <w:spacing w:val="-2"/>
          <w:kern w:val="2"/>
          <w:position w:val="18"/>
          <w:sz w:val="28"/>
          <w:szCs w:val="28"/>
          <w:lang w:val="en-US" w:eastAsia="en-US" w:bidi="ar-SA"/>
        </w:rPr>
      </w:pPr>
      <w:r>
        <w:rPr>
          <w:rFonts w:hint="eastAsia" w:ascii="仿宋_GB2312" w:hAnsi="仿宋_GB2312" w:eastAsia="仿宋_GB2312" w:cs="仿宋_GB2312"/>
          <w:spacing w:val="-2"/>
          <w:kern w:val="2"/>
          <w:position w:val="18"/>
          <w:sz w:val="28"/>
          <w:szCs w:val="28"/>
          <w:lang w:val="en-US" w:eastAsia="zh-CN" w:bidi="ar-SA"/>
        </w:rPr>
        <w:t>1.</w:t>
      </w:r>
      <w:r>
        <w:rPr>
          <w:rFonts w:hint="eastAsia" w:ascii="仿宋_GB2312" w:hAnsi="仿宋_GB2312" w:eastAsia="仿宋_GB2312" w:cs="仿宋_GB2312"/>
          <w:spacing w:val="-2"/>
          <w:kern w:val="2"/>
          <w:position w:val="18"/>
          <w:sz w:val="28"/>
          <w:szCs w:val="28"/>
          <w:lang w:val="en-US" w:eastAsia="en-US" w:bidi="ar-SA"/>
        </w:rPr>
        <w:t>项目名称：2022年永乐店镇困难群众精准帮扶</w:t>
      </w:r>
      <w:r>
        <w:rPr>
          <w:rFonts w:hint="eastAsia" w:ascii="仿宋_GB2312" w:hAnsi="仿宋_GB2312" w:eastAsia="仿宋_GB2312" w:cs="仿宋_GB2312"/>
          <w:spacing w:val="-2"/>
          <w:kern w:val="2"/>
          <w:position w:val="18"/>
          <w:sz w:val="28"/>
          <w:szCs w:val="28"/>
          <w:lang w:val="en-US" w:eastAsia="zh-CN" w:bidi="ar-SA"/>
        </w:rPr>
        <w:t>，</w:t>
      </w:r>
      <w:r>
        <w:rPr>
          <w:rFonts w:hint="eastAsia" w:ascii="仿宋_GB2312" w:hAnsi="仿宋_GB2312" w:eastAsia="仿宋_GB2312" w:cs="仿宋_GB2312"/>
          <w:spacing w:val="-2"/>
          <w:kern w:val="2"/>
          <w:position w:val="18"/>
          <w:sz w:val="28"/>
          <w:szCs w:val="28"/>
          <w:lang w:val="en-US" w:eastAsia="en-US" w:bidi="ar-SA"/>
        </w:rPr>
        <w:t>项目单位：北京市通州区永乐店镇人民政府</w:t>
      </w:r>
      <w:r>
        <w:rPr>
          <w:rFonts w:hint="eastAsia" w:ascii="仿宋_GB2312" w:hAnsi="仿宋_GB2312" w:eastAsia="仿宋_GB2312" w:cs="仿宋_GB2312"/>
          <w:spacing w:val="-2"/>
          <w:kern w:val="2"/>
          <w:position w:val="18"/>
          <w:sz w:val="28"/>
          <w:szCs w:val="28"/>
          <w:lang w:val="en-US" w:eastAsia="zh-CN" w:bidi="ar-SA"/>
        </w:rPr>
        <w:t>，</w:t>
      </w:r>
      <w:r>
        <w:rPr>
          <w:rFonts w:hint="eastAsia" w:ascii="仿宋_GB2312" w:hAnsi="仿宋_GB2312" w:eastAsia="仿宋_GB2312" w:cs="仿宋_GB2312"/>
          <w:spacing w:val="-2"/>
          <w:kern w:val="2"/>
          <w:position w:val="18"/>
          <w:sz w:val="28"/>
          <w:szCs w:val="28"/>
          <w:lang w:val="en-US" w:eastAsia="en-US" w:bidi="ar-SA"/>
        </w:rPr>
        <w:t>主管部门：北京市通州区永乐店镇人民政府</w:t>
      </w:r>
      <w:r>
        <w:rPr>
          <w:rFonts w:hint="eastAsia" w:ascii="仿宋_GB2312" w:hAnsi="仿宋_GB2312" w:eastAsia="仿宋_GB2312" w:cs="仿宋_GB2312"/>
          <w:spacing w:val="-2"/>
          <w:kern w:val="2"/>
          <w:position w:val="18"/>
          <w:sz w:val="28"/>
          <w:szCs w:val="28"/>
          <w:lang w:val="en-US" w:eastAsia="zh-CN" w:bidi="ar-SA"/>
        </w:rPr>
        <w:t>，</w:t>
      </w:r>
      <w:r>
        <w:rPr>
          <w:rFonts w:hint="eastAsia" w:ascii="仿宋_GB2312" w:hAnsi="仿宋_GB2312" w:eastAsia="仿宋_GB2312" w:cs="仿宋_GB2312"/>
          <w:spacing w:val="-2"/>
          <w:kern w:val="2"/>
          <w:position w:val="18"/>
          <w:sz w:val="28"/>
          <w:szCs w:val="28"/>
          <w:lang w:val="en-US" w:eastAsia="en-US" w:bidi="ar-SA"/>
        </w:rPr>
        <w:t>项目类型：延续性</w:t>
      </w:r>
      <w:r>
        <w:rPr>
          <w:rFonts w:hint="eastAsia" w:ascii="仿宋_GB2312" w:hAnsi="仿宋_GB2312" w:eastAsia="仿宋_GB2312" w:cs="仿宋_GB2312"/>
          <w:spacing w:val="-2"/>
          <w:kern w:val="2"/>
          <w:position w:val="18"/>
          <w:sz w:val="28"/>
          <w:szCs w:val="28"/>
          <w:lang w:val="en-US" w:eastAsia="zh-CN" w:bidi="ar-SA"/>
        </w:rPr>
        <w:t>，</w:t>
      </w:r>
      <w:r>
        <w:rPr>
          <w:rFonts w:hint="eastAsia" w:ascii="仿宋_GB2312" w:hAnsi="仿宋_GB2312" w:eastAsia="仿宋_GB2312" w:cs="仿宋_GB2312"/>
          <w:spacing w:val="-2"/>
          <w:kern w:val="2"/>
          <w:position w:val="18"/>
          <w:sz w:val="28"/>
          <w:szCs w:val="28"/>
          <w:lang w:val="en-US" w:eastAsia="en-US" w:bidi="ar-SA"/>
        </w:rPr>
        <w:t>项目总预算：2022年度预算资金金额256,543.00元，全部来源于永乐店镇政府财政资金。</w:t>
      </w:r>
    </w:p>
    <w:p>
      <w:pPr>
        <w:pStyle w:val="4"/>
        <w:keepNext w:val="0"/>
        <w:keepLines w:val="0"/>
        <w:pageBreakBefore w:val="0"/>
        <w:kinsoku/>
        <w:wordWrap/>
        <w:overflowPunct/>
        <w:topLinePunct w:val="0"/>
        <w:autoSpaceDE/>
        <w:autoSpaceDN/>
        <w:bidi w:val="0"/>
        <w:adjustRightInd/>
        <w:snapToGrid/>
        <w:spacing w:before="168" w:line="520" w:lineRule="exact"/>
        <w:ind w:left="639"/>
        <w:rPr>
          <w:rFonts w:hint="eastAsia" w:ascii="仿宋_GB2312" w:hAnsi="仿宋_GB2312" w:eastAsia="仿宋_GB2312" w:cs="仿宋_GB2312"/>
          <w:spacing w:val="-2"/>
          <w:kern w:val="2"/>
          <w:position w:val="18"/>
          <w:sz w:val="28"/>
          <w:szCs w:val="28"/>
          <w:lang w:val="en-US" w:eastAsia="en-US" w:bidi="ar-SA"/>
        </w:rPr>
      </w:pPr>
      <w:r>
        <w:rPr>
          <w:rFonts w:hint="eastAsia" w:ascii="仿宋_GB2312" w:hAnsi="仿宋_GB2312" w:eastAsia="仿宋_GB2312" w:cs="仿宋_GB2312"/>
          <w:spacing w:val="-2"/>
          <w:kern w:val="2"/>
          <w:position w:val="18"/>
          <w:sz w:val="28"/>
          <w:szCs w:val="28"/>
          <w:lang w:val="en-US" w:eastAsia="en-US" w:bidi="ar-SA"/>
        </w:rPr>
        <w:t>2.项目立项背景及依据</w:t>
      </w:r>
    </w:p>
    <w:p>
      <w:pPr>
        <w:pStyle w:val="4"/>
        <w:keepNext w:val="0"/>
        <w:keepLines w:val="0"/>
        <w:pageBreakBefore w:val="0"/>
        <w:kinsoku/>
        <w:wordWrap/>
        <w:overflowPunct/>
        <w:topLinePunct w:val="0"/>
        <w:autoSpaceDE/>
        <w:autoSpaceDN/>
        <w:bidi w:val="0"/>
        <w:adjustRightInd/>
        <w:snapToGrid/>
        <w:spacing w:before="168" w:line="520" w:lineRule="exact"/>
        <w:ind w:firstLine="552" w:firstLineChars="200"/>
        <w:rPr>
          <w:rFonts w:hint="eastAsia" w:ascii="仿宋_GB2312" w:hAnsi="仿宋_GB2312" w:eastAsia="仿宋_GB2312" w:cs="仿宋_GB2312"/>
          <w:spacing w:val="-2"/>
          <w:position w:val="18"/>
          <w:sz w:val="28"/>
          <w:szCs w:val="28"/>
        </w:rPr>
      </w:pPr>
      <w:r>
        <w:rPr>
          <w:rFonts w:hint="eastAsia" w:ascii="仿宋_GB2312" w:hAnsi="仿宋_GB2312" w:eastAsia="仿宋_GB2312" w:cs="仿宋_GB2312"/>
          <w:spacing w:val="-2"/>
          <w:position w:val="18"/>
          <w:sz w:val="28"/>
          <w:szCs w:val="28"/>
        </w:rPr>
        <w:t>为贯彻落实《北京市民政局关于加快“三社联动”推动基层社会治理创新的意见》(京民社工发〔2015〕458号)和《北京市民政局北京市财政局关于社会工作参与精准救助的实施意见》(京民社工发〔2017〕23号)等文件要求，依据北京市民政局、北京市机构编委委员会办公室、北京市财政局、北京市人力资源和社会保障局《关于积极推行政府购 买服务进一步加强基层社会救助经办能力建设的实施意见》(京民社救发〔2018〕313号)文件精神，结合北京市2022 年困难群众救助政策调整，永乐店镇政府采取政府购买服务的方式，引入第三方机构开展实施2022年永乐店镇困难群众精准帮扶项目。</w:t>
      </w:r>
    </w:p>
    <w:p>
      <w:pPr>
        <w:pStyle w:val="4"/>
        <w:keepNext w:val="0"/>
        <w:keepLines w:val="0"/>
        <w:pageBreakBefore w:val="0"/>
        <w:kinsoku/>
        <w:wordWrap/>
        <w:overflowPunct/>
        <w:topLinePunct w:val="0"/>
        <w:autoSpaceDE/>
        <w:autoSpaceDN/>
        <w:bidi w:val="0"/>
        <w:adjustRightInd/>
        <w:snapToGrid/>
        <w:spacing w:before="168" w:line="520" w:lineRule="exact"/>
        <w:ind w:left="639"/>
        <w:rPr>
          <w:rFonts w:hint="eastAsia" w:ascii="仿宋_GB2312" w:hAnsi="仿宋_GB2312" w:eastAsia="仿宋_GB2312" w:cs="仿宋_GB2312"/>
          <w:spacing w:val="-2"/>
          <w:position w:val="18"/>
          <w:sz w:val="28"/>
          <w:szCs w:val="28"/>
        </w:rPr>
      </w:pPr>
      <w:r>
        <w:rPr>
          <w:rFonts w:hint="eastAsia" w:ascii="仿宋_GB2312" w:hAnsi="仿宋_GB2312" w:eastAsia="仿宋_GB2312" w:cs="仿宋_GB2312"/>
          <w:spacing w:val="-2"/>
          <w:position w:val="18"/>
          <w:sz w:val="28"/>
          <w:szCs w:val="28"/>
        </w:rPr>
        <w:t>3.项目实施主体</w:t>
      </w:r>
    </w:p>
    <w:p>
      <w:pPr>
        <w:pStyle w:val="4"/>
        <w:keepNext w:val="0"/>
        <w:keepLines w:val="0"/>
        <w:pageBreakBefore w:val="0"/>
        <w:kinsoku/>
        <w:wordWrap/>
        <w:overflowPunct/>
        <w:topLinePunct w:val="0"/>
        <w:autoSpaceDE/>
        <w:autoSpaceDN/>
        <w:bidi w:val="0"/>
        <w:adjustRightInd/>
        <w:snapToGrid/>
        <w:spacing w:before="168" w:line="520" w:lineRule="exact"/>
        <w:ind w:firstLine="552" w:firstLineChars="200"/>
        <w:rPr>
          <w:rFonts w:hint="eastAsia" w:ascii="仿宋" w:hAnsi="仿宋" w:eastAsia="仿宋" w:cs="仿宋"/>
          <w:spacing w:val="-2"/>
          <w:position w:val="18"/>
          <w:sz w:val="28"/>
          <w:szCs w:val="28"/>
        </w:rPr>
      </w:pPr>
      <w:r>
        <w:rPr>
          <w:rFonts w:hint="eastAsia" w:ascii="仿宋_GB2312" w:hAnsi="仿宋_GB2312" w:eastAsia="仿宋_GB2312" w:cs="仿宋_GB2312"/>
          <w:spacing w:val="-2"/>
          <w:position w:val="18"/>
          <w:sz w:val="28"/>
          <w:szCs w:val="28"/>
        </w:rPr>
        <w:t>该项目实施主体为永乐店镇政府，由永乐店镇社区建设和民生保障办公室牵头实施，主要职责为开展并建立社会救助对象帮扶台账；定期入户抽查低保、低收入和特困家庭经济状况；对困境老、残、儿人群开展入户排查、政策宣传、需求评估，符合社会救助条件的及时协助做好相关工作</w:t>
      </w:r>
      <w:r>
        <w:rPr>
          <w:rFonts w:hint="eastAsia" w:ascii="仿宋_GB2312" w:hAnsi="仿宋_GB2312" w:eastAsia="仿宋_GB2312" w:cs="仿宋_GB2312"/>
          <w:spacing w:val="-2"/>
          <w:position w:val="18"/>
          <w:sz w:val="28"/>
          <w:szCs w:val="28"/>
          <w:lang w:eastAsia="zh-CN"/>
        </w:rPr>
        <w:t>，</w:t>
      </w:r>
      <w:r>
        <w:rPr>
          <w:rFonts w:hint="eastAsia" w:ascii="仿宋_GB2312" w:hAnsi="仿宋_GB2312" w:eastAsia="仿宋_GB2312" w:cs="仿宋_GB2312"/>
          <w:spacing w:val="-2"/>
          <w:position w:val="18"/>
          <w:sz w:val="28"/>
          <w:szCs w:val="28"/>
        </w:rPr>
        <w:t>完善救助帮扶台账，实施动态管理；针对困难群</w:t>
      </w:r>
      <w:r>
        <w:rPr>
          <w:rFonts w:hint="eastAsia" w:ascii="仿宋" w:hAnsi="仿宋" w:eastAsia="仿宋" w:cs="仿宋"/>
          <w:spacing w:val="-2"/>
          <w:position w:val="18"/>
          <w:sz w:val="28"/>
          <w:szCs w:val="28"/>
        </w:rPr>
        <w:t>体开展专业活动；招募志愿者，形成区、街乡镇、居村委会三级联动</w:t>
      </w:r>
      <w:r>
        <w:rPr>
          <w:rFonts w:hint="eastAsia" w:cs="仿宋"/>
          <w:spacing w:val="-2"/>
          <w:position w:val="18"/>
          <w:sz w:val="28"/>
          <w:szCs w:val="28"/>
          <w:lang w:eastAsia="zh-CN"/>
        </w:rPr>
        <w:t>。</w:t>
      </w:r>
    </w:p>
    <w:p>
      <w:pPr>
        <w:pStyle w:val="4"/>
        <w:keepNext w:val="0"/>
        <w:keepLines w:val="0"/>
        <w:pageBreakBefore w:val="0"/>
        <w:kinsoku/>
        <w:wordWrap/>
        <w:overflowPunct/>
        <w:topLinePunct w:val="0"/>
        <w:autoSpaceDE/>
        <w:autoSpaceDN/>
        <w:bidi w:val="0"/>
        <w:adjustRightInd/>
        <w:snapToGrid/>
        <w:spacing w:before="168" w:line="520" w:lineRule="exact"/>
        <w:ind w:firstLine="552" w:firstLineChars="200"/>
        <w:rPr>
          <w:rFonts w:hint="eastAsia" w:ascii="仿宋" w:hAnsi="仿宋" w:eastAsia="仿宋" w:cs="仿宋"/>
          <w:spacing w:val="-2"/>
          <w:position w:val="18"/>
          <w:sz w:val="28"/>
          <w:szCs w:val="28"/>
        </w:rPr>
      </w:pPr>
      <w:r>
        <w:rPr>
          <w:rFonts w:hint="eastAsia" w:ascii="仿宋" w:hAnsi="仿宋" w:eastAsia="仿宋" w:cs="仿宋"/>
          <w:spacing w:val="-2"/>
          <w:position w:val="18"/>
          <w:sz w:val="28"/>
          <w:szCs w:val="28"/>
        </w:rPr>
        <w:t>4.项目实施内容</w:t>
      </w:r>
    </w:p>
    <w:p>
      <w:pPr>
        <w:pStyle w:val="4"/>
        <w:keepNext w:val="0"/>
        <w:keepLines w:val="0"/>
        <w:pageBreakBefore w:val="0"/>
        <w:widowControl w:val="0"/>
        <w:kinsoku/>
        <w:wordWrap/>
        <w:overflowPunct/>
        <w:topLinePunct w:val="0"/>
        <w:autoSpaceDE/>
        <w:autoSpaceDN/>
        <w:bidi w:val="0"/>
        <w:adjustRightInd/>
        <w:snapToGrid/>
        <w:spacing w:before="168" w:line="520" w:lineRule="exact"/>
        <w:ind w:firstLine="552" w:firstLineChars="200"/>
        <w:textAlignment w:val="auto"/>
        <w:rPr>
          <w:rFonts w:hint="eastAsia" w:ascii="仿宋" w:hAnsi="仿宋" w:eastAsia="仿宋" w:cs="仿宋"/>
          <w:spacing w:val="-2"/>
          <w:position w:val="18"/>
          <w:sz w:val="28"/>
          <w:szCs w:val="28"/>
        </w:rPr>
      </w:pPr>
      <w:r>
        <w:rPr>
          <w:rFonts w:hint="eastAsia" w:ascii="仿宋" w:hAnsi="仿宋" w:eastAsia="仿宋" w:cs="仿宋"/>
          <w:spacing w:val="-2"/>
          <w:position w:val="18"/>
          <w:sz w:val="28"/>
          <w:szCs w:val="28"/>
        </w:rPr>
        <w:t>根据北京市2022年困难群众救助政策，永乐店镇民政科以镇困难群众服务所为依托，制定了《永乐店镇困难群众救助服务所章程》《困难群众救助服务所工作职责》《困难群众救助服务所工作纪律》等相关规章制度，永乐店镇民政科指定专人对接困难群众服务所和精准帮扶项目，并要求项目方依托永乐店镇政府困难群众服务所，由专人全职在困难群众服务所工作，确保工作实效。截至2022年12月31日，项目完成开展10人以下小组活动4次、社区活动8次、个案20户、困难群众救助台账 录入224户、个案帮扶台账录入160次。</w:t>
      </w:r>
    </w:p>
    <w:p>
      <w:pPr>
        <w:pStyle w:val="4"/>
        <w:keepNext w:val="0"/>
        <w:keepLines w:val="0"/>
        <w:pageBreakBefore w:val="0"/>
        <w:widowControl w:val="0"/>
        <w:kinsoku/>
        <w:wordWrap/>
        <w:overflowPunct/>
        <w:topLinePunct w:val="0"/>
        <w:autoSpaceDE/>
        <w:autoSpaceDN/>
        <w:bidi w:val="0"/>
        <w:adjustRightInd/>
        <w:snapToGrid/>
        <w:spacing w:before="168" w:line="520" w:lineRule="exact"/>
        <w:ind w:firstLine="552" w:firstLineChars="200"/>
        <w:textAlignment w:val="auto"/>
        <w:rPr>
          <w:rFonts w:hint="eastAsia" w:ascii="仿宋" w:hAnsi="仿宋" w:eastAsia="仿宋" w:cs="仿宋"/>
          <w:spacing w:val="-2"/>
          <w:position w:val="18"/>
          <w:sz w:val="28"/>
          <w:szCs w:val="28"/>
        </w:rPr>
      </w:pPr>
      <w:r>
        <w:rPr>
          <w:rFonts w:hint="eastAsia" w:ascii="仿宋" w:hAnsi="仿宋" w:eastAsia="仿宋" w:cs="仿宋"/>
          <w:spacing w:val="-2"/>
          <w:position w:val="18"/>
          <w:sz w:val="28"/>
          <w:szCs w:val="28"/>
        </w:rPr>
        <w:t>5.项目资金情况</w:t>
      </w:r>
    </w:p>
    <w:p>
      <w:pPr>
        <w:pStyle w:val="4"/>
        <w:keepNext w:val="0"/>
        <w:keepLines w:val="0"/>
        <w:pageBreakBefore w:val="0"/>
        <w:widowControl w:val="0"/>
        <w:kinsoku/>
        <w:wordWrap/>
        <w:overflowPunct/>
        <w:topLinePunct w:val="0"/>
        <w:autoSpaceDE/>
        <w:autoSpaceDN/>
        <w:bidi w:val="0"/>
        <w:adjustRightInd/>
        <w:snapToGrid/>
        <w:spacing w:before="168" w:line="520" w:lineRule="exact"/>
        <w:ind w:firstLine="552" w:firstLineChars="200"/>
        <w:textAlignment w:val="auto"/>
        <w:rPr>
          <w:rFonts w:hint="eastAsia" w:ascii="仿宋" w:hAnsi="仿宋" w:eastAsia="仿宋" w:cs="仿宋"/>
          <w:spacing w:val="-2"/>
          <w:position w:val="18"/>
          <w:sz w:val="28"/>
          <w:szCs w:val="28"/>
          <w:lang w:val="en-US" w:eastAsia="zh-CN"/>
        </w:rPr>
        <w:sectPr>
          <w:footerReference r:id="rId4" w:type="default"/>
          <w:pgSz w:w="11910" w:h="16850"/>
          <w:pgMar w:top="400" w:right="1786" w:bottom="1192" w:left="1709" w:header="0" w:footer="1134" w:gutter="0"/>
          <w:cols w:space="720" w:num="1"/>
        </w:sectPr>
      </w:pPr>
      <w:r>
        <w:rPr>
          <w:rFonts w:hint="eastAsia" w:ascii="仿宋" w:hAnsi="仿宋" w:eastAsia="仿宋" w:cs="仿宋"/>
          <w:spacing w:val="-2"/>
          <w:position w:val="18"/>
          <w:sz w:val="28"/>
          <w:szCs w:val="28"/>
        </w:rPr>
        <w:t>(1)项目资金投入情况</w:t>
      </w:r>
      <w:r>
        <w:rPr>
          <w:rFonts w:hint="eastAsia" w:cs="仿宋"/>
          <w:spacing w:val="-2"/>
          <w:position w:val="18"/>
          <w:sz w:val="28"/>
          <w:szCs w:val="28"/>
          <w:lang w:val="en-US" w:eastAsia="zh-CN"/>
        </w:rPr>
        <w:t>:</w:t>
      </w:r>
      <w:r>
        <w:rPr>
          <w:rFonts w:hint="eastAsia" w:ascii="仿宋" w:hAnsi="仿宋" w:eastAsia="仿宋" w:cs="仿宋"/>
          <w:spacing w:val="-2"/>
          <w:position w:val="18"/>
          <w:sz w:val="28"/>
          <w:szCs w:val="28"/>
        </w:rPr>
        <w:t>2022年度</w:t>
      </w:r>
      <w:r>
        <w:rPr>
          <w:rFonts w:hint="eastAsia" w:cs="仿宋"/>
          <w:spacing w:val="-2"/>
          <w:position w:val="18"/>
          <w:sz w:val="28"/>
          <w:szCs w:val="28"/>
          <w:lang w:eastAsia="zh-CN"/>
        </w:rPr>
        <w:t>，</w:t>
      </w:r>
      <w:r>
        <w:rPr>
          <w:rFonts w:hint="eastAsia" w:ascii="仿宋" w:hAnsi="仿宋" w:eastAsia="仿宋" w:cs="仿宋"/>
          <w:spacing w:val="-2"/>
          <w:position w:val="18"/>
          <w:sz w:val="28"/>
          <w:szCs w:val="28"/>
        </w:rPr>
        <w:t>该项目预算金额为256,543.00元。截至2022年12月31日，实际到位256,543.00元，预算到位率为100%,项目资金均为永乐店镇财政资金。(2)项目资金使用情况</w:t>
      </w:r>
      <w:r>
        <w:rPr>
          <w:rFonts w:hint="eastAsia" w:cs="仿宋"/>
          <w:spacing w:val="-2"/>
          <w:position w:val="18"/>
          <w:sz w:val="28"/>
          <w:szCs w:val="28"/>
          <w:lang w:val="en-US" w:eastAsia="zh-CN"/>
        </w:rPr>
        <w:t>:</w:t>
      </w:r>
      <w:r>
        <w:rPr>
          <w:rFonts w:hint="eastAsia" w:ascii="仿宋" w:hAnsi="仿宋" w:eastAsia="仿宋" w:cs="仿宋"/>
          <w:spacing w:val="-2"/>
          <w:position w:val="18"/>
          <w:sz w:val="28"/>
          <w:szCs w:val="28"/>
        </w:rPr>
        <w:t>2022年11月，区财政局批复该项目预算256,543.00元，项目预算为支付政府购买服务费。截至2022年12月31日，该项目的预算已全部支付完毕，预算执行率为100%。</w:t>
      </w:r>
    </w:p>
    <w:p>
      <w:pPr>
        <w:pStyle w:val="4"/>
        <w:keepNext w:val="0"/>
        <w:keepLines w:val="0"/>
        <w:pageBreakBefore w:val="0"/>
        <w:kinsoku/>
        <w:wordWrap/>
        <w:overflowPunct/>
        <w:topLinePunct w:val="0"/>
        <w:autoSpaceDE/>
        <w:autoSpaceDN/>
        <w:bidi w:val="0"/>
        <w:adjustRightInd/>
        <w:snapToGrid/>
        <w:spacing w:before="1" w:line="520" w:lineRule="exact"/>
        <w:rPr>
          <w:rFonts w:hint="eastAsia" w:ascii="仿宋" w:hAnsi="仿宋" w:eastAsia="仿宋" w:cs="仿宋"/>
          <w:spacing w:val="-2"/>
          <w:sz w:val="28"/>
          <w:szCs w:val="28"/>
          <w:lang w:eastAsia="zh-CN"/>
        </w:rPr>
      </w:pPr>
      <w:bookmarkStart w:id="3" w:name="bookmark8"/>
      <w:bookmarkEnd w:id="3"/>
      <w:bookmarkStart w:id="4" w:name="bookmark7"/>
      <w:bookmarkEnd w:id="4"/>
      <w:bookmarkStart w:id="5" w:name="bookmark9"/>
      <w:bookmarkEnd w:id="5"/>
    </w:p>
    <w:p>
      <w:pPr>
        <w:pStyle w:val="4"/>
        <w:keepNext w:val="0"/>
        <w:keepLines w:val="0"/>
        <w:pageBreakBefore w:val="0"/>
        <w:kinsoku/>
        <w:wordWrap/>
        <w:overflowPunct/>
        <w:topLinePunct w:val="0"/>
        <w:autoSpaceDE/>
        <w:autoSpaceDN/>
        <w:bidi w:val="0"/>
        <w:adjustRightInd/>
        <w:snapToGrid/>
        <w:spacing w:before="168" w:line="520" w:lineRule="exact"/>
        <w:ind w:firstLine="554" w:firstLineChars="200"/>
        <w:rPr>
          <w:rFonts w:hint="eastAsia" w:ascii="仿宋" w:hAnsi="仿宋" w:eastAsia="仿宋" w:cs="仿宋"/>
          <w:b/>
          <w:bCs/>
          <w:spacing w:val="-2"/>
          <w:position w:val="18"/>
          <w:sz w:val="28"/>
          <w:szCs w:val="28"/>
        </w:rPr>
      </w:pPr>
      <w:r>
        <w:rPr>
          <w:rFonts w:hint="eastAsia" w:ascii="仿宋" w:hAnsi="仿宋" w:eastAsia="仿宋" w:cs="仿宋"/>
          <w:b/>
          <w:bCs/>
          <w:spacing w:val="-2"/>
          <w:position w:val="18"/>
          <w:sz w:val="28"/>
          <w:szCs w:val="28"/>
          <w:lang w:eastAsia="zh-CN"/>
        </w:rPr>
        <w:t>（二）</w:t>
      </w:r>
      <w:r>
        <w:rPr>
          <w:rFonts w:hint="eastAsia" w:ascii="仿宋" w:hAnsi="仿宋" w:eastAsia="仿宋" w:cs="仿宋"/>
          <w:b/>
          <w:bCs/>
          <w:spacing w:val="-2"/>
          <w:position w:val="18"/>
          <w:sz w:val="28"/>
          <w:szCs w:val="28"/>
        </w:rPr>
        <w:t>绩效评价工作开展情况</w:t>
      </w:r>
    </w:p>
    <w:p>
      <w:pPr>
        <w:pStyle w:val="4"/>
        <w:keepNext w:val="0"/>
        <w:keepLines w:val="0"/>
        <w:pageBreakBefore w:val="0"/>
        <w:kinsoku/>
        <w:wordWrap/>
        <w:overflowPunct/>
        <w:topLinePunct w:val="0"/>
        <w:autoSpaceDE/>
        <w:autoSpaceDN/>
        <w:bidi w:val="0"/>
        <w:adjustRightInd/>
        <w:snapToGrid/>
        <w:spacing w:before="168" w:line="520" w:lineRule="exact"/>
        <w:ind w:firstLine="552" w:firstLineChars="200"/>
        <w:rPr>
          <w:rFonts w:hint="eastAsia" w:ascii="仿宋" w:hAnsi="仿宋" w:eastAsia="仿宋" w:cs="仿宋"/>
          <w:spacing w:val="-2"/>
          <w:position w:val="18"/>
          <w:sz w:val="28"/>
          <w:szCs w:val="28"/>
        </w:rPr>
      </w:pPr>
      <w:r>
        <w:rPr>
          <w:rFonts w:hint="eastAsia" w:ascii="仿宋" w:hAnsi="仿宋" w:eastAsia="仿宋" w:cs="仿宋"/>
          <w:spacing w:val="-2"/>
          <w:position w:val="18"/>
          <w:sz w:val="28"/>
          <w:szCs w:val="28"/>
        </w:rPr>
        <w:t>1.绩效评价目的、对象和范围</w:t>
      </w:r>
    </w:p>
    <w:p>
      <w:pPr>
        <w:pStyle w:val="4"/>
        <w:keepNext w:val="0"/>
        <w:keepLines w:val="0"/>
        <w:pageBreakBefore w:val="0"/>
        <w:kinsoku/>
        <w:wordWrap/>
        <w:overflowPunct/>
        <w:topLinePunct w:val="0"/>
        <w:autoSpaceDE/>
        <w:autoSpaceDN/>
        <w:bidi w:val="0"/>
        <w:adjustRightInd/>
        <w:snapToGrid/>
        <w:spacing w:before="168" w:line="520" w:lineRule="exact"/>
        <w:ind w:firstLine="552" w:firstLineChars="200"/>
        <w:rPr>
          <w:rFonts w:hint="eastAsia" w:ascii="仿宋" w:hAnsi="仿宋" w:eastAsia="仿宋" w:cs="仿宋"/>
          <w:spacing w:val="-2"/>
          <w:position w:val="18"/>
          <w:sz w:val="28"/>
          <w:szCs w:val="28"/>
        </w:rPr>
      </w:pPr>
      <w:r>
        <w:rPr>
          <w:rFonts w:hint="eastAsia" w:ascii="仿宋" w:hAnsi="仿宋" w:eastAsia="仿宋" w:cs="仿宋"/>
          <w:spacing w:val="-2"/>
          <w:position w:val="18"/>
          <w:sz w:val="28"/>
          <w:szCs w:val="28"/>
        </w:rPr>
        <w:t>根据《中共北京市委北京市人民政府关于全面实施预算绩效管理的实施意见》(京发〔2019〕12号)、《北京市通州区项目支出绩效评价管理办法》(通财绩效发〔2023〕37号)</w:t>
      </w:r>
      <w:r>
        <w:rPr>
          <w:rFonts w:hint="eastAsia" w:cs="仿宋"/>
          <w:spacing w:val="-2"/>
          <w:position w:val="18"/>
          <w:sz w:val="28"/>
          <w:szCs w:val="28"/>
          <w:lang w:eastAsia="zh-CN"/>
        </w:rPr>
        <w:t>，</w:t>
      </w:r>
      <w:r>
        <w:rPr>
          <w:rFonts w:hint="eastAsia" w:ascii="仿宋" w:hAnsi="仿宋" w:eastAsia="仿宋" w:cs="仿宋"/>
          <w:spacing w:val="-2"/>
          <w:position w:val="18"/>
          <w:sz w:val="28"/>
          <w:szCs w:val="28"/>
        </w:rPr>
        <w:t>通过对该项目的决策、过程管理、产出和效益四方面进行客观、公正地综合评价，衡量和考核项目的绩效目标完成 情况、产出与效果、预算管理水平等，发现问题并提出改进意见和建议，促进预算资金分配的规范化、资源配置的合理化，从而有效提高财政资金的使用效益。</w:t>
      </w:r>
    </w:p>
    <w:p>
      <w:pPr>
        <w:pStyle w:val="4"/>
        <w:keepNext w:val="0"/>
        <w:keepLines w:val="0"/>
        <w:pageBreakBefore w:val="0"/>
        <w:kinsoku/>
        <w:wordWrap/>
        <w:overflowPunct/>
        <w:topLinePunct w:val="0"/>
        <w:autoSpaceDE/>
        <w:autoSpaceDN/>
        <w:bidi w:val="0"/>
        <w:adjustRightInd/>
        <w:snapToGrid/>
        <w:spacing w:before="168" w:line="520" w:lineRule="exact"/>
        <w:ind w:firstLine="552" w:firstLineChars="200"/>
        <w:rPr>
          <w:rFonts w:hint="eastAsia" w:ascii="仿宋" w:hAnsi="仿宋" w:eastAsia="仿宋" w:cs="仿宋"/>
          <w:spacing w:val="-2"/>
          <w:position w:val="18"/>
          <w:sz w:val="28"/>
          <w:szCs w:val="28"/>
        </w:rPr>
      </w:pPr>
      <w:r>
        <w:rPr>
          <w:rFonts w:hint="eastAsia" w:ascii="仿宋" w:hAnsi="仿宋" w:eastAsia="仿宋" w:cs="仿宋"/>
          <w:spacing w:val="-2"/>
          <w:position w:val="18"/>
          <w:sz w:val="28"/>
          <w:szCs w:val="28"/>
        </w:rPr>
        <w:t>2.评价原则</w:t>
      </w:r>
    </w:p>
    <w:p>
      <w:pPr>
        <w:pStyle w:val="4"/>
        <w:keepNext w:val="0"/>
        <w:keepLines w:val="0"/>
        <w:pageBreakBefore w:val="0"/>
        <w:kinsoku/>
        <w:wordWrap/>
        <w:overflowPunct/>
        <w:topLinePunct w:val="0"/>
        <w:autoSpaceDE/>
        <w:autoSpaceDN/>
        <w:bidi w:val="0"/>
        <w:adjustRightInd/>
        <w:snapToGrid/>
        <w:spacing w:before="168" w:line="520" w:lineRule="exact"/>
        <w:ind w:firstLine="552" w:firstLineChars="200"/>
        <w:rPr>
          <w:rFonts w:hint="eastAsia" w:cs="仿宋"/>
          <w:spacing w:val="-2"/>
          <w:position w:val="18"/>
          <w:sz w:val="28"/>
          <w:szCs w:val="28"/>
          <w:lang w:eastAsia="zh-CN"/>
        </w:rPr>
      </w:pPr>
      <w:r>
        <w:rPr>
          <w:rFonts w:hint="eastAsia" w:ascii="仿宋" w:hAnsi="仿宋" w:eastAsia="仿宋" w:cs="仿宋"/>
          <w:spacing w:val="-2"/>
          <w:position w:val="18"/>
          <w:sz w:val="28"/>
          <w:szCs w:val="28"/>
        </w:rPr>
        <w:t>一是客观公正原则。本次绩效评价工作本着实事求是的原则，客观、公正的立场发表评价意见。二是科学规范原则。本次绩效评价严格遵循绩效评价程序规范和区财政局绩效评价工作相关规定组织实施。三是突出绩效原则。重点关注项目的社会效益和服务对象满意度指标，兼顾项目决策和过程</w:t>
      </w:r>
      <w:r>
        <w:rPr>
          <w:rFonts w:hint="eastAsia" w:cs="仿宋"/>
          <w:spacing w:val="-2"/>
          <w:position w:val="18"/>
          <w:sz w:val="28"/>
          <w:szCs w:val="28"/>
          <w:lang w:eastAsia="zh-CN"/>
        </w:rPr>
        <w:t>。</w:t>
      </w:r>
    </w:p>
    <w:p>
      <w:pPr>
        <w:pStyle w:val="4"/>
        <w:keepNext w:val="0"/>
        <w:keepLines w:val="0"/>
        <w:pageBreakBefore w:val="0"/>
        <w:kinsoku/>
        <w:wordWrap/>
        <w:overflowPunct/>
        <w:topLinePunct w:val="0"/>
        <w:autoSpaceDE/>
        <w:autoSpaceDN/>
        <w:bidi w:val="0"/>
        <w:adjustRightInd/>
        <w:snapToGrid/>
        <w:spacing w:before="168" w:line="520" w:lineRule="exact"/>
        <w:ind w:firstLine="552" w:firstLineChars="200"/>
        <w:rPr>
          <w:rFonts w:hint="eastAsia" w:ascii="仿宋" w:hAnsi="仿宋" w:eastAsia="仿宋" w:cs="仿宋"/>
          <w:spacing w:val="-2"/>
          <w:position w:val="18"/>
          <w:sz w:val="28"/>
          <w:szCs w:val="28"/>
        </w:rPr>
      </w:pPr>
      <w:r>
        <w:rPr>
          <w:rFonts w:hint="eastAsia" w:ascii="仿宋" w:hAnsi="仿宋" w:eastAsia="仿宋" w:cs="仿宋"/>
          <w:spacing w:val="-2"/>
          <w:position w:val="18"/>
          <w:sz w:val="28"/>
          <w:szCs w:val="28"/>
        </w:rPr>
        <w:t>3.评价方法</w:t>
      </w:r>
    </w:p>
    <w:p>
      <w:pPr>
        <w:pStyle w:val="4"/>
        <w:keepNext w:val="0"/>
        <w:keepLines w:val="0"/>
        <w:pageBreakBefore w:val="0"/>
        <w:kinsoku/>
        <w:wordWrap/>
        <w:overflowPunct/>
        <w:topLinePunct w:val="0"/>
        <w:autoSpaceDE/>
        <w:autoSpaceDN/>
        <w:bidi w:val="0"/>
        <w:adjustRightInd/>
        <w:snapToGrid/>
        <w:spacing w:before="168" w:line="520" w:lineRule="exact"/>
        <w:ind w:firstLine="552" w:firstLineChars="200"/>
        <w:rPr>
          <w:rFonts w:hint="eastAsia" w:ascii="仿宋" w:hAnsi="仿宋" w:eastAsia="仿宋" w:cs="仿宋"/>
          <w:spacing w:val="-2"/>
          <w:position w:val="18"/>
          <w:sz w:val="28"/>
          <w:szCs w:val="28"/>
        </w:rPr>
      </w:pPr>
      <w:r>
        <w:rPr>
          <w:rFonts w:hint="eastAsia" w:ascii="仿宋" w:hAnsi="仿宋" w:eastAsia="仿宋" w:cs="仿宋"/>
          <w:spacing w:val="-2"/>
          <w:position w:val="18"/>
          <w:sz w:val="28"/>
          <w:szCs w:val="28"/>
        </w:rPr>
        <w:t>根据《中共北京市委北京市人民政府关于全面实施预算绩效管理的实施意见》(京发〔2019〕12号)、《北京市通州区项目支出绩效评价管理办法》(通财绩效发〔2023〕37号)规定的绩效评价方法，结合该项目实际情况，本次绩效评价工作采取专家评价法和调研法，采取现场调研与非现场评价相结合的方式进行。</w:t>
      </w:r>
    </w:p>
    <w:p>
      <w:pPr>
        <w:pStyle w:val="4"/>
        <w:keepNext w:val="0"/>
        <w:keepLines w:val="0"/>
        <w:pageBreakBefore w:val="0"/>
        <w:kinsoku/>
        <w:wordWrap/>
        <w:overflowPunct/>
        <w:topLinePunct w:val="0"/>
        <w:autoSpaceDE/>
        <w:autoSpaceDN/>
        <w:bidi w:val="0"/>
        <w:adjustRightInd/>
        <w:snapToGrid/>
        <w:spacing w:before="168" w:line="520" w:lineRule="exact"/>
        <w:ind w:firstLine="552" w:firstLineChars="200"/>
        <w:rPr>
          <w:rFonts w:hint="eastAsia" w:ascii="仿宋" w:hAnsi="仿宋" w:eastAsia="仿宋" w:cs="仿宋"/>
          <w:spacing w:val="-2"/>
          <w:position w:val="18"/>
          <w:sz w:val="28"/>
          <w:szCs w:val="28"/>
        </w:rPr>
      </w:pPr>
      <w:r>
        <w:rPr>
          <w:rFonts w:hint="eastAsia" w:ascii="仿宋" w:hAnsi="仿宋" w:eastAsia="仿宋" w:cs="仿宋"/>
          <w:spacing w:val="-2"/>
          <w:position w:val="18"/>
          <w:sz w:val="28"/>
          <w:szCs w:val="28"/>
        </w:rPr>
        <w:t>4.评价指标体系</w:t>
      </w:r>
    </w:p>
    <w:p>
      <w:pPr>
        <w:pStyle w:val="4"/>
        <w:keepNext w:val="0"/>
        <w:keepLines w:val="0"/>
        <w:pageBreakBefore w:val="0"/>
        <w:kinsoku/>
        <w:wordWrap/>
        <w:overflowPunct/>
        <w:topLinePunct w:val="0"/>
        <w:autoSpaceDE/>
        <w:autoSpaceDN/>
        <w:bidi w:val="0"/>
        <w:adjustRightInd/>
        <w:snapToGrid/>
        <w:spacing w:before="168" w:line="520" w:lineRule="exact"/>
        <w:ind w:firstLine="552" w:firstLineChars="200"/>
        <w:rPr>
          <w:rFonts w:hint="eastAsia" w:cs="仿宋"/>
          <w:spacing w:val="-2"/>
          <w:position w:val="18"/>
          <w:sz w:val="28"/>
          <w:szCs w:val="28"/>
          <w:lang w:eastAsia="zh-CN"/>
        </w:rPr>
      </w:pPr>
      <w:r>
        <w:rPr>
          <w:rFonts w:hint="eastAsia" w:ascii="仿宋" w:hAnsi="仿宋" w:eastAsia="仿宋" w:cs="仿宋"/>
          <w:spacing w:val="-2"/>
          <w:position w:val="18"/>
          <w:sz w:val="28"/>
          <w:szCs w:val="28"/>
        </w:rPr>
        <w:t>根据《中共北京市委北京市人民政府关于全面实施预算绩效管理的实施意见》(京发〔2019〕12号)、《北京市通州区项目支出绩效评价管理办法》(通财绩效发〔2023〕37号)的相关规定，绩效评价工作组结合精准救助项目预算资金的特点和资金使用的具体情况，以资金使用结果为导向结合专家的指导意见，设定了本次评价指标内容，重点对该项目的决策程序及过程、过程管理、绩效目标完成情况、项目效益实现情况等进行综合评价。该项目的绩效评价指标体系的一、二、三级指标参考《北京市通州区项目支出绩效评价管理办法》(通财绩效发〔2023〕37号)的共性指标体系范本进行设定，四级指标根据该项目实施内容和评价要点，遵循“相关性、重要性、可比性、系统性”原则，以资金使用结果为导向，进行细化设定，明确评价标准</w:t>
      </w:r>
      <w:r>
        <w:rPr>
          <w:rFonts w:hint="eastAsia" w:cs="仿宋"/>
          <w:spacing w:val="-2"/>
          <w:position w:val="18"/>
          <w:sz w:val="28"/>
          <w:szCs w:val="28"/>
          <w:lang w:eastAsia="zh-CN"/>
        </w:rPr>
        <w:t>。</w:t>
      </w:r>
    </w:p>
    <w:p>
      <w:pPr>
        <w:pStyle w:val="4"/>
        <w:keepNext w:val="0"/>
        <w:keepLines w:val="0"/>
        <w:pageBreakBefore w:val="0"/>
        <w:kinsoku/>
        <w:wordWrap/>
        <w:overflowPunct/>
        <w:topLinePunct w:val="0"/>
        <w:autoSpaceDE/>
        <w:autoSpaceDN/>
        <w:bidi w:val="0"/>
        <w:adjustRightInd/>
        <w:snapToGrid/>
        <w:spacing w:before="168" w:line="520" w:lineRule="exact"/>
        <w:ind w:firstLine="828" w:firstLineChars="300"/>
        <w:rPr>
          <w:rFonts w:hint="eastAsia" w:ascii="仿宋" w:hAnsi="仿宋" w:eastAsia="仿宋" w:cs="仿宋"/>
          <w:spacing w:val="-2"/>
          <w:position w:val="18"/>
          <w:sz w:val="28"/>
          <w:szCs w:val="28"/>
        </w:rPr>
      </w:pPr>
      <w:r>
        <w:rPr>
          <w:rFonts w:hint="eastAsia" w:ascii="仿宋" w:hAnsi="仿宋" w:eastAsia="仿宋" w:cs="仿宋"/>
          <w:spacing w:val="-2"/>
          <w:position w:val="18"/>
          <w:sz w:val="28"/>
          <w:szCs w:val="28"/>
        </w:rPr>
        <w:t>5.评价标准</w:t>
      </w:r>
    </w:p>
    <w:p>
      <w:pPr>
        <w:pStyle w:val="4"/>
        <w:keepNext w:val="0"/>
        <w:keepLines w:val="0"/>
        <w:pageBreakBefore w:val="0"/>
        <w:kinsoku/>
        <w:wordWrap/>
        <w:overflowPunct/>
        <w:topLinePunct w:val="0"/>
        <w:autoSpaceDE/>
        <w:autoSpaceDN/>
        <w:bidi w:val="0"/>
        <w:adjustRightInd/>
        <w:snapToGrid/>
        <w:spacing w:before="168" w:line="520" w:lineRule="exact"/>
        <w:ind w:firstLine="828" w:firstLineChars="300"/>
        <w:rPr>
          <w:rFonts w:hint="eastAsia" w:ascii="仿宋" w:hAnsi="仿宋" w:eastAsia="仿宋" w:cs="仿宋"/>
          <w:spacing w:val="-2"/>
          <w:position w:val="18"/>
          <w:sz w:val="28"/>
          <w:szCs w:val="28"/>
        </w:rPr>
      </w:pPr>
      <w:r>
        <w:rPr>
          <w:rFonts w:hint="eastAsia" w:ascii="仿宋" w:hAnsi="仿宋" w:eastAsia="仿宋" w:cs="仿宋"/>
          <w:spacing w:val="-2"/>
          <w:position w:val="18"/>
          <w:sz w:val="28"/>
          <w:szCs w:val="28"/>
        </w:rPr>
        <w:t>(1)本次指标体系总分设置为100分，等级划分为优、良、中和差四个档次，其中综合得分在90分(含90分)以上，绩效级别评定为优；综合得分在80分—90分(含80分), 绩效级别评定为良；综合得分在60分—80分(含60分), 绩效级别评定为中；综合得分在60分以下，绩效级别评定为差。</w:t>
      </w:r>
    </w:p>
    <w:p>
      <w:pPr>
        <w:pStyle w:val="4"/>
        <w:keepNext w:val="0"/>
        <w:keepLines w:val="0"/>
        <w:pageBreakBefore w:val="0"/>
        <w:kinsoku/>
        <w:wordWrap/>
        <w:overflowPunct/>
        <w:topLinePunct w:val="0"/>
        <w:autoSpaceDE/>
        <w:autoSpaceDN/>
        <w:bidi w:val="0"/>
        <w:adjustRightInd/>
        <w:snapToGrid/>
        <w:spacing w:before="168" w:line="520" w:lineRule="exact"/>
        <w:ind w:firstLine="828" w:firstLineChars="300"/>
        <w:rPr>
          <w:rFonts w:hint="eastAsia" w:ascii="仿宋" w:hAnsi="仿宋" w:eastAsia="仿宋" w:cs="仿宋"/>
          <w:spacing w:val="-2"/>
          <w:position w:val="18"/>
          <w:sz w:val="28"/>
          <w:szCs w:val="28"/>
        </w:rPr>
      </w:pPr>
      <w:r>
        <w:rPr>
          <w:rFonts w:hint="eastAsia" w:ascii="仿宋" w:hAnsi="仿宋" w:eastAsia="仿宋" w:cs="仿宋"/>
          <w:spacing w:val="-2"/>
          <w:position w:val="18"/>
          <w:sz w:val="28"/>
          <w:szCs w:val="28"/>
        </w:rPr>
        <w:t>(2)绩效评价标准</w:t>
      </w:r>
    </w:p>
    <w:p>
      <w:pPr>
        <w:pStyle w:val="4"/>
        <w:keepNext w:val="0"/>
        <w:keepLines w:val="0"/>
        <w:pageBreakBefore w:val="0"/>
        <w:kinsoku/>
        <w:wordWrap/>
        <w:overflowPunct/>
        <w:topLinePunct w:val="0"/>
        <w:autoSpaceDE/>
        <w:autoSpaceDN/>
        <w:bidi w:val="0"/>
        <w:adjustRightInd/>
        <w:snapToGrid/>
        <w:spacing w:before="168" w:line="520" w:lineRule="exact"/>
        <w:ind w:firstLine="552" w:firstLineChars="200"/>
        <w:rPr>
          <w:rFonts w:hint="eastAsia" w:eastAsia="仿宋"/>
          <w:sz w:val="32"/>
          <w:szCs w:val="32"/>
          <w:lang w:eastAsia="zh-CN"/>
        </w:rPr>
        <w:sectPr>
          <w:footerReference r:id="rId5" w:type="default"/>
          <w:pgSz w:w="11910" w:h="16850"/>
          <w:pgMar w:top="400" w:right="1770" w:bottom="1177" w:left="1740" w:header="0" w:footer="1051" w:gutter="0"/>
          <w:cols w:space="720" w:num="1"/>
        </w:sectPr>
      </w:pPr>
      <w:r>
        <w:rPr>
          <w:rFonts w:hint="eastAsia" w:ascii="仿宋" w:hAnsi="仿宋" w:eastAsia="仿宋" w:cs="仿宋"/>
          <w:spacing w:val="-2"/>
          <w:position w:val="18"/>
          <w:sz w:val="28"/>
          <w:szCs w:val="28"/>
        </w:rPr>
        <w:t>本次评价项目运用计划标准、行业标准、历史标准等标准对绩效指标完成情况进行比较。①计划标准，指以预先制定的目标、计划、预算、定额等作为评价标准。②行业标准，指参照国家公布的行业指标数据制定的评价标准。③历史标准，指参照历史数据制定的评价标准，为体现绩效改进的原则，在可实现的条件下应当确定相对较高的评价标准。④财政部门和预算部门确认或认可的其他标准</w:t>
      </w:r>
      <w:bookmarkStart w:id="6" w:name="bookmark13"/>
      <w:bookmarkEnd w:id="6"/>
      <w:bookmarkStart w:id="7" w:name="bookmark12"/>
      <w:bookmarkEnd w:id="7"/>
      <w:bookmarkStart w:id="8" w:name="bookmark14"/>
      <w:bookmarkEnd w:id="8"/>
      <w:bookmarkStart w:id="9" w:name="bookmark11"/>
      <w:bookmarkEnd w:id="9"/>
      <w:r>
        <w:rPr>
          <w:rFonts w:hint="eastAsia" w:cs="仿宋"/>
          <w:spacing w:val="-2"/>
          <w:position w:val="18"/>
          <w:sz w:val="28"/>
          <w:szCs w:val="28"/>
          <w:lang w:eastAsia="zh-CN"/>
        </w:rPr>
        <w:t>。</w:t>
      </w:r>
    </w:p>
    <w:p>
      <w:pPr>
        <w:pStyle w:val="3"/>
        <w:keepNext w:val="0"/>
        <w:keepLines w:val="0"/>
        <w:pageBreakBefore w:val="0"/>
        <w:kinsoku/>
        <w:wordWrap/>
        <w:overflowPunct/>
        <w:topLinePunct w:val="0"/>
        <w:autoSpaceDE/>
        <w:autoSpaceDN/>
        <w:bidi w:val="0"/>
        <w:adjustRightInd/>
        <w:snapToGrid/>
        <w:spacing w:line="520" w:lineRule="exact"/>
        <w:ind w:left="0" w:leftChars="0" w:firstLine="0" w:firstLineChars="0"/>
        <w:rPr>
          <w:rFonts w:hint="eastAsia" w:ascii="仿宋" w:hAnsi="仿宋" w:eastAsia="仿宋" w:cs="仿宋"/>
          <w:sz w:val="28"/>
          <w:szCs w:val="28"/>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综合评价情况及评价结论（附相关评分表）</w:t>
      </w:r>
    </w:p>
    <w:p>
      <w:pPr>
        <w:pStyle w:val="4"/>
        <w:keepNext w:val="0"/>
        <w:keepLines w:val="0"/>
        <w:pageBreakBefore w:val="0"/>
        <w:kinsoku/>
        <w:wordWrap/>
        <w:overflowPunct/>
        <w:topLinePunct w:val="0"/>
        <w:autoSpaceDE/>
        <w:autoSpaceDN/>
        <w:bidi w:val="0"/>
        <w:adjustRightInd/>
        <w:snapToGrid/>
        <w:spacing w:before="107" w:line="520" w:lineRule="exact"/>
        <w:ind w:right="84" w:firstLine="660"/>
        <w:jc w:val="both"/>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“2022年永乐店镇困难群</w:t>
      </w:r>
      <w:r>
        <w:rPr>
          <w:rFonts w:hint="eastAsia" w:ascii="仿宋_GB2312" w:hAnsi="仿宋_GB2312" w:eastAsia="仿宋_GB2312" w:cs="仿宋_GB2312"/>
          <w:spacing w:val="-12"/>
          <w:sz w:val="28"/>
          <w:szCs w:val="28"/>
        </w:rPr>
        <w:t>众精准帮扶”项目支出绩效评价综合得分82.02分，其中，项目</w:t>
      </w:r>
      <w:r>
        <w:rPr>
          <w:rFonts w:hint="eastAsia" w:ascii="仿宋_GB2312" w:hAnsi="仿宋_GB2312" w:eastAsia="仿宋_GB2312" w:cs="仿宋_GB2312"/>
          <w:spacing w:val="-1"/>
          <w:sz w:val="28"/>
          <w:szCs w:val="28"/>
        </w:rPr>
        <w:t>决策得分7.66分，项目过程得分16.9分，项目产出得分29.26</w:t>
      </w:r>
      <w:r>
        <w:rPr>
          <w:rFonts w:hint="eastAsia" w:ascii="仿宋_GB2312" w:hAnsi="仿宋_GB2312" w:eastAsia="仿宋_GB2312" w:cs="仿宋_GB2312"/>
          <w:spacing w:val="-28"/>
          <w:sz w:val="28"/>
          <w:szCs w:val="28"/>
        </w:rPr>
        <w:t>分，项目效益得分28.02分，绩效评定结论为“良”。具体见下表。</w:t>
      </w:r>
    </w:p>
    <w:p>
      <w:pPr>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8"/>
          <w:szCs w:val="28"/>
        </w:rPr>
      </w:pPr>
    </w:p>
    <w:p>
      <w:pPr>
        <w:pStyle w:val="3"/>
        <w:rPr>
          <w:rFonts w:hint="eastAsia"/>
        </w:rPr>
      </w:pP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9"/>
        <w:gridCol w:w="2756"/>
        <w:gridCol w:w="2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09" w:type="dxa"/>
            <w:noWrap w:val="0"/>
            <w:vAlign w:val="center"/>
          </w:tcPr>
          <w:p>
            <w:pPr>
              <w:pStyle w:val="23"/>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before="91" w:line="520" w:lineRule="exact"/>
              <w:ind w:left="434"/>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评价内容</w:t>
            </w:r>
          </w:p>
        </w:tc>
        <w:tc>
          <w:tcPr>
            <w:tcW w:w="2756" w:type="dxa"/>
            <w:noWrap w:val="0"/>
            <w:vAlign w:val="center"/>
          </w:tcPr>
          <w:p>
            <w:pPr>
              <w:pStyle w:val="23"/>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before="91" w:line="520" w:lineRule="exact"/>
              <w:ind w:left="1331"/>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分值</w:t>
            </w:r>
          </w:p>
        </w:tc>
        <w:tc>
          <w:tcPr>
            <w:tcW w:w="2905" w:type="dxa"/>
            <w:noWrap w:val="0"/>
            <w:vAlign w:val="center"/>
          </w:tcPr>
          <w:p>
            <w:pPr>
              <w:pStyle w:val="23"/>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before="91" w:line="520" w:lineRule="exact"/>
              <w:ind w:left="1145"/>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评价得分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09" w:type="dxa"/>
            <w:noWrap w:val="0"/>
            <w:vAlign w:val="center"/>
          </w:tcPr>
          <w:p>
            <w:pPr>
              <w:pStyle w:val="23"/>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before="91" w:line="520" w:lineRule="exact"/>
              <w:ind w:left="434"/>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项目决策</w:t>
            </w:r>
          </w:p>
        </w:tc>
        <w:tc>
          <w:tcPr>
            <w:tcW w:w="2756" w:type="dxa"/>
            <w:noWrap w:val="0"/>
            <w:vAlign w:val="center"/>
          </w:tcPr>
          <w:p>
            <w:pPr>
              <w:pStyle w:val="23"/>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before="91" w:line="520" w:lineRule="exact"/>
              <w:ind w:left="1471"/>
              <w:rPr>
                <w:rFonts w:hint="eastAsia" w:ascii="仿宋_GB2312" w:hAnsi="仿宋_GB2312" w:eastAsia="仿宋_GB2312" w:cs="仿宋_GB2312"/>
                <w:sz w:val="24"/>
                <w:szCs w:val="24"/>
              </w:rPr>
            </w:pPr>
            <w:r>
              <w:rPr>
                <w:rFonts w:hint="eastAsia" w:ascii="仿宋_GB2312" w:hAnsi="仿宋_GB2312" w:eastAsia="仿宋_GB2312" w:cs="仿宋_GB2312"/>
                <w:spacing w:val="-8"/>
                <w:position w:val="-3"/>
                <w:sz w:val="24"/>
                <w:szCs w:val="24"/>
              </w:rPr>
              <w:t>10</w:t>
            </w:r>
          </w:p>
        </w:tc>
        <w:tc>
          <w:tcPr>
            <w:tcW w:w="2905" w:type="dxa"/>
            <w:noWrap w:val="0"/>
            <w:vAlign w:val="center"/>
          </w:tcPr>
          <w:p>
            <w:pPr>
              <w:pStyle w:val="23"/>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before="91" w:line="520" w:lineRule="exact"/>
              <w:ind w:left="1425"/>
              <w:rPr>
                <w:rFonts w:hint="eastAsia" w:ascii="仿宋_GB2312" w:hAnsi="仿宋_GB2312" w:eastAsia="仿宋_GB2312" w:cs="仿宋_GB2312"/>
                <w:sz w:val="24"/>
                <w:szCs w:val="24"/>
              </w:rPr>
            </w:pPr>
            <w:r>
              <w:rPr>
                <w:rFonts w:hint="eastAsia" w:ascii="仿宋_GB2312" w:hAnsi="仿宋_GB2312" w:eastAsia="仿宋_GB2312" w:cs="仿宋_GB2312"/>
                <w:spacing w:val="-4"/>
                <w:position w:val="-3"/>
                <w:sz w:val="24"/>
                <w:szCs w:val="24"/>
              </w:rPr>
              <w:t>7.66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09" w:type="dxa"/>
            <w:noWrap w:val="0"/>
            <w:vAlign w:val="center"/>
          </w:tcPr>
          <w:p>
            <w:pPr>
              <w:pStyle w:val="23"/>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before="91" w:line="520" w:lineRule="exact"/>
              <w:ind w:left="434"/>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项目过程</w:t>
            </w:r>
          </w:p>
        </w:tc>
        <w:tc>
          <w:tcPr>
            <w:tcW w:w="2756" w:type="dxa"/>
            <w:noWrap w:val="0"/>
            <w:vAlign w:val="center"/>
          </w:tcPr>
          <w:p>
            <w:pPr>
              <w:pStyle w:val="23"/>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before="91" w:line="520" w:lineRule="exact"/>
              <w:ind w:left="1471"/>
              <w:rPr>
                <w:rFonts w:hint="eastAsia" w:ascii="仿宋_GB2312" w:hAnsi="仿宋_GB2312" w:eastAsia="仿宋_GB2312" w:cs="仿宋_GB2312"/>
                <w:sz w:val="24"/>
                <w:szCs w:val="24"/>
              </w:rPr>
            </w:pPr>
            <w:r>
              <w:rPr>
                <w:rFonts w:hint="eastAsia" w:ascii="仿宋_GB2312" w:hAnsi="仿宋_GB2312" w:eastAsia="仿宋_GB2312" w:cs="仿宋_GB2312"/>
                <w:spacing w:val="-4"/>
                <w:position w:val="-3"/>
                <w:sz w:val="24"/>
                <w:szCs w:val="24"/>
              </w:rPr>
              <w:t>20</w:t>
            </w:r>
          </w:p>
        </w:tc>
        <w:tc>
          <w:tcPr>
            <w:tcW w:w="2905" w:type="dxa"/>
            <w:noWrap w:val="0"/>
            <w:vAlign w:val="center"/>
          </w:tcPr>
          <w:p>
            <w:pPr>
              <w:pStyle w:val="23"/>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before="91" w:line="520" w:lineRule="exact"/>
              <w:ind w:left="1425"/>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09" w:type="dxa"/>
            <w:noWrap w:val="0"/>
            <w:vAlign w:val="center"/>
          </w:tcPr>
          <w:p>
            <w:pPr>
              <w:pStyle w:val="23"/>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before="91" w:line="520" w:lineRule="exact"/>
              <w:ind w:left="434"/>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项目产出</w:t>
            </w:r>
          </w:p>
        </w:tc>
        <w:tc>
          <w:tcPr>
            <w:tcW w:w="2756" w:type="dxa"/>
            <w:noWrap w:val="0"/>
            <w:vAlign w:val="center"/>
          </w:tcPr>
          <w:p>
            <w:pPr>
              <w:pStyle w:val="23"/>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before="91" w:line="520" w:lineRule="exact"/>
              <w:ind w:left="1471"/>
              <w:rPr>
                <w:rFonts w:hint="eastAsia" w:ascii="仿宋_GB2312" w:hAnsi="仿宋_GB2312" w:eastAsia="仿宋_GB2312" w:cs="仿宋_GB2312"/>
                <w:sz w:val="24"/>
                <w:szCs w:val="24"/>
              </w:rPr>
            </w:pPr>
            <w:r>
              <w:rPr>
                <w:rFonts w:hint="eastAsia" w:ascii="仿宋_GB2312" w:hAnsi="仿宋_GB2312" w:eastAsia="仿宋_GB2312" w:cs="仿宋_GB2312"/>
                <w:spacing w:val="-5"/>
                <w:position w:val="-3"/>
                <w:sz w:val="24"/>
                <w:szCs w:val="24"/>
              </w:rPr>
              <w:t>35</w:t>
            </w:r>
          </w:p>
        </w:tc>
        <w:tc>
          <w:tcPr>
            <w:tcW w:w="2905" w:type="dxa"/>
            <w:noWrap w:val="0"/>
            <w:vAlign w:val="center"/>
          </w:tcPr>
          <w:p>
            <w:pPr>
              <w:pStyle w:val="23"/>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before="91" w:line="520" w:lineRule="exact"/>
              <w:ind w:left="1355"/>
              <w:rPr>
                <w:rFonts w:hint="eastAsia" w:ascii="仿宋_GB2312" w:hAnsi="仿宋_GB2312" w:eastAsia="仿宋_GB2312" w:cs="仿宋_GB2312"/>
                <w:sz w:val="24"/>
                <w:szCs w:val="24"/>
              </w:rPr>
            </w:pPr>
            <w:r>
              <w:rPr>
                <w:rFonts w:hint="eastAsia" w:ascii="仿宋_GB2312" w:hAnsi="仿宋_GB2312" w:eastAsia="仿宋_GB2312" w:cs="仿宋_GB2312"/>
                <w:spacing w:val="-3"/>
                <w:position w:val="-3"/>
                <w:sz w:val="24"/>
                <w:szCs w:val="24"/>
              </w:rPr>
              <w:t>29.26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09" w:type="dxa"/>
            <w:noWrap w:val="0"/>
            <w:vAlign w:val="center"/>
          </w:tcPr>
          <w:p>
            <w:pPr>
              <w:pStyle w:val="23"/>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before="91" w:line="520" w:lineRule="exact"/>
              <w:ind w:left="434"/>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项目效益</w:t>
            </w:r>
          </w:p>
        </w:tc>
        <w:tc>
          <w:tcPr>
            <w:tcW w:w="2756" w:type="dxa"/>
            <w:noWrap w:val="0"/>
            <w:vAlign w:val="center"/>
          </w:tcPr>
          <w:p>
            <w:pPr>
              <w:pStyle w:val="23"/>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before="91" w:line="520" w:lineRule="exact"/>
              <w:ind w:left="1471"/>
              <w:rPr>
                <w:rFonts w:hint="eastAsia" w:ascii="仿宋_GB2312" w:hAnsi="仿宋_GB2312" w:eastAsia="仿宋_GB2312" w:cs="仿宋_GB2312"/>
                <w:sz w:val="24"/>
                <w:szCs w:val="24"/>
              </w:rPr>
            </w:pPr>
            <w:r>
              <w:rPr>
                <w:rFonts w:hint="eastAsia" w:ascii="仿宋_GB2312" w:hAnsi="仿宋_GB2312" w:eastAsia="仿宋_GB2312" w:cs="仿宋_GB2312"/>
                <w:spacing w:val="-5"/>
                <w:position w:val="-4"/>
                <w:sz w:val="24"/>
                <w:szCs w:val="24"/>
              </w:rPr>
              <w:t>35</w:t>
            </w:r>
          </w:p>
        </w:tc>
        <w:tc>
          <w:tcPr>
            <w:tcW w:w="2905" w:type="dxa"/>
            <w:noWrap w:val="0"/>
            <w:vAlign w:val="center"/>
          </w:tcPr>
          <w:p>
            <w:pPr>
              <w:pStyle w:val="23"/>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before="91" w:line="520" w:lineRule="exact"/>
              <w:ind w:left="1355"/>
              <w:rPr>
                <w:rFonts w:hint="eastAsia" w:ascii="仿宋_GB2312" w:hAnsi="仿宋_GB2312" w:eastAsia="仿宋_GB2312" w:cs="仿宋_GB2312"/>
                <w:sz w:val="24"/>
                <w:szCs w:val="24"/>
              </w:rPr>
            </w:pPr>
            <w:r>
              <w:rPr>
                <w:rFonts w:hint="eastAsia" w:ascii="仿宋_GB2312" w:hAnsi="仿宋_GB2312" w:eastAsia="仿宋_GB2312" w:cs="仿宋_GB2312"/>
                <w:spacing w:val="-3"/>
                <w:position w:val="-3"/>
                <w:sz w:val="24"/>
                <w:szCs w:val="24"/>
              </w:rPr>
              <w:t>28.02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09" w:type="dxa"/>
            <w:noWrap w:val="0"/>
            <w:vAlign w:val="center"/>
          </w:tcPr>
          <w:p>
            <w:pPr>
              <w:pStyle w:val="23"/>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before="91" w:line="520" w:lineRule="exact"/>
              <w:ind w:left="434"/>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综合得分</w:t>
            </w:r>
          </w:p>
        </w:tc>
        <w:tc>
          <w:tcPr>
            <w:tcW w:w="2756" w:type="dxa"/>
            <w:noWrap w:val="0"/>
            <w:vAlign w:val="center"/>
          </w:tcPr>
          <w:p>
            <w:pPr>
              <w:pStyle w:val="23"/>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before="91" w:line="520" w:lineRule="exact"/>
              <w:ind w:left="1401"/>
              <w:rPr>
                <w:rFonts w:hint="eastAsia" w:ascii="仿宋_GB2312" w:hAnsi="仿宋_GB2312" w:eastAsia="仿宋_GB2312" w:cs="仿宋_GB2312"/>
                <w:sz w:val="24"/>
                <w:szCs w:val="24"/>
              </w:rPr>
            </w:pPr>
            <w:r>
              <w:rPr>
                <w:rFonts w:hint="eastAsia" w:ascii="仿宋_GB2312" w:hAnsi="仿宋_GB2312" w:eastAsia="仿宋_GB2312" w:cs="仿宋_GB2312"/>
                <w:spacing w:val="-8"/>
                <w:position w:val="-4"/>
                <w:sz w:val="24"/>
                <w:szCs w:val="24"/>
              </w:rPr>
              <w:t>100</w:t>
            </w:r>
          </w:p>
        </w:tc>
        <w:tc>
          <w:tcPr>
            <w:tcW w:w="2905" w:type="dxa"/>
            <w:noWrap w:val="0"/>
            <w:vAlign w:val="center"/>
          </w:tcPr>
          <w:p>
            <w:pPr>
              <w:pStyle w:val="23"/>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before="91" w:line="520" w:lineRule="exact"/>
              <w:ind w:left="1355"/>
              <w:rPr>
                <w:rFonts w:hint="eastAsia" w:ascii="仿宋_GB2312" w:hAnsi="仿宋_GB2312" w:eastAsia="仿宋_GB2312" w:cs="仿宋_GB2312"/>
                <w:sz w:val="24"/>
                <w:szCs w:val="24"/>
              </w:rPr>
            </w:pPr>
            <w:r>
              <w:rPr>
                <w:rFonts w:hint="eastAsia" w:ascii="仿宋_GB2312" w:hAnsi="仿宋_GB2312" w:eastAsia="仿宋_GB2312" w:cs="仿宋_GB2312"/>
                <w:spacing w:val="-2"/>
                <w:position w:val="-3"/>
                <w:sz w:val="24"/>
                <w:szCs w:val="24"/>
              </w:rPr>
              <w:t>82.02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09" w:type="dxa"/>
            <w:noWrap w:val="0"/>
            <w:vAlign w:val="center"/>
          </w:tcPr>
          <w:p>
            <w:pPr>
              <w:pStyle w:val="23"/>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before="91" w:line="520" w:lineRule="exact"/>
              <w:ind w:left="154"/>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绩效评定级别</w:t>
            </w:r>
          </w:p>
        </w:tc>
        <w:tc>
          <w:tcPr>
            <w:tcW w:w="5661" w:type="dxa"/>
            <w:gridSpan w:val="2"/>
            <w:noWrap w:val="0"/>
            <w:vAlign w:val="center"/>
          </w:tcPr>
          <w:p>
            <w:pPr>
              <w:pStyle w:val="23"/>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before="91" w:line="520" w:lineRule="exact"/>
              <w:ind w:left="323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良</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p>
    <w:p>
      <w:pPr>
        <w:pStyle w:val="3"/>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sz w:val="24"/>
          <w:szCs w:val="24"/>
          <w:lang w:eastAsia="zh-CN"/>
        </w:rPr>
      </w:pPr>
    </w:p>
    <w:tbl>
      <w:tblPr>
        <w:tblStyle w:val="24"/>
        <w:tblpPr w:leftFromText="180" w:rightFromText="180" w:vertAnchor="text" w:horzAnchor="page" w:tblpXSpec="center" w:tblpY="620"/>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8"/>
        <w:gridCol w:w="1646"/>
        <w:gridCol w:w="1645"/>
        <w:gridCol w:w="656"/>
        <w:gridCol w:w="815"/>
        <w:gridCol w:w="4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98" w:type="dxa"/>
            <w:noWrap w:val="0"/>
            <w:vAlign w:val="top"/>
          </w:tcPr>
          <w:p>
            <w:pPr>
              <w:spacing w:before="29" w:line="211"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一级指标</w:t>
            </w:r>
          </w:p>
        </w:tc>
        <w:tc>
          <w:tcPr>
            <w:tcW w:w="1646" w:type="dxa"/>
            <w:noWrap w:val="0"/>
            <w:vAlign w:val="top"/>
          </w:tcPr>
          <w:p>
            <w:pPr>
              <w:spacing w:before="29" w:line="211"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二级指标</w:t>
            </w:r>
          </w:p>
        </w:tc>
        <w:tc>
          <w:tcPr>
            <w:tcW w:w="1645" w:type="dxa"/>
            <w:noWrap w:val="0"/>
            <w:vAlign w:val="top"/>
          </w:tcPr>
          <w:p>
            <w:pPr>
              <w:spacing w:before="29" w:line="211"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三级指标</w:t>
            </w:r>
          </w:p>
        </w:tc>
        <w:tc>
          <w:tcPr>
            <w:tcW w:w="656" w:type="dxa"/>
            <w:noWrap w:val="0"/>
            <w:vAlign w:val="top"/>
          </w:tcPr>
          <w:p>
            <w:pPr>
              <w:spacing w:before="29" w:line="211"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分值</w:t>
            </w:r>
          </w:p>
        </w:tc>
        <w:tc>
          <w:tcPr>
            <w:tcW w:w="815" w:type="dxa"/>
            <w:noWrap w:val="0"/>
            <w:vAlign w:val="top"/>
          </w:tcPr>
          <w:p>
            <w:pPr>
              <w:spacing w:before="29" w:line="211"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得分</w:t>
            </w:r>
          </w:p>
        </w:tc>
        <w:tc>
          <w:tcPr>
            <w:tcW w:w="4512" w:type="dxa"/>
            <w:noWrap w:val="0"/>
            <w:vAlign w:val="top"/>
          </w:tcPr>
          <w:p>
            <w:pPr>
              <w:spacing w:before="29" w:line="211"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扣分理由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98" w:type="dxa"/>
            <w:vMerge w:val="restart"/>
            <w:tcBorders>
              <w:bottom w:val="nil"/>
            </w:tcBorders>
            <w:noWrap w:val="0"/>
            <w:vAlign w:val="top"/>
          </w:tcPr>
          <w:p>
            <w:pPr>
              <w:pStyle w:val="23"/>
              <w:spacing w:line="265" w:lineRule="auto"/>
              <w:jc w:val="both"/>
              <w:rPr>
                <w:rFonts w:hint="eastAsia" w:ascii="仿宋_GB2312" w:hAnsi="仿宋_GB2312" w:eastAsia="仿宋_GB2312" w:cs="仿宋_GB2312"/>
                <w:b w:val="0"/>
                <w:bCs w:val="0"/>
                <w:sz w:val="21"/>
                <w:szCs w:val="21"/>
              </w:rPr>
            </w:pPr>
          </w:p>
          <w:p>
            <w:pPr>
              <w:pStyle w:val="23"/>
              <w:spacing w:line="266" w:lineRule="auto"/>
              <w:jc w:val="both"/>
              <w:rPr>
                <w:rFonts w:hint="eastAsia" w:ascii="仿宋_GB2312" w:hAnsi="仿宋_GB2312" w:eastAsia="仿宋_GB2312" w:cs="仿宋_GB2312"/>
                <w:b w:val="0"/>
                <w:bCs w:val="0"/>
                <w:sz w:val="21"/>
                <w:szCs w:val="21"/>
              </w:rPr>
            </w:pPr>
          </w:p>
          <w:p>
            <w:pPr>
              <w:pStyle w:val="23"/>
              <w:spacing w:line="266" w:lineRule="auto"/>
              <w:jc w:val="both"/>
              <w:rPr>
                <w:rFonts w:hint="eastAsia" w:ascii="仿宋_GB2312" w:hAnsi="仿宋_GB2312" w:eastAsia="仿宋_GB2312" w:cs="仿宋_GB2312"/>
                <w:b w:val="0"/>
                <w:bCs w:val="0"/>
                <w:sz w:val="21"/>
                <w:szCs w:val="21"/>
              </w:rPr>
            </w:pPr>
          </w:p>
          <w:p>
            <w:pPr>
              <w:spacing w:before="56" w:line="219"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6"/>
                <w:sz w:val="21"/>
                <w:szCs w:val="21"/>
              </w:rPr>
              <w:t>决策(10分)</w:t>
            </w:r>
          </w:p>
        </w:tc>
        <w:tc>
          <w:tcPr>
            <w:tcW w:w="1646" w:type="dxa"/>
            <w:vMerge w:val="restart"/>
            <w:tcBorders>
              <w:bottom w:val="nil"/>
            </w:tcBorders>
            <w:noWrap w:val="0"/>
            <w:vAlign w:val="top"/>
          </w:tcPr>
          <w:p>
            <w:pPr>
              <w:spacing w:before="148" w:line="220"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项目立项(3分)</w:t>
            </w:r>
          </w:p>
        </w:tc>
        <w:tc>
          <w:tcPr>
            <w:tcW w:w="1645" w:type="dxa"/>
            <w:noWrap w:val="0"/>
            <w:vAlign w:val="top"/>
          </w:tcPr>
          <w:p>
            <w:pPr>
              <w:spacing w:before="27" w:line="209"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立项依据充分性</w:t>
            </w:r>
          </w:p>
        </w:tc>
        <w:tc>
          <w:tcPr>
            <w:tcW w:w="656" w:type="dxa"/>
            <w:noWrap w:val="0"/>
            <w:vAlign w:val="top"/>
          </w:tcPr>
          <w:p>
            <w:pPr>
              <w:spacing w:before="71" w:line="161"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815" w:type="dxa"/>
            <w:noWrap w:val="0"/>
            <w:vAlign w:val="top"/>
          </w:tcPr>
          <w:p>
            <w:pPr>
              <w:spacing w:before="70" w:line="162"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1.86</w:t>
            </w:r>
          </w:p>
        </w:tc>
        <w:tc>
          <w:tcPr>
            <w:tcW w:w="4512" w:type="dxa"/>
            <w:noWrap w:val="0"/>
            <w:vAlign w:val="top"/>
          </w:tcPr>
          <w:p>
            <w:pPr>
              <w:spacing w:before="27" w:line="209"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政府购买服务边界不够清晰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98" w:type="dxa"/>
            <w:vMerge w:val="continue"/>
            <w:tcBorders>
              <w:top w:val="nil"/>
              <w:bottom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6" w:type="dxa"/>
            <w:vMerge w:val="continue"/>
            <w:tcBorders>
              <w:top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5" w:type="dxa"/>
            <w:noWrap w:val="0"/>
            <w:vAlign w:val="top"/>
          </w:tcPr>
          <w:p>
            <w:pPr>
              <w:spacing w:before="28" w:line="208"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立项程序规范性</w:t>
            </w:r>
          </w:p>
        </w:tc>
        <w:tc>
          <w:tcPr>
            <w:tcW w:w="656" w:type="dxa"/>
            <w:noWrap w:val="0"/>
            <w:vAlign w:val="top"/>
          </w:tcPr>
          <w:p>
            <w:pPr>
              <w:spacing w:before="70" w:line="162"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c>
          <w:tcPr>
            <w:tcW w:w="815" w:type="dxa"/>
            <w:noWrap w:val="0"/>
            <w:vAlign w:val="top"/>
          </w:tcPr>
          <w:p>
            <w:pPr>
              <w:spacing w:before="71" w:line="161"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0.80</w:t>
            </w:r>
          </w:p>
        </w:tc>
        <w:tc>
          <w:tcPr>
            <w:tcW w:w="4512" w:type="dxa"/>
            <w:noWrap w:val="0"/>
            <w:vAlign w:val="top"/>
          </w:tcPr>
          <w:p>
            <w:pPr>
              <w:spacing w:before="27" w:line="209"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未见个案帮扶对象遴选决策程序资料，未见对第三</w:t>
            </w:r>
            <w:r>
              <w:rPr>
                <w:rFonts w:hint="eastAsia" w:ascii="仿宋_GB2312" w:hAnsi="仿宋_GB2312" w:eastAsia="仿宋_GB2312" w:cs="仿宋_GB2312"/>
                <w:b w:val="0"/>
                <w:bCs w:val="0"/>
                <w:spacing w:val="-1"/>
                <w:sz w:val="21"/>
                <w:szCs w:val="21"/>
              </w:rPr>
              <w:t>方服务机构遴选过程资料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98" w:type="dxa"/>
            <w:vMerge w:val="continue"/>
            <w:tcBorders>
              <w:top w:val="nil"/>
              <w:bottom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6" w:type="dxa"/>
            <w:vMerge w:val="restart"/>
            <w:tcBorders>
              <w:bottom w:val="nil"/>
            </w:tcBorders>
            <w:noWrap w:val="0"/>
            <w:vAlign w:val="top"/>
          </w:tcPr>
          <w:p>
            <w:pPr>
              <w:spacing w:before="268" w:line="220"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绩效日标(4分)</w:t>
            </w:r>
          </w:p>
        </w:tc>
        <w:tc>
          <w:tcPr>
            <w:tcW w:w="1645" w:type="dxa"/>
            <w:noWrap w:val="0"/>
            <w:vAlign w:val="top"/>
          </w:tcPr>
          <w:p>
            <w:pPr>
              <w:spacing w:before="28" w:line="208"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绩效日标合理性</w:t>
            </w:r>
          </w:p>
        </w:tc>
        <w:tc>
          <w:tcPr>
            <w:tcW w:w="656" w:type="dxa"/>
            <w:noWrap w:val="0"/>
            <w:vAlign w:val="top"/>
          </w:tcPr>
          <w:p>
            <w:pPr>
              <w:spacing w:before="71" w:line="161"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815" w:type="dxa"/>
            <w:noWrap w:val="0"/>
            <w:vAlign w:val="top"/>
          </w:tcPr>
          <w:p>
            <w:pPr>
              <w:spacing w:before="70" w:line="162"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1.68</w:t>
            </w:r>
          </w:p>
        </w:tc>
        <w:tc>
          <w:tcPr>
            <w:tcW w:w="4512" w:type="dxa"/>
            <w:noWrap w:val="0"/>
            <w:vAlign w:val="top"/>
          </w:tcPr>
          <w:p>
            <w:pPr>
              <w:spacing w:before="27" w:line="209"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数量指标与合同约定任务不够契合，服务质量验收标</w:t>
            </w:r>
            <w:r>
              <w:rPr>
                <w:rFonts w:hint="eastAsia" w:ascii="仿宋_GB2312" w:hAnsi="仿宋_GB2312" w:eastAsia="仿宋_GB2312" w:cs="仿宋_GB2312"/>
                <w:b w:val="0"/>
                <w:bCs w:val="0"/>
                <w:spacing w:val="-1"/>
                <w:sz w:val="21"/>
                <w:szCs w:val="21"/>
              </w:rPr>
              <w:t>准，日标设计偏宽泛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98" w:type="dxa"/>
            <w:vMerge w:val="continue"/>
            <w:tcBorders>
              <w:top w:val="nil"/>
              <w:bottom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6" w:type="dxa"/>
            <w:vMerge w:val="continue"/>
            <w:tcBorders>
              <w:top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5" w:type="dxa"/>
            <w:noWrap w:val="0"/>
            <w:vAlign w:val="top"/>
          </w:tcPr>
          <w:p>
            <w:pPr>
              <w:spacing w:before="148" w:line="219"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绩效指标明确性</w:t>
            </w:r>
          </w:p>
        </w:tc>
        <w:tc>
          <w:tcPr>
            <w:tcW w:w="656" w:type="dxa"/>
            <w:noWrap w:val="0"/>
            <w:vAlign w:val="top"/>
          </w:tcPr>
          <w:p>
            <w:pPr>
              <w:spacing w:before="191" w:line="183"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815" w:type="dxa"/>
            <w:noWrap w:val="0"/>
            <w:vAlign w:val="top"/>
          </w:tcPr>
          <w:p>
            <w:pPr>
              <w:spacing w:before="190" w:line="184"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1.34</w:t>
            </w:r>
          </w:p>
        </w:tc>
        <w:tc>
          <w:tcPr>
            <w:tcW w:w="4512" w:type="dxa"/>
            <w:noWrap w:val="0"/>
            <w:vAlign w:val="top"/>
          </w:tcPr>
          <w:p>
            <w:pPr>
              <w:spacing w:before="17"/>
              <w:ind w:right="283"/>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绩效日标从项日整体考虑不足，质量指标合理性不</w:t>
            </w:r>
            <w:r>
              <w:rPr>
                <w:rFonts w:hint="eastAsia" w:ascii="仿宋_GB2312" w:hAnsi="仿宋_GB2312" w:eastAsia="仿宋_GB2312" w:cs="仿宋_GB2312"/>
                <w:b w:val="0"/>
                <w:bCs w:val="0"/>
                <w:spacing w:val="-1"/>
                <w:sz w:val="21"/>
                <w:szCs w:val="21"/>
              </w:rPr>
              <w:t>足，缺乏可衡量性，时效</w:t>
            </w:r>
            <w:r>
              <w:rPr>
                <w:rFonts w:hint="eastAsia" w:ascii="仿宋_GB2312" w:hAnsi="仿宋_GB2312" w:eastAsia="仿宋_GB2312" w:cs="仿宋_GB2312"/>
                <w:b w:val="0"/>
                <w:bCs w:val="0"/>
                <w:sz w:val="21"/>
                <w:szCs w:val="21"/>
              </w:rPr>
              <w:t xml:space="preserve"> </w:t>
            </w:r>
            <w:r>
              <w:rPr>
                <w:rFonts w:hint="eastAsia" w:ascii="仿宋_GB2312" w:hAnsi="仿宋_GB2312" w:eastAsia="仿宋_GB2312" w:cs="仿宋_GB2312"/>
                <w:b w:val="0"/>
                <w:bCs w:val="0"/>
                <w:spacing w:val="-1"/>
                <w:sz w:val="21"/>
                <w:szCs w:val="21"/>
              </w:rPr>
              <w:t>指标未分解细化，绩效口标后制定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98" w:type="dxa"/>
            <w:vMerge w:val="continue"/>
            <w:tcBorders>
              <w:top w:val="nil"/>
              <w:bottom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6" w:type="dxa"/>
            <w:vMerge w:val="restart"/>
            <w:tcBorders>
              <w:bottom w:val="nil"/>
            </w:tcBorders>
            <w:noWrap w:val="0"/>
            <w:vAlign w:val="top"/>
          </w:tcPr>
          <w:p>
            <w:pPr>
              <w:spacing w:before="259" w:line="220"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资金投入(3分)</w:t>
            </w:r>
          </w:p>
        </w:tc>
        <w:tc>
          <w:tcPr>
            <w:tcW w:w="1645" w:type="dxa"/>
            <w:noWrap w:val="0"/>
            <w:vAlign w:val="top"/>
          </w:tcPr>
          <w:p>
            <w:pPr>
              <w:spacing w:before="137" w:line="219"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预算编制科学性</w:t>
            </w:r>
          </w:p>
        </w:tc>
        <w:tc>
          <w:tcPr>
            <w:tcW w:w="656" w:type="dxa"/>
            <w:noWrap w:val="0"/>
            <w:vAlign w:val="top"/>
          </w:tcPr>
          <w:p>
            <w:pPr>
              <w:spacing w:before="182" w:line="183"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815" w:type="dxa"/>
            <w:noWrap w:val="0"/>
            <w:vAlign w:val="top"/>
          </w:tcPr>
          <w:p>
            <w:pPr>
              <w:spacing w:before="182" w:line="184"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1.24</w:t>
            </w:r>
          </w:p>
        </w:tc>
        <w:tc>
          <w:tcPr>
            <w:tcW w:w="4512" w:type="dxa"/>
            <w:noWrap w:val="0"/>
            <w:vAlign w:val="top"/>
          </w:tcPr>
          <w:p>
            <w:pPr>
              <w:spacing w:before="19" w:line="228" w:lineRule="auto"/>
              <w:ind w:right="376"/>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需求论证资金匹配测算不充分，编制程序不科学，与年度任务量对应不足</w:t>
            </w:r>
            <w:r>
              <w:rPr>
                <w:rFonts w:hint="eastAsia" w:ascii="仿宋_GB2312" w:hAnsi="仿宋_GB2312" w:eastAsia="仿宋_GB2312" w:cs="仿宋_GB2312"/>
                <w:b w:val="0"/>
                <w:bCs w:val="0"/>
                <w:spacing w:val="6"/>
                <w:sz w:val="21"/>
                <w:szCs w:val="21"/>
              </w:rPr>
              <w:t xml:space="preserve"> </w:t>
            </w:r>
            <w:r>
              <w:rPr>
                <w:rFonts w:hint="eastAsia" w:ascii="仿宋_GB2312" w:hAnsi="仿宋_GB2312" w:eastAsia="仿宋_GB2312" w:cs="仿宋_GB2312"/>
                <w:b w:val="0"/>
                <w:bCs w:val="0"/>
                <w:sz w:val="21"/>
                <w:szCs w:val="21"/>
              </w:rPr>
              <w:t>未见对预算的论证资料，未见项口申报书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98" w:type="dxa"/>
            <w:vMerge w:val="continue"/>
            <w:tcBorders>
              <w:top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6" w:type="dxa"/>
            <w:vMerge w:val="continue"/>
            <w:tcBorders>
              <w:top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5" w:type="dxa"/>
            <w:noWrap w:val="0"/>
            <w:vAlign w:val="top"/>
          </w:tcPr>
          <w:p>
            <w:pPr>
              <w:spacing w:before="30" w:line="205"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资金分配合理性</w:t>
            </w:r>
          </w:p>
        </w:tc>
        <w:tc>
          <w:tcPr>
            <w:tcW w:w="656" w:type="dxa"/>
            <w:noWrap w:val="0"/>
            <w:vAlign w:val="top"/>
          </w:tcPr>
          <w:p>
            <w:pPr>
              <w:spacing w:before="73" w:line="158"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c>
          <w:tcPr>
            <w:tcW w:w="815" w:type="dxa"/>
            <w:noWrap w:val="0"/>
            <w:vAlign w:val="top"/>
          </w:tcPr>
          <w:p>
            <w:pPr>
              <w:spacing w:before="73" w:line="158"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0.74</w:t>
            </w:r>
          </w:p>
        </w:tc>
        <w:tc>
          <w:tcPr>
            <w:tcW w:w="4512" w:type="dxa"/>
            <w:noWrap w:val="0"/>
            <w:vAlign w:val="top"/>
          </w:tcPr>
          <w:p>
            <w:pPr>
              <w:spacing w:before="30" w:line="205"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未见资金分配方案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98" w:type="dxa"/>
            <w:vMerge w:val="restart"/>
            <w:tcBorders>
              <w:bottom w:val="nil"/>
            </w:tcBorders>
            <w:noWrap w:val="0"/>
            <w:vAlign w:val="top"/>
          </w:tcPr>
          <w:p>
            <w:pPr>
              <w:pStyle w:val="23"/>
              <w:spacing w:line="346" w:lineRule="auto"/>
              <w:jc w:val="both"/>
              <w:rPr>
                <w:rFonts w:hint="eastAsia" w:ascii="仿宋_GB2312" w:hAnsi="仿宋_GB2312" w:eastAsia="仿宋_GB2312" w:cs="仿宋_GB2312"/>
                <w:b w:val="0"/>
                <w:bCs w:val="0"/>
                <w:sz w:val="21"/>
                <w:szCs w:val="21"/>
              </w:rPr>
            </w:pPr>
          </w:p>
          <w:p>
            <w:pPr>
              <w:pStyle w:val="23"/>
              <w:spacing w:line="346" w:lineRule="auto"/>
              <w:jc w:val="both"/>
              <w:rPr>
                <w:rFonts w:hint="eastAsia" w:ascii="仿宋_GB2312" w:hAnsi="仿宋_GB2312" w:eastAsia="仿宋_GB2312" w:cs="仿宋_GB2312"/>
                <w:b w:val="0"/>
                <w:bCs w:val="0"/>
                <w:sz w:val="21"/>
                <w:szCs w:val="21"/>
              </w:rPr>
            </w:pPr>
          </w:p>
          <w:p>
            <w:pPr>
              <w:spacing w:before="55" w:line="220"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过程(20分)</w:t>
            </w:r>
          </w:p>
        </w:tc>
        <w:tc>
          <w:tcPr>
            <w:tcW w:w="1646" w:type="dxa"/>
            <w:vMerge w:val="restart"/>
            <w:tcBorders>
              <w:bottom w:val="nil"/>
            </w:tcBorders>
            <w:noWrap w:val="0"/>
            <w:vAlign w:val="top"/>
          </w:tcPr>
          <w:p>
            <w:pPr>
              <w:spacing w:before="281" w:line="219"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资金管理(8分)</w:t>
            </w:r>
          </w:p>
        </w:tc>
        <w:tc>
          <w:tcPr>
            <w:tcW w:w="1645" w:type="dxa"/>
            <w:noWrap w:val="0"/>
            <w:vAlign w:val="top"/>
          </w:tcPr>
          <w:p>
            <w:pPr>
              <w:spacing w:before="30" w:line="206"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资金到位率</w:t>
            </w:r>
          </w:p>
        </w:tc>
        <w:tc>
          <w:tcPr>
            <w:tcW w:w="656" w:type="dxa"/>
            <w:noWrap w:val="0"/>
            <w:vAlign w:val="top"/>
          </w:tcPr>
          <w:p>
            <w:pPr>
              <w:spacing w:before="74" w:line="158"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815" w:type="dxa"/>
            <w:noWrap w:val="0"/>
            <w:vAlign w:val="top"/>
          </w:tcPr>
          <w:p>
            <w:pPr>
              <w:spacing w:before="74" w:line="158"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2.00</w:t>
            </w:r>
          </w:p>
        </w:tc>
        <w:tc>
          <w:tcPr>
            <w:tcW w:w="4512" w:type="dxa"/>
            <w:noWrap w:val="0"/>
            <w:vAlign w:val="top"/>
          </w:tcPr>
          <w:p>
            <w:pPr>
              <w:pStyle w:val="23"/>
              <w:spacing w:line="220" w:lineRule="exact"/>
              <w:jc w:val="both"/>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98" w:type="dxa"/>
            <w:vMerge w:val="continue"/>
            <w:tcBorders>
              <w:top w:val="nil"/>
              <w:bottom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6" w:type="dxa"/>
            <w:vMerge w:val="continue"/>
            <w:tcBorders>
              <w:top w:val="nil"/>
              <w:bottom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5" w:type="dxa"/>
            <w:noWrap w:val="0"/>
            <w:vAlign w:val="top"/>
          </w:tcPr>
          <w:p>
            <w:pPr>
              <w:spacing w:before="31" w:line="205"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预算执行率</w:t>
            </w:r>
          </w:p>
        </w:tc>
        <w:tc>
          <w:tcPr>
            <w:tcW w:w="656" w:type="dxa"/>
            <w:noWrap w:val="0"/>
            <w:vAlign w:val="top"/>
          </w:tcPr>
          <w:p>
            <w:pPr>
              <w:spacing w:before="74" w:line="158"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815" w:type="dxa"/>
            <w:noWrap w:val="0"/>
            <w:vAlign w:val="top"/>
          </w:tcPr>
          <w:p>
            <w:pPr>
              <w:spacing w:before="74" w:line="158"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2.00</w:t>
            </w:r>
          </w:p>
        </w:tc>
        <w:tc>
          <w:tcPr>
            <w:tcW w:w="4512" w:type="dxa"/>
            <w:noWrap w:val="0"/>
            <w:vAlign w:val="top"/>
          </w:tcPr>
          <w:p>
            <w:pPr>
              <w:pStyle w:val="23"/>
              <w:spacing w:line="220" w:lineRule="exact"/>
              <w:jc w:val="both"/>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98" w:type="dxa"/>
            <w:vMerge w:val="continue"/>
            <w:tcBorders>
              <w:top w:val="nil"/>
              <w:bottom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6" w:type="dxa"/>
            <w:vMerge w:val="continue"/>
            <w:tcBorders>
              <w:top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5" w:type="dxa"/>
            <w:noWrap w:val="0"/>
            <w:vAlign w:val="top"/>
          </w:tcPr>
          <w:p>
            <w:pPr>
              <w:spacing w:before="41" w:line="204"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资金使用合规性</w:t>
            </w:r>
          </w:p>
        </w:tc>
        <w:tc>
          <w:tcPr>
            <w:tcW w:w="656" w:type="dxa"/>
            <w:noWrap w:val="0"/>
            <w:vAlign w:val="top"/>
          </w:tcPr>
          <w:p>
            <w:pPr>
              <w:spacing w:before="84" w:line="157"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w:t>
            </w:r>
          </w:p>
        </w:tc>
        <w:tc>
          <w:tcPr>
            <w:tcW w:w="815" w:type="dxa"/>
            <w:noWrap w:val="0"/>
            <w:vAlign w:val="top"/>
          </w:tcPr>
          <w:p>
            <w:pPr>
              <w:spacing w:before="84" w:line="157"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3.54</w:t>
            </w:r>
          </w:p>
        </w:tc>
        <w:tc>
          <w:tcPr>
            <w:tcW w:w="4512" w:type="dxa"/>
            <w:noWrap w:val="0"/>
            <w:vAlign w:val="top"/>
          </w:tcPr>
          <w:p>
            <w:pPr>
              <w:spacing w:before="40" w:line="205"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合同管理、管理制度不健全，凭证附件不够全面，经济支出科目列支不准确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98" w:type="dxa"/>
            <w:vMerge w:val="continue"/>
            <w:tcBorders>
              <w:top w:val="nil"/>
              <w:bottom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6" w:type="dxa"/>
            <w:vMerge w:val="restart"/>
            <w:tcBorders>
              <w:bottom w:val="nil"/>
            </w:tcBorders>
            <w:noWrap w:val="0"/>
            <w:vAlign w:val="top"/>
          </w:tcPr>
          <w:p>
            <w:pPr>
              <w:pStyle w:val="23"/>
              <w:spacing w:line="325" w:lineRule="auto"/>
              <w:jc w:val="both"/>
              <w:rPr>
                <w:rFonts w:hint="eastAsia" w:ascii="仿宋_GB2312" w:hAnsi="仿宋_GB2312" w:eastAsia="仿宋_GB2312" w:cs="仿宋_GB2312"/>
                <w:b w:val="0"/>
                <w:bCs w:val="0"/>
                <w:sz w:val="21"/>
                <w:szCs w:val="21"/>
              </w:rPr>
            </w:pPr>
          </w:p>
          <w:p>
            <w:pPr>
              <w:spacing w:before="55" w:line="220"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组织实施(12分)</w:t>
            </w:r>
          </w:p>
        </w:tc>
        <w:tc>
          <w:tcPr>
            <w:tcW w:w="1645" w:type="dxa"/>
            <w:noWrap w:val="0"/>
            <w:vAlign w:val="top"/>
          </w:tcPr>
          <w:p>
            <w:pPr>
              <w:spacing w:before="152" w:line="219"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管理制度健全性</w:t>
            </w:r>
          </w:p>
        </w:tc>
        <w:tc>
          <w:tcPr>
            <w:tcW w:w="656" w:type="dxa"/>
            <w:noWrap w:val="0"/>
            <w:vAlign w:val="top"/>
          </w:tcPr>
          <w:p>
            <w:pPr>
              <w:spacing w:before="195" w:line="183"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w:t>
            </w:r>
          </w:p>
        </w:tc>
        <w:tc>
          <w:tcPr>
            <w:tcW w:w="815" w:type="dxa"/>
            <w:noWrap w:val="0"/>
            <w:vAlign w:val="top"/>
          </w:tcPr>
          <w:p>
            <w:pPr>
              <w:spacing w:before="194" w:line="184"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5.10</w:t>
            </w:r>
          </w:p>
        </w:tc>
        <w:tc>
          <w:tcPr>
            <w:tcW w:w="4512" w:type="dxa"/>
            <w:noWrap w:val="0"/>
            <w:vAlign w:val="top"/>
          </w:tcPr>
          <w:p>
            <w:pPr>
              <w:spacing w:before="31" w:line="232" w:lineRule="auto"/>
              <w:ind w:right="211"/>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未见政府承办部门实施方案，政府购买服务管理考核办法不充分，缺乏</w:t>
            </w:r>
            <w:r>
              <w:rPr>
                <w:rFonts w:hint="eastAsia" w:ascii="仿宋_GB2312" w:hAnsi="仿宋_GB2312" w:eastAsia="仿宋_GB2312" w:cs="仿宋_GB2312"/>
                <w:b w:val="0"/>
                <w:bCs w:val="0"/>
                <w:sz w:val="21"/>
                <w:szCs w:val="21"/>
              </w:rPr>
              <w:t>项目 管理制度等制度，组织管理架构和职责分工不明确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98" w:type="dxa"/>
            <w:vMerge w:val="continue"/>
            <w:tcBorders>
              <w:top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6" w:type="dxa"/>
            <w:vMerge w:val="continue"/>
            <w:tcBorders>
              <w:top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5" w:type="dxa"/>
            <w:noWrap w:val="0"/>
            <w:vAlign w:val="top"/>
          </w:tcPr>
          <w:p>
            <w:pPr>
              <w:spacing w:before="143" w:line="219"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制度执行有效性</w:t>
            </w:r>
          </w:p>
        </w:tc>
        <w:tc>
          <w:tcPr>
            <w:tcW w:w="656" w:type="dxa"/>
            <w:noWrap w:val="0"/>
            <w:vAlign w:val="top"/>
          </w:tcPr>
          <w:p>
            <w:pPr>
              <w:spacing w:before="186" w:line="183"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w:t>
            </w:r>
          </w:p>
        </w:tc>
        <w:tc>
          <w:tcPr>
            <w:tcW w:w="815" w:type="dxa"/>
            <w:noWrap w:val="0"/>
            <w:vAlign w:val="top"/>
          </w:tcPr>
          <w:p>
            <w:pPr>
              <w:spacing w:before="186" w:line="183"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4.26</w:t>
            </w:r>
          </w:p>
        </w:tc>
        <w:tc>
          <w:tcPr>
            <w:tcW w:w="4512" w:type="dxa"/>
            <w:noWrap w:val="0"/>
            <w:vAlign w:val="top"/>
          </w:tcPr>
          <w:p>
            <w:pPr>
              <w:spacing w:before="41" w:line="216" w:lineRule="auto"/>
              <w:ind w:right="251"/>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制度执行的有效性不足，存在未编制整休实施方案，询</w:t>
            </w:r>
            <w:r>
              <w:rPr>
                <w:rFonts w:hint="eastAsia" w:ascii="仿宋_GB2312" w:hAnsi="仿宋_GB2312" w:eastAsia="仿宋_GB2312" w:cs="仿宋_GB2312"/>
                <w:b w:val="0"/>
                <w:bCs w:val="0"/>
                <w:spacing w:val="-1"/>
                <w:sz w:val="21"/>
                <w:szCs w:val="21"/>
              </w:rPr>
              <w:t>价比价及遴选资料不</w:t>
            </w:r>
            <w:r>
              <w:rPr>
                <w:rFonts w:hint="eastAsia" w:ascii="仿宋_GB2312" w:hAnsi="仿宋_GB2312" w:eastAsia="仿宋_GB2312" w:cs="仿宋_GB2312"/>
                <w:b w:val="0"/>
                <w:bCs w:val="0"/>
                <w:sz w:val="21"/>
                <w:szCs w:val="21"/>
              </w:rPr>
              <w:t xml:space="preserve"> </w:t>
            </w:r>
            <w:r>
              <w:rPr>
                <w:rFonts w:hint="eastAsia" w:ascii="仿宋_GB2312" w:hAnsi="仿宋_GB2312" w:eastAsia="仿宋_GB2312" w:cs="仿宋_GB2312"/>
                <w:b w:val="0"/>
                <w:bCs w:val="0"/>
                <w:spacing w:val="-1"/>
                <w:sz w:val="21"/>
                <w:szCs w:val="21"/>
              </w:rPr>
              <w:t>完整，委托服务的监督考核机制不健全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98" w:type="dxa"/>
            <w:vMerge w:val="restart"/>
            <w:tcBorders>
              <w:bottom w:val="nil"/>
            </w:tcBorders>
            <w:noWrap w:val="0"/>
            <w:vAlign w:val="top"/>
          </w:tcPr>
          <w:p>
            <w:pPr>
              <w:pStyle w:val="23"/>
              <w:spacing w:line="456" w:lineRule="auto"/>
              <w:jc w:val="both"/>
              <w:rPr>
                <w:rFonts w:hint="eastAsia" w:ascii="仿宋_GB2312" w:hAnsi="仿宋_GB2312" w:eastAsia="仿宋_GB2312" w:cs="仿宋_GB2312"/>
                <w:b w:val="0"/>
                <w:bCs w:val="0"/>
                <w:sz w:val="21"/>
                <w:szCs w:val="21"/>
              </w:rPr>
            </w:pPr>
          </w:p>
          <w:p>
            <w:pPr>
              <w:spacing w:before="55" w:line="219"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产出(35分)</w:t>
            </w:r>
          </w:p>
        </w:tc>
        <w:tc>
          <w:tcPr>
            <w:tcW w:w="1646" w:type="dxa"/>
            <w:noWrap w:val="0"/>
            <w:vAlign w:val="top"/>
          </w:tcPr>
          <w:p>
            <w:pPr>
              <w:spacing w:before="33" w:line="202"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产出数量(10分)</w:t>
            </w:r>
          </w:p>
        </w:tc>
        <w:tc>
          <w:tcPr>
            <w:tcW w:w="1645" w:type="dxa"/>
            <w:noWrap w:val="0"/>
            <w:vAlign w:val="top"/>
          </w:tcPr>
          <w:p>
            <w:pPr>
              <w:spacing w:before="33" w:line="202"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实际完成率</w:t>
            </w:r>
          </w:p>
        </w:tc>
        <w:tc>
          <w:tcPr>
            <w:tcW w:w="656" w:type="dxa"/>
            <w:noWrap w:val="0"/>
            <w:vAlign w:val="top"/>
          </w:tcPr>
          <w:p>
            <w:pPr>
              <w:spacing w:before="77" w:line="143"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position w:val="-2"/>
                <w:sz w:val="21"/>
                <w:szCs w:val="21"/>
              </w:rPr>
              <w:t>10</w:t>
            </w:r>
          </w:p>
        </w:tc>
        <w:tc>
          <w:tcPr>
            <w:tcW w:w="815" w:type="dxa"/>
            <w:noWrap w:val="0"/>
            <w:vAlign w:val="top"/>
          </w:tcPr>
          <w:p>
            <w:pPr>
              <w:spacing w:before="77" w:line="143"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position w:val="-2"/>
                <w:sz w:val="21"/>
                <w:szCs w:val="21"/>
              </w:rPr>
              <w:t>9.30</w:t>
            </w:r>
          </w:p>
        </w:tc>
        <w:tc>
          <w:tcPr>
            <w:tcW w:w="4512" w:type="dxa"/>
            <w:noWrap w:val="0"/>
            <w:vAlign w:val="top"/>
          </w:tcPr>
          <w:p>
            <w:pPr>
              <w:spacing w:before="32" w:line="204"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工作总结和绩效报告对合同约定的部分任务完成情况未进行阐述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98" w:type="dxa"/>
            <w:vMerge w:val="continue"/>
            <w:tcBorders>
              <w:top w:val="nil"/>
              <w:bottom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6" w:type="dxa"/>
            <w:noWrap w:val="0"/>
            <w:vAlign w:val="top"/>
          </w:tcPr>
          <w:p>
            <w:pPr>
              <w:spacing w:before="33" w:line="202"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产出质量(10分)</w:t>
            </w:r>
          </w:p>
        </w:tc>
        <w:tc>
          <w:tcPr>
            <w:tcW w:w="1645" w:type="dxa"/>
            <w:noWrap w:val="0"/>
            <w:vAlign w:val="top"/>
          </w:tcPr>
          <w:p>
            <w:pPr>
              <w:spacing w:before="33" w:line="202"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质量达标率</w:t>
            </w:r>
          </w:p>
        </w:tc>
        <w:tc>
          <w:tcPr>
            <w:tcW w:w="656" w:type="dxa"/>
            <w:noWrap w:val="0"/>
            <w:vAlign w:val="top"/>
          </w:tcPr>
          <w:p>
            <w:pPr>
              <w:spacing w:before="77" w:line="143"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position w:val="-2"/>
                <w:sz w:val="21"/>
                <w:szCs w:val="21"/>
              </w:rPr>
              <w:t>10</w:t>
            </w:r>
          </w:p>
        </w:tc>
        <w:tc>
          <w:tcPr>
            <w:tcW w:w="815" w:type="dxa"/>
            <w:noWrap w:val="0"/>
            <w:vAlign w:val="top"/>
          </w:tcPr>
          <w:p>
            <w:pPr>
              <w:spacing w:before="77" w:line="143"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position w:val="-2"/>
                <w:sz w:val="21"/>
                <w:szCs w:val="21"/>
              </w:rPr>
              <w:t>7.70</w:t>
            </w:r>
          </w:p>
        </w:tc>
        <w:tc>
          <w:tcPr>
            <w:tcW w:w="4512" w:type="dxa"/>
            <w:noWrap w:val="0"/>
            <w:vAlign w:val="top"/>
          </w:tcPr>
          <w:p>
            <w:pPr>
              <w:spacing w:before="33" w:line="202"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衡量指标合理性不足，考核措施不充分，缺少</w:t>
            </w:r>
            <w:r>
              <w:rPr>
                <w:rFonts w:hint="eastAsia" w:ascii="仿宋_GB2312" w:hAnsi="仿宋_GB2312" w:eastAsia="仿宋_GB2312" w:cs="仿宋_GB2312"/>
                <w:b w:val="0"/>
                <w:bCs w:val="0"/>
                <w:spacing w:val="-1"/>
                <w:sz w:val="21"/>
                <w:szCs w:val="21"/>
              </w:rPr>
              <w:t>服务质量验收资料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98" w:type="dxa"/>
            <w:vMerge w:val="continue"/>
            <w:tcBorders>
              <w:top w:val="nil"/>
              <w:bottom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6" w:type="dxa"/>
            <w:noWrap w:val="0"/>
            <w:vAlign w:val="top"/>
          </w:tcPr>
          <w:p>
            <w:pPr>
              <w:spacing w:before="33" w:line="202"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产出时效(5分)</w:t>
            </w:r>
          </w:p>
        </w:tc>
        <w:tc>
          <w:tcPr>
            <w:tcW w:w="1645" w:type="dxa"/>
            <w:noWrap w:val="0"/>
            <w:vAlign w:val="top"/>
          </w:tcPr>
          <w:p>
            <w:pPr>
              <w:spacing w:before="33" w:line="202"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完成及时性</w:t>
            </w:r>
          </w:p>
        </w:tc>
        <w:tc>
          <w:tcPr>
            <w:tcW w:w="656" w:type="dxa"/>
            <w:noWrap w:val="0"/>
            <w:vAlign w:val="top"/>
          </w:tcPr>
          <w:p>
            <w:pPr>
              <w:spacing w:before="79" w:line="141"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position w:val="-2"/>
                <w:sz w:val="21"/>
                <w:szCs w:val="21"/>
              </w:rPr>
              <w:t>5</w:t>
            </w:r>
          </w:p>
        </w:tc>
        <w:tc>
          <w:tcPr>
            <w:tcW w:w="815" w:type="dxa"/>
            <w:noWrap w:val="0"/>
            <w:vAlign w:val="top"/>
          </w:tcPr>
          <w:p>
            <w:pPr>
              <w:spacing w:before="77" w:line="143"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position w:val="-2"/>
                <w:sz w:val="21"/>
                <w:szCs w:val="21"/>
              </w:rPr>
              <w:t>4.66</w:t>
            </w:r>
          </w:p>
        </w:tc>
        <w:tc>
          <w:tcPr>
            <w:tcW w:w="4512" w:type="dxa"/>
            <w:noWrap w:val="0"/>
            <w:vAlign w:val="top"/>
          </w:tcPr>
          <w:p>
            <w:pPr>
              <w:spacing w:before="34" w:line="201"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指标设置比较宽泛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98" w:type="dxa"/>
            <w:vMerge w:val="continue"/>
            <w:tcBorders>
              <w:top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6" w:type="dxa"/>
            <w:noWrap w:val="0"/>
            <w:vAlign w:val="top"/>
          </w:tcPr>
          <w:p>
            <w:pPr>
              <w:spacing w:before="152" w:line="219"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产出成本(10分)</w:t>
            </w:r>
          </w:p>
        </w:tc>
        <w:tc>
          <w:tcPr>
            <w:tcW w:w="1645" w:type="dxa"/>
            <w:noWrap w:val="0"/>
            <w:vAlign w:val="top"/>
          </w:tcPr>
          <w:p>
            <w:pPr>
              <w:spacing w:before="152" w:line="219"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成本节约率</w:t>
            </w:r>
          </w:p>
        </w:tc>
        <w:tc>
          <w:tcPr>
            <w:tcW w:w="656" w:type="dxa"/>
            <w:noWrap w:val="0"/>
            <w:vAlign w:val="top"/>
          </w:tcPr>
          <w:p>
            <w:pPr>
              <w:spacing w:before="196" w:line="184"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10</w:t>
            </w:r>
          </w:p>
        </w:tc>
        <w:tc>
          <w:tcPr>
            <w:tcW w:w="815" w:type="dxa"/>
            <w:noWrap w:val="0"/>
            <w:vAlign w:val="top"/>
          </w:tcPr>
          <w:p>
            <w:pPr>
              <w:spacing w:before="197" w:line="183"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7.60</w:t>
            </w:r>
          </w:p>
        </w:tc>
        <w:tc>
          <w:tcPr>
            <w:tcW w:w="4512" w:type="dxa"/>
            <w:noWrap w:val="0"/>
            <w:vAlign w:val="top"/>
          </w:tcPr>
          <w:p>
            <w:pPr>
              <w:spacing w:before="22" w:line="237" w:lineRule="auto"/>
              <w:ind w:right="25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缺少对考核分数与资金支付关联的制度要求，缺乏成本控</w:t>
            </w:r>
            <w:r>
              <w:rPr>
                <w:rFonts w:hint="eastAsia" w:ascii="仿宋_GB2312" w:hAnsi="仿宋_GB2312" w:eastAsia="仿宋_GB2312" w:cs="仿宋_GB2312"/>
                <w:b w:val="0"/>
                <w:bCs w:val="0"/>
                <w:spacing w:val="-1"/>
                <w:sz w:val="21"/>
                <w:szCs w:val="21"/>
              </w:rPr>
              <w:t>制措施，预算测算</w:t>
            </w:r>
            <w:r>
              <w:rPr>
                <w:rFonts w:hint="eastAsia" w:ascii="仿宋_GB2312" w:hAnsi="仿宋_GB2312" w:eastAsia="仿宋_GB2312" w:cs="仿宋_GB2312"/>
                <w:b w:val="0"/>
                <w:bCs w:val="0"/>
                <w:sz w:val="21"/>
                <w:szCs w:val="21"/>
              </w:rPr>
              <w:t xml:space="preserve"> </w:t>
            </w:r>
            <w:r>
              <w:rPr>
                <w:rFonts w:hint="eastAsia" w:ascii="仿宋_GB2312" w:hAnsi="仿宋_GB2312" w:eastAsia="仿宋_GB2312" w:cs="仿宋_GB2312"/>
                <w:b w:val="0"/>
                <w:bCs w:val="0"/>
                <w:spacing w:val="-2"/>
                <w:sz w:val="21"/>
                <w:szCs w:val="21"/>
              </w:rPr>
              <w:t>依据不够充分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98" w:type="dxa"/>
            <w:vMerge w:val="restart"/>
            <w:tcBorders>
              <w:bottom w:val="nil"/>
            </w:tcBorders>
            <w:noWrap w:val="0"/>
            <w:vAlign w:val="top"/>
          </w:tcPr>
          <w:p>
            <w:pPr>
              <w:pStyle w:val="23"/>
              <w:spacing w:line="447" w:lineRule="auto"/>
              <w:jc w:val="both"/>
              <w:rPr>
                <w:rFonts w:hint="eastAsia" w:ascii="仿宋_GB2312" w:hAnsi="仿宋_GB2312" w:eastAsia="仿宋_GB2312" w:cs="仿宋_GB2312"/>
                <w:b w:val="0"/>
                <w:bCs w:val="0"/>
                <w:sz w:val="21"/>
                <w:szCs w:val="21"/>
              </w:rPr>
            </w:pPr>
          </w:p>
          <w:p>
            <w:pPr>
              <w:spacing w:before="55" w:line="220"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6"/>
                <w:sz w:val="21"/>
                <w:szCs w:val="21"/>
              </w:rPr>
              <w:t>效益(35分)</w:t>
            </w:r>
          </w:p>
        </w:tc>
        <w:tc>
          <w:tcPr>
            <w:tcW w:w="1646" w:type="dxa"/>
            <w:vMerge w:val="restart"/>
            <w:tcBorders>
              <w:bottom w:val="nil"/>
            </w:tcBorders>
            <w:noWrap w:val="0"/>
            <w:vAlign w:val="top"/>
          </w:tcPr>
          <w:p>
            <w:pPr>
              <w:pStyle w:val="23"/>
              <w:spacing w:line="447" w:lineRule="auto"/>
              <w:jc w:val="both"/>
              <w:rPr>
                <w:rFonts w:hint="eastAsia" w:ascii="仿宋_GB2312" w:hAnsi="仿宋_GB2312" w:eastAsia="仿宋_GB2312" w:cs="仿宋_GB2312"/>
                <w:b w:val="0"/>
                <w:bCs w:val="0"/>
                <w:sz w:val="21"/>
                <w:szCs w:val="21"/>
              </w:rPr>
            </w:pPr>
          </w:p>
          <w:p>
            <w:pPr>
              <w:spacing w:before="55" w:line="219"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项月效益(35分)</w:t>
            </w:r>
          </w:p>
        </w:tc>
        <w:tc>
          <w:tcPr>
            <w:tcW w:w="1645" w:type="dxa"/>
            <w:noWrap w:val="0"/>
            <w:vAlign w:val="top"/>
          </w:tcPr>
          <w:p>
            <w:pPr>
              <w:spacing w:before="143" w:line="219"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社会效益</w:t>
            </w:r>
          </w:p>
        </w:tc>
        <w:tc>
          <w:tcPr>
            <w:tcW w:w="656" w:type="dxa"/>
            <w:noWrap w:val="0"/>
            <w:vAlign w:val="top"/>
          </w:tcPr>
          <w:p>
            <w:pPr>
              <w:spacing w:before="187" w:line="184"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15</w:t>
            </w:r>
          </w:p>
        </w:tc>
        <w:tc>
          <w:tcPr>
            <w:tcW w:w="815" w:type="dxa"/>
            <w:noWrap w:val="0"/>
            <w:vAlign w:val="top"/>
          </w:tcPr>
          <w:p>
            <w:pPr>
              <w:spacing w:before="187" w:line="184"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12.50</w:t>
            </w:r>
          </w:p>
        </w:tc>
        <w:tc>
          <w:tcPr>
            <w:tcW w:w="4512" w:type="dxa"/>
            <w:noWrap w:val="0"/>
            <w:vAlign w:val="top"/>
          </w:tcPr>
          <w:p>
            <w:pPr>
              <w:spacing w:before="13" w:line="231" w:lineRule="auto"/>
              <w:ind w:right="253"/>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绩效报告对第三方服务机构开展的服务工作完成情</w:t>
            </w:r>
            <w:r>
              <w:rPr>
                <w:rFonts w:hint="eastAsia" w:ascii="仿宋_GB2312" w:hAnsi="仿宋_GB2312" w:eastAsia="仿宋_GB2312" w:cs="仿宋_GB2312"/>
                <w:b w:val="0"/>
                <w:bCs w:val="0"/>
                <w:spacing w:val="-1"/>
                <w:sz w:val="21"/>
                <w:szCs w:val="21"/>
              </w:rPr>
              <w:t>况进行了较详细列示，但</w:t>
            </w:r>
            <w:r>
              <w:rPr>
                <w:rFonts w:hint="eastAsia" w:ascii="仿宋_GB2312" w:hAnsi="仿宋_GB2312" w:eastAsia="仿宋_GB2312" w:cs="仿宋_GB2312"/>
                <w:b w:val="0"/>
                <w:bCs w:val="0"/>
                <w:sz w:val="21"/>
                <w:szCs w:val="21"/>
              </w:rPr>
              <w:t xml:space="preserve"> </w:t>
            </w:r>
            <w:r>
              <w:rPr>
                <w:rFonts w:hint="eastAsia" w:ascii="仿宋_GB2312" w:hAnsi="仿宋_GB2312" w:eastAsia="仿宋_GB2312" w:cs="仿宋_GB2312"/>
                <w:b w:val="0"/>
                <w:bCs w:val="0"/>
                <w:spacing w:val="-1"/>
                <w:sz w:val="21"/>
                <w:szCs w:val="21"/>
              </w:rPr>
              <w:t>对项月实施社会影响、政策知晓度、帮扶成效阐述不足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98" w:type="dxa"/>
            <w:vMerge w:val="continue"/>
            <w:tcBorders>
              <w:top w:val="nil"/>
              <w:bottom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6" w:type="dxa"/>
            <w:vMerge w:val="continue"/>
            <w:tcBorders>
              <w:top w:val="nil"/>
              <w:bottom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5" w:type="dxa"/>
            <w:noWrap w:val="0"/>
            <w:vAlign w:val="top"/>
          </w:tcPr>
          <w:p>
            <w:pPr>
              <w:spacing w:before="35" w:line="200"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可持续性影响</w:t>
            </w:r>
          </w:p>
        </w:tc>
        <w:tc>
          <w:tcPr>
            <w:tcW w:w="656" w:type="dxa"/>
            <w:noWrap w:val="0"/>
            <w:vAlign w:val="top"/>
          </w:tcPr>
          <w:p>
            <w:pPr>
              <w:spacing w:before="79" w:line="141"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position w:val="-2"/>
                <w:sz w:val="21"/>
                <w:szCs w:val="21"/>
              </w:rPr>
              <w:t>10</w:t>
            </w:r>
          </w:p>
        </w:tc>
        <w:tc>
          <w:tcPr>
            <w:tcW w:w="815" w:type="dxa"/>
            <w:noWrap w:val="0"/>
            <w:vAlign w:val="top"/>
          </w:tcPr>
          <w:p>
            <w:pPr>
              <w:spacing w:before="79" w:line="141"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position w:val="-2"/>
                <w:sz w:val="21"/>
                <w:szCs w:val="21"/>
              </w:rPr>
              <w:t>8.10</w:t>
            </w:r>
          </w:p>
        </w:tc>
        <w:tc>
          <w:tcPr>
            <w:tcW w:w="4512" w:type="dxa"/>
            <w:noWrap w:val="0"/>
            <w:vAlign w:val="top"/>
          </w:tcPr>
          <w:p>
            <w:pPr>
              <w:spacing w:before="34" w:line="201"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服务历史标准不明确，缺少项目评估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98" w:type="dxa"/>
            <w:vMerge w:val="continue"/>
            <w:tcBorders>
              <w:top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6" w:type="dxa"/>
            <w:vMerge w:val="continue"/>
            <w:tcBorders>
              <w:top w:val="nil"/>
            </w:tcBorders>
            <w:noWrap w:val="0"/>
            <w:vAlign w:val="top"/>
          </w:tcPr>
          <w:p>
            <w:pPr>
              <w:pStyle w:val="23"/>
              <w:jc w:val="both"/>
              <w:rPr>
                <w:rFonts w:hint="eastAsia" w:ascii="仿宋_GB2312" w:hAnsi="仿宋_GB2312" w:eastAsia="仿宋_GB2312" w:cs="仿宋_GB2312"/>
                <w:b w:val="0"/>
                <w:bCs w:val="0"/>
                <w:sz w:val="21"/>
                <w:szCs w:val="21"/>
              </w:rPr>
            </w:pPr>
          </w:p>
        </w:tc>
        <w:tc>
          <w:tcPr>
            <w:tcW w:w="1645" w:type="dxa"/>
            <w:noWrap w:val="0"/>
            <w:vAlign w:val="top"/>
          </w:tcPr>
          <w:p>
            <w:pPr>
              <w:spacing w:before="156" w:line="219"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满意度</w:t>
            </w:r>
          </w:p>
        </w:tc>
        <w:tc>
          <w:tcPr>
            <w:tcW w:w="656" w:type="dxa"/>
            <w:noWrap w:val="0"/>
            <w:vAlign w:val="top"/>
          </w:tcPr>
          <w:p>
            <w:pPr>
              <w:spacing w:before="198" w:line="184"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10</w:t>
            </w:r>
          </w:p>
        </w:tc>
        <w:tc>
          <w:tcPr>
            <w:tcW w:w="815" w:type="dxa"/>
            <w:noWrap w:val="0"/>
            <w:vAlign w:val="top"/>
          </w:tcPr>
          <w:p>
            <w:pPr>
              <w:spacing w:before="199" w:line="183"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7.6</w:t>
            </w:r>
          </w:p>
        </w:tc>
        <w:tc>
          <w:tcPr>
            <w:tcW w:w="4512" w:type="dxa"/>
            <w:noWrap w:val="0"/>
            <w:vAlign w:val="top"/>
          </w:tcPr>
          <w:p>
            <w:pPr>
              <w:spacing w:before="15" w:line="241" w:lineRule="auto"/>
              <w:ind w:right="25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缺少满意度调查分析，未见指标中“社救对象建表登记、</w:t>
            </w:r>
            <w:r>
              <w:rPr>
                <w:rFonts w:hint="eastAsia" w:ascii="仿宋_GB2312" w:hAnsi="仿宋_GB2312" w:eastAsia="仿宋_GB2312" w:cs="仿宋_GB2312"/>
                <w:b w:val="0"/>
                <w:bCs w:val="0"/>
                <w:spacing w:val="-1"/>
                <w:sz w:val="21"/>
                <w:szCs w:val="21"/>
              </w:rPr>
              <w:t>社救对象服务类服</w:t>
            </w:r>
            <w:r>
              <w:rPr>
                <w:rFonts w:hint="eastAsia" w:ascii="仿宋_GB2312" w:hAnsi="仿宋_GB2312" w:eastAsia="仿宋_GB2312" w:cs="仿宋_GB2312"/>
                <w:b w:val="0"/>
                <w:bCs w:val="0"/>
                <w:sz w:val="21"/>
                <w:szCs w:val="21"/>
              </w:rPr>
              <w:t xml:space="preserve"> </w:t>
            </w:r>
            <w:r>
              <w:rPr>
                <w:rFonts w:hint="eastAsia" w:ascii="仿宋_GB2312" w:hAnsi="仿宋_GB2312" w:eastAsia="仿宋_GB2312" w:cs="仿宋_GB2312"/>
                <w:b w:val="0"/>
                <w:bCs w:val="0"/>
                <w:spacing w:val="-1"/>
                <w:sz w:val="21"/>
                <w:szCs w:val="21"/>
              </w:rPr>
              <w:t>务”两项工作的满意度调查资料，问卷内容不全面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789" w:type="dxa"/>
            <w:gridSpan w:val="3"/>
            <w:noWrap w:val="0"/>
            <w:vAlign w:val="top"/>
          </w:tcPr>
          <w:p>
            <w:pPr>
              <w:spacing w:before="37" w:line="202"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合</w:t>
            </w:r>
            <w:r>
              <w:rPr>
                <w:rFonts w:hint="eastAsia" w:ascii="仿宋_GB2312" w:hAnsi="仿宋_GB2312" w:eastAsia="仿宋_GB2312" w:cs="仿宋_GB2312"/>
                <w:b w:val="0"/>
                <w:bCs w:val="0"/>
                <w:spacing w:val="-2"/>
                <w:sz w:val="21"/>
                <w:szCs w:val="21"/>
                <w:lang w:val="en-US" w:eastAsia="zh-CN"/>
              </w:rPr>
              <w:t xml:space="preserve">  </w:t>
            </w:r>
            <w:r>
              <w:rPr>
                <w:rFonts w:hint="eastAsia" w:ascii="仿宋_GB2312" w:hAnsi="仿宋_GB2312" w:eastAsia="仿宋_GB2312" w:cs="仿宋_GB2312"/>
                <w:b w:val="0"/>
                <w:bCs w:val="0"/>
                <w:spacing w:val="-2"/>
                <w:sz w:val="21"/>
                <w:szCs w:val="21"/>
              </w:rPr>
              <w:t>计</w:t>
            </w:r>
          </w:p>
        </w:tc>
        <w:tc>
          <w:tcPr>
            <w:tcW w:w="656" w:type="dxa"/>
            <w:noWrap w:val="0"/>
            <w:vAlign w:val="top"/>
          </w:tcPr>
          <w:p>
            <w:pPr>
              <w:spacing w:before="80" w:line="143"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position w:val="-2"/>
                <w:sz w:val="21"/>
                <w:szCs w:val="21"/>
              </w:rPr>
              <w:t>100</w:t>
            </w:r>
          </w:p>
        </w:tc>
        <w:tc>
          <w:tcPr>
            <w:tcW w:w="815" w:type="dxa"/>
            <w:noWrap w:val="0"/>
            <w:vAlign w:val="top"/>
          </w:tcPr>
          <w:p>
            <w:pPr>
              <w:spacing w:before="80" w:line="143"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position w:val="-2"/>
                <w:sz w:val="21"/>
                <w:szCs w:val="21"/>
              </w:rPr>
              <w:t>82.02</w:t>
            </w:r>
          </w:p>
        </w:tc>
        <w:tc>
          <w:tcPr>
            <w:tcW w:w="4512" w:type="dxa"/>
            <w:noWrap w:val="0"/>
            <w:vAlign w:val="top"/>
          </w:tcPr>
          <w:p>
            <w:pPr>
              <w:pStyle w:val="23"/>
              <w:spacing w:line="223" w:lineRule="exact"/>
              <w:jc w:val="both"/>
              <w:rPr>
                <w:rFonts w:hint="eastAsia" w:ascii="仿宋_GB2312" w:hAnsi="仿宋_GB2312" w:eastAsia="仿宋_GB2312" w:cs="仿宋_GB2312"/>
                <w:b w:val="0"/>
                <w:bCs w:val="0"/>
                <w:sz w:val="21"/>
                <w:szCs w:val="21"/>
              </w:rPr>
            </w:pPr>
          </w:p>
        </w:tc>
      </w:tr>
    </w:tbl>
    <w:p>
      <w:pPr>
        <w:pStyle w:val="4"/>
        <w:spacing w:before="91" w:line="222"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bCs w:val="0"/>
          <w:spacing w:val="-10"/>
          <w:sz w:val="28"/>
          <w:szCs w:val="28"/>
        </w:rPr>
        <w:t>2022年永乐店镇困难群众精准帮扶项目绩效评价指标体</w:t>
      </w:r>
      <w:r>
        <w:rPr>
          <w:rFonts w:hint="eastAsia" w:ascii="仿宋_GB2312" w:hAnsi="仿宋_GB2312" w:eastAsia="仿宋_GB2312" w:cs="仿宋_GB2312"/>
          <w:b w:val="0"/>
          <w:bCs w:val="0"/>
          <w:spacing w:val="-10"/>
          <w:sz w:val="28"/>
          <w:szCs w:val="28"/>
          <w:lang w:eastAsia="zh-CN"/>
        </w:rPr>
        <w:t>及打分情况表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绩效评价指标分析</w:t>
      </w:r>
    </w:p>
    <w:p>
      <w:pPr>
        <w:keepNext w:val="0"/>
        <w:keepLines w:val="0"/>
        <w:pageBreakBefore w:val="0"/>
        <w:kinsoku/>
        <w:wordWrap/>
        <w:overflowPunct/>
        <w:topLinePunct w:val="0"/>
        <w:autoSpaceDE/>
        <w:autoSpaceDN/>
        <w:bidi w:val="0"/>
        <w:adjustRightInd/>
        <w:snapToGrid/>
        <w:spacing w:before="1" w:line="520" w:lineRule="exact"/>
        <w:ind w:left="794"/>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1"/>
          <w:sz w:val="28"/>
          <w:szCs w:val="28"/>
        </w:rPr>
        <w:t>(一)项目决策情况</w:t>
      </w:r>
    </w:p>
    <w:p>
      <w:pPr>
        <w:pStyle w:val="4"/>
        <w:keepNext w:val="0"/>
        <w:keepLines w:val="0"/>
        <w:pageBreakBefore w:val="0"/>
        <w:kinsoku/>
        <w:wordWrap/>
        <w:overflowPunct/>
        <w:topLinePunct w:val="0"/>
        <w:autoSpaceDE/>
        <w:autoSpaceDN/>
        <w:bidi w:val="0"/>
        <w:adjustRightInd/>
        <w:snapToGrid/>
        <w:spacing w:before="179" w:line="520" w:lineRule="exact"/>
        <w:ind w:left="660"/>
        <w:rPr>
          <w:rFonts w:hint="eastAsia" w:ascii="仿宋_GB2312" w:hAnsi="仿宋_GB2312" w:eastAsia="仿宋_GB2312" w:cs="仿宋_GB2312"/>
          <w:sz w:val="28"/>
          <w:szCs w:val="28"/>
        </w:rPr>
      </w:pPr>
      <w:r>
        <w:rPr>
          <w:rFonts w:hint="eastAsia" w:ascii="仿宋_GB2312" w:hAnsi="仿宋_GB2312" w:eastAsia="仿宋_GB2312" w:cs="仿宋_GB2312"/>
          <w:spacing w:val="-21"/>
          <w:sz w:val="28"/>
          <w:szCs w:val="28"/>
        </w:rPr>
        <w:t>1.项目立项情况</w:t>
      </w:r>
    </w:p>
    <w:p>
      <w:pPr>
        <w:pStyle w:val="4"/>
        <w:keepNext w:val="0"/>
        <w:keepLines w:val="0"/>
        <w:pageBreakBefore w:val="0"/>
        <w:tabs>
          <w:tab w:val="left" w:pos="188"/>
        </w:tabs>
        <w:kinsoku/>
        <w:wordWrap/>
        <w:overflowPunct/>
        <w:topLinePunct w:val="0"/>
        <w:autoSpaceDE/>
        <w:autoSpaceDN/>
        <w:bidi w:val="0"/>
        <w:adjustRightInd/>
        <w:snapToGrid/>
        <w:spacing w:before="161" w:line="520" w:lineRule="exact"/>
        <w:ind w:right="151" w:firstLine="660"/>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4"/>
          <w:sz w:val="28"/>
          <w:szCs w:val="28"/>
        </w:rPr>
        <w:t>为贯彻落实《北京市民政局关于加快“三社联动”推动基</w:t>
      </w:r>
      <w:r>
        <w:rPr>
          <w:rFonts w:hint="eastAsia" w:ascii="仿宋_GB2312" w:hAnsi="仿宋_GB2312" w:eastAsia="仿宋_GB2312" w:cs="仿宋_GB2312"/>
          <w:spacing w:val="7"/>
          <w:sz w:val="28"/>
          <w:szCs w:val="28"/>
        </w:rPr>
        <w:t>层社会治理创新的意见》(京民社工发〔2015〕458号)和</w:t>
      </w:r>
      <w:r>
        <w:rPr>
          <w:rFonts w:hint="eastAsia" w:ascii="仿宋_GB2312" w:hAnsi="仿宋_GB2312" w:eastAsia="仿宋_GB2312" w:cs="仿宋_GB2312"/>
          <w:spacing w:val="2"/>
          <w:sz w:val="28"/>
          <w:szCs w:val="28"/>
        </w:rPr>
        <w:t>《北京市民政局北京市财政局关于社会工作参与精准救助</w:t>
      </w:r>
      <w:r>
        <w:rPr>
          <w:rFonts w:hint="eastAsia" w:ascii="仿宋_GB2312" w:hAnsi="仿宋_GB2312" w:eastAsia="仿宋_GB2312" w:cs="仿宋_GB2312"/>
          <w:spacing w:val="1"/>
          <w:sz w:val="28"/>
          <w:szCs w:val="28"/>
        </w:rPr>
        <w:t>的实施意见》(京民社工发〔2017〕23号)等文件要求，依</w:t>
      </w:r>
      <w:r>
        <w:rPr>
          <w:rFonts w:hint="eastAsia" w:ascii="仿宋_GB2312" w:hAnsi="仿宋_GB2312" w:eastAsia="仿宋_GB2312" w:cs="仿宋_GB2312"/>
          <w:spacing w:val="-12"/>
          <w:sz w:val="28"/>
          <w:szCs w:val="28"/>
        </w:rPr>
        <w:t>据北京市民政局、北京市机构编委委员会办公室、北京市财政局、北京市人力资源和社会保障局《关于积极推行政府购</w:t>
      </w:r>
      <w:r>
        <w:rPr>
          <w:rFonts w:hint="eastAsia" w:ascii="仿宋_GB2312" w:hAnsi="仿宋_GB2312" w:eastAsia="仿宋_GB2312" w:cs="仿宋_GB2312"/>
          <w:spacing w:val="-11"/>
          <w:sz w:val="28"/>
          <w:szCs w:val="28"/>
        </w:rPr>
        <w:t>买服务进一步加强基层社会救助经办能力建设的实施意见》</w:t>
      </w:r>
      <w:r>
        <w:rPr>
          <w:rFonts w:hint="eastAsia" w:ascii="仿宋_GB2312" w:hAnsi="仿宋_GB2312" w:eastAsia="仿宋_GB2312" w:cs="仿宋_GB2312"/>
          <w:spacing w:val="3"/>
          <w:sz w:val="28"/>
          <w:szCs w:val="28"/>
        </w:rPr>
        <w:t>(京民社救发〔2018〕313号)文件精神，结合北京市2022</w:t>
      </w:r>
      <w:r>
        <w:rPr>
          <w:rFonts w:hint="eastAsia" w:ascii="仿宋_GB2312" w:hAnsi="仿宋_GB2312" w:eastAsia="仿宋_GB2312" w:cs="仿宋_GB2312"/>
          <w:spacing w:val="-12"/>
          <w:sz w:val="28"/>
          <w:szCs w:val="28"/>
        </w:rPr>
        <w:t>年困难群众救助政策调整，永乐店镇政府采取政府购买服务</w:t>
      </w:r>
      <w:r>
        <w:rPr>
          <w:rFonts w:hint="eastAsia" w:ascii="仿宋_GB2312" w:hAnsi="仿宋_GB2312" w:eastAsia="仿宋_GB2312" w:cs="仿宋_GB2312"/>
          <w:spacing w:val="1"/>
          <w:sz w:val="28"/>
          <w:szCs w:val="28"/>
        </w:rPr>
        <w:t>的方式，引入第三方机构开展实施2022年永乐店镇困难群</w:t>
      </w:r>
      <w:r>
        <w:rPr>
          <w:rFonts w:hint="eastAsia" w:ascii="仿宋_GB2312" w:hAnsi="仿宋_GB2312" w:eastAsia="仿宋_GB2312" w:cs="仿宋_GB2312"/>
          <w:spacing w:val="-17"/>
          <w:sz w:val="28"/>
          <w:szCs w:val="28"/>
        </w:rPr>
        <w:t>众精准帮扶项目。</w:t>
      </w:r>
      <w:r>
        <w:rPr>
          <w:rFonts w:hint="eastAsia" w:ascii="仿宋_GB2312" w:hAnsi="仿宋_GB2312" w:eastAsia="仿宋_GB2312" w:cs="仿宋_GB2312"/>
          <w:spacing w:val="-11"/>
          <w:sz w:val="28"/>
          <w:szCs w:val="28"/>
        </w:rPr>
        <w:t>评价分析认为：该项目决策依据较为充分，但仍存在服</w:t>
      </w:r>
      <w:r>
        <w:rPr>
          <w:rFonts w:hint="eastAsia" w:ascii="仿宋_GB2312" w:hAnsi="仿宋_GB2312" w:eastAsia="仿宋_GB2312" w:cs="仿宋_GB2312"/>
          <w:sz w:val="28"/>
          <w:szCs w:val="28"/>
        </w:rPr>
        <w:t>务边界调整缺少论证，权责关系、政策调整的</w:t>
      </w:r>
      <w:r>
        <w:rPr>
          <w:rFonts w:hint="eastAsia" w:ascii="仿宋_GB2312" w:hAnsi="仿宋_GB2312" w:eastAsia="仿宋_GB2312" w:cs="仿宋_GB2312"/>
          <w:spacing w:val="-1"/>
          <w:sz w:val="28"/>
          <w:szCs w:val="28"/>
        </w:rPr>
        <w:t>影响情况及需求衔接不清晰，政府购买服务合理性缺少对标分析</w:t>
      </w:r>
      <w:r>
        <w:rPr>
          <w:rFonts w:hint="eastAsia" w:ascii="仿宋_GB2312" w:hAnsi="仿宋_GB2312" w:eastAsia="仿宋_GB2312" w:cs="仿宋_GB2312"/>
          <w:spacing w:val="-2"/>
          <w:sz w:val="28"/>
          <w:szCs w:val="28"/>
        </w:rPr>
        <w:t>，以及决</w:t>
      </w:r>
      <w:r>
        <w:rPr>
          <w:rFonts w:hint="eastAsia" w:ascii="仿宋_GB2312" w:hAnsi="仿宋_GB2312" w:eastAsia="仿宋_GB2312" w:cs="仿宋_GB2312"/>
          <w:spacing w:val="-4"/>
          <w:sz w:val="28"/>
          <w:szCs w:val="28"/>
        </w:rPr>
        <w:t>策机制不够清晰，决策资料提供不完整等问题。</w:t>
      </w:r>
    </w:p>
    <w:p>
      <w:pPr>
        <w:pStyle w:val="4"/>
        <w:keepNext w:val="0"/>
        <w:keepLines w:val="0"/>
        <w:pageBreakBefore w:val="0"/>
        <w:tabs>
          <w:tab w:val="left" w:pos="188"/>
        </w:tabs>
        <w:kinsoku/>
        <w:wordWrap/>
        <w:overflowPunct/>
        <w:topLinePunct w:val="0"/>
        <w:autoSpaceDE/>
        <w:autoSpaceDN/>
        <w:bidi w:val="0"/>
        <w:adjustRightInd/>
        <w:snapToGrid/>
        <w:spacing w:before="161" w:line="520" w:lineRule="exact"/>
        <w:ind w:right="151" w:firstLine="660"/>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2.绩效目标设定情况</w:t>
      </w:r>
    </w:p>
    <w:p>
      <w:pPr>
        <w:pStyle w:val="4"/>
        <w:keepNext w:val="0"/>
        <w:keepLines w:val="0"/>
        <w:pageBreakBefore w:val="0"/>
        <w:kinsoku/>
        <w:wordWrap/>
        <w:overflowPunct/>
        <w:topLinePunct w:val="0"/>
        <w:autoSpaceDE/>
        <w:autoSpaceDN/>
        <w:bidi w:val="0"/>
        <w:adjustRightInd/>
        <w:snapToGrid/>
        <w:spacing w:before="168" w:line="520" w:lineRule="exact"/>
        <w:ind w:left="20" w:right="13" w:firstLine="649"/>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项目单位结合实际工作内容，按照预算绩效管理的要</w:t>
      </w:r>
      <w:r>
        <w:rPr>
          <w:rFonts w:hint="eastAsia" w:ascii="仿宋_GB2312" w:hAnsi="仿宋_GB2312" w:eastAsia="仿宋_GB2312" w:cs="仿宋_GB2312"/>
          <w:spacing w:val="-10"/>
          <w:sz w:val="28"/>
          <w:szCs w:val="28"/>
        </w:rPr>
        <w:t>求，分别设置总体绩效目标，并细化设置了项目产出数量、</w:t>
      </w:r>
      <w:r>
        <w:rPr>
          <w:rFonts w:hint="eastAsia" w:ascii="仿宋_GB2312" w:hAnsi="仿宋_GB2312" w:eastAsia="仿宋_GB2312" w:cs="仿宋_GB2312"/>
          <w:spacing w:val="-1"/>
          <w:sz w:val="28"/>
          <w:szCs w:val="28"/>
        </w:rPr>
        <w:t>产出质量、产出时效、产出成本、社会效益和服务对象满意</w:t>
      </w:r>
      <w:r>
        <w:rPr>
          <w:rFonts w:hint="eastAsia" w:ascii="仿宋_GB2312" w:hAnsi="仿宋_GB2312" w:eastAsia="仿宋_GB2312" w:cs="仿宋_GB2312"/>
          <w:spacing w:val="-4"/>
          <w:sz w:val="28"/>
          <w:szCs w:val="28"/>
        </w:rPr>
        <w:t>度六项绩效指标，绩效目标设置较为完整。</w:t>
      </w:r>
      <w:r>
        <w:rPr>
          <w:rFonts w:hint="eastAsia" w:ascii="仿宋_GB2312" w:hAnsi="仿宋_GB2312" w:eastAsia="仿宋_GB2312" w:cs="仿宋_GB2312"/>
          <w:spacing w:val="-1"/>
          <w:sz w:val="28"/>
          <w:szCs w:val="28"/>
        </w:rPr>
        <w:t>评价分析认为：该项目虽按照要求填报了绩效目标申报表，并设定了绩效目标和绩效指标，但目标设计偏宽泛，数量指标任务与合同约定任务不够契合；质量指标缺少服</w:t>
      </w:r>
      <w:r>
        <w:rPr>
          <w:rFonts w:hint="eastAsia" w:ascii="仿宋_GB2312" w:hAnsi="仿宋_GB2312" w:eastAsia="仿宋_GB2312" w:cs="仿宋_GB2312"/>
          <w:spacing w:val="-2"/>
          <w:sz w:val="28"/>
          <w:szCs w:val="28"/>
        </w:rPr>
        <w:t>务质</w:t>
      </w:r>
      <w:r>
        <w:rPr>
          <w:rFonts w:hint="eastAsia" w:ascii="仿宋_GB2312" w:hAnsi="仿宋_GB2312" w:eastAsia="仿宋_GB2312" w:cs="仿宋_GB2312"/>
          <w:spacing w:val="-1"/>
          <w:sz w:val="28"/>
          <w:szCs w:val="28"/>
        </w:rPr>
        <w:t>量验收标准；项目绩效目标后补填，以完成情况作为绩效指</w:t>
      </w:r>
      <w:r>
        <w:rPr>
          <w:rFonts w:hint="eastAsia" w:ascii="仿宋_GB2312" w:hAnsi="仿宋_GB2312" w:eastAsia="仿宋_GB2312" w:cs="仿宋_GB2312"/>
          <w:spacing w:val="-5"/>
          <w:sz w:val="28"/>
          <w:szCs w:val="28"/>
        </w:rPr>
        <w:t>标合理性不足，缺乏可衡量性。</w:t>
      </w:r>
    </w:p>
    <w:p>
      <w:pPr>
        <w:pStyle w:val="4"/>
        <w:keepNext w:val="0"/>
        <w:keepLines w:val="0"/>
        <w:pageBreakBefore w:val="0"/>
        <w:kinsoku/>
        <w:wordWrap/>
        <w:overflowPunct/>
        <w:topLinePunct w:val="0"/>
        <w:autoSpaceDE/>
        <w:autoSpaceDN/>
        <w:bidi w:val="0"/>
        <w:adjustRightInd/>
        <w:snapToGrid/>
        <w:spacing w:before="173" w:line="520" w:lineRule="exact"/>
        <w:ind w:left="669"/>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3.资金投入情况</w:t>
      </w:r>
    </w:p>
    <w:p>
      <w:pPr>
        <w:pStyle w:val="4"/>
        <w:keepNext w:val="0"/>
        <w:keepLines w:val="0"/>
        <w:pageBreakBefore w:val="0"/>
        <w:tabs>
          <w:tab w:val="left" w:pos="170"/>
        </w:tabs>
        <w:kinsoku/>
        <w:wordWrap/>
        <w:overflowPunct/>
        <w:topLinePunct w:val="0"/>
        <w:autoSpaceDE/>
        <w:autoSpaceDN/>
        <w:bidi w:val="0"/>
        <w:adjustRightInd/>
        <w:snapToGrid/>
        <w:spacing w:before="165" w:line="520" w:lineRule="exact"/>
        <w:ind w:right="94" w:firstLine="669"/>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该项目根据北京市通州区民政局《关于加强通州区街道</w:t>
      </w:r>
      <w:r>
        <w:rPr>
          <w:rFonts w:hint="eastAsia" w:ascii="仿宋_GB2312" w:hAnsi="仿宋_GB2312" w:eastAsia="仿宋_GB2312" w:cs="仿宋_GB2312"/>
          <w:spacing w:val="25"/>
          <w:sz w:val="28"/>
          <w:szCs w:val="28"/>
        </w:rPr>
        <w:t>(乡镇)社会救助经办服务能力建设的通知》(通民政文</w:t>
      </w:r>
      <w:r>
        <w:rPr>
          <w:rFonts w:hint="eastAsia" w:ascii="仿宋_GB2312" w:hAnsi="仿宋_GB2312" w:eastAsia="仿宋_GB2312" w:cs="仿宋_GB2312"/>
          <w:spacing w:val="5"/>
          <w:sz w:val="28"/>
          <w:szCs w:val="28"/>
        </w:rPr>
        <w:t>〔2021〕47号)文件，永乐店镇政府以政府</w:t>
      </w:r>
      <w:r>
        <w:rPr>
          <w:rFonts w:hint="eastAsia" w:ascii="仿宋_GB2312" w:hAnsi="仿宋_GB2312" w:eastAsia="仿宋_GB2312" w:cs="仿宋_GB2312"/>
          <w:spacing w:val="4"/>
          <w:sz w:val="28"/>
          <w:szCs w:val="28"/>
        </w:rPr>
        <w:t>购买服务的形式</w:t>
      </w:r>
      <w:r>
        <w:rPr>
          <w:rFonts w:hint="eastAsia" w:ascii="仿宋_GB2312" w:hAnsi="仿宋_GB2312" w:eastAsia="仿宋_GB2312" w:cs="仿宋_GB2312"/>
          <w:spacing w:val="-12"/>
          <w:sz w:val="28"/>
          <w:szCs w:val="28"/>
        </w:rPr>
        <w:t>采用“三方比价”方式确定项目实施主体，并经镇长办公会</w:t>
      </w:r>
      <w:r>
        <w:rPr>
          <w:rFonts w:hint="eastAsia" w:ascii="仿宋_GB2312" w:hAnsi="仿宋_GB2312" w:eastAsia="仿宋_GB2312" w:cs="仿宋_GB2312"/>
          <w:sz w:val="28"/>
          <w:szCs w:val="28"/>
        </w:rPr>
        <w:t>研究同意，与其签订项目合同，合同金额256,543.00元</w:t>
      </w:r>
      <w:r>
        <w:rPr>
          <w:rFonts w:hint="eastAsia" w:ascii="仿宋_GB2312" w:hAnsi="仿宋_GB2312" w:eastAsia="仿宋_GB2312" w:cs="仿宋_GB2312"/>
          <w:spacing w:val="-1"/>
          <w:sz w:val="28"/>
          <w:szCs w:val="28"/>
        </w:rPr>
        <w:t>，项</w:t>
      </w:r>
      <w:r>
        <w:rPr>
          <w:rFonts w:hint="eastAsia" w:ascii="仿宋_GB2312" w:hAnsi="仿宋_GB2312" w:eastAsia="仿宋_GB2312" w:cs="仿宋_GB2312"/>
          <w:spacing w:val="-6"/>
          <w:sz w:val="28"/>
          <w:szCs w:val="28"/>
        </w:rPr>
        <w:t>目资金全部由永乐店镇政府财政资金承担。</w:t>
      </w:r>
      <w:r>
        <w:rPr>
          <w:rFonts w:hint="eastAsia" w:ascii="仿宋_GB2312" w:hAnsi="仿宋_GB2312" w:eastAsia="仿宋_GB2312" w:cs="仿宋_GB2312"/>
          <w:spacing w:val="-1"/>
          <w:sz w:val="28"/>
          <w:szCs w:val="28"/>
        </w:rPr>
        <w:t>评价分析认为：该项目的预算编制程序不合理，资金投入测算不合理，存在预算分配与年度任务量不对应，缺少预</w:t>
      </w:r>
      <w:r>
        <w:rPr>
          <w:rFonts w:hint="eastAsia" w:ascii="仿宋_GB2312" w:hAnsi="仿宋_GB2312" w:eastAsia="仿宋_GB2312" w:cs="仿宋_GB2312"/>
          <w:sz w:val="28"/>
          <w:szCs w:val="28"/>
        </w:rPr>
        <w:t>算需求论证资料及预算编制不细化，缺少预算编制依据等问</w:t>
      </w:r>
      <w:r>
        <w:rPr>
          <w:rFonts w:hint="eastAsia" w:ascii="仿宋_GB2312" w:hAnsi="仿宋_GB2312" w:eastAsia="仿宋_GB2312" w:cs="仿宋_GB2312"/>
          <w:spacing w:val="-17"/>
          <w:sz w:val="28"/>
          <w:szCs w:val="28"/>
        </w:rPr>
        <w:t>题。</w:t>
      </w:r>
    </w:p>
    <w:p>
      <w:pPr>
        <w:keepNext w:val="0"/>
        <w:keepLines w:val="0"/>
        <w:pageBreakBefore w:val="0"/>
        <w:widowControl w:val="0"/>
        <w:kinsoku/>
        <w:wordWrap/>
        <w:overflowPunct/>
        <w:topLinePunct w:val="0"/>
        <w:autoSpaceDE/>
        <w:autoSpaceDN/>
        <w:bidi w:val="0"/>
        <w:adjustRightInd/>
        <w:snapToGrid/>
        <w:spacing w:before="104" w:line="520" w:lineRule="exact"/>
        <w:ind w:firstLine="628"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7"/>
          <w:sz w:val="28"/>
          <w:szCs w:val="28"/>
        </w:rPr>
        <w:t>(二)项目过程情况</w:t>
      </w:r>
    </w:p>
    <w:p>
      <w:pPr>
        <w:pStyle w:val="4"/>
        <w:keepNext w:val="0"/>
        <w:keepLines w:val="0"/>
        <w:pageBreakBefore w:val="0"/>
        <w:widowControl w:val="0"/>
        <w:kinsoku/>
        <w:wordWrap/>
        <w:overflowPunct/>
        <w:topLinePunct w:val="0"/>
        <w:autoSpaceDE/>
        <w:autoSpaceDN/>
        <w:bidi w:val="0"/>
        <w:adjustRightInd/>
        <w:snapToGrid/>
        <w:spacing w:before="161" w:line="520" w:lineRule="exact"/>
        <w:ind w:firstLine="516" w:firstLineChars="200"/>
        <w:textAlignment w:val="auto"/>
        <w:rPr>
          <w:rFonts w:hint="eastAsia" w:ascii="仿宋_GB2312" w:hAnsi="仿宋_GB2312" w:eastAsia="仿宋_GB2312" w:cs="仿宋_GB2312"/>
          <w:sz w:val="28"/>
          <w:szCs w:val="28"/>
        </w:rPr>
        <w:sectPr>
          <w:footerReference r:id="rId6" w:type="default"/>
          <w:pgSz w:w="11910" w:h="16850"/>
          <w:pgMar w:top="400" w:right="1786" w:bottom="1207" w:left="1630" w:header="0" w:footer="1081" w:gutter="0"/>
          <w:cols w:space="720" w:num="1"/>
        </w:sectPr>
      </w:pPr>
      <w:r>
        <w:rPr>
          <w:rFonts w:hint="eastAsia" w:ascii="仿宋_GB2312" w:hAnsi="仿宋_GB2312" w:eastAsia="仿宋_GB2312" w:cs="仿宋_GB2312"/>
          <w:spacing w:val="-11"/>
          <w:sz w:val="28"/>
          <w:szCs w:val="28"/>
        </w:rPr>
        <w:t>1.资金管理情况</w:t>
      </w:r>
      <w:r>
        <w:rPr>
          <w:rFonts w:hint="eastAsia" w:ascii="仿宋_GB2312" w:hAnsi="仿宋_GB2312" w:eastAsia="仿宋_GB2312" w:cs="仿宋_GB2312"/>
          <w:spacing w:val="-11"/>
          <w:sz w:val="28"/>
          <w:szCs w:val="28"/>
          <w:lang w:val="en-US" w:eastAsia="zh-CN"/>
        </w:rPr>
        <w:t>:</w:t>
      </w:r>
      <w:r>
        <w:rPr>
          <w:rFonts w:hint="eastAsia" w:ascii="仿宋_GB2312" w:hAnsi="仿宋_GB2312" w:eastAsia="仿宋_GB2312" w:cs="仿宋_GB2312"/>
          <w:spacing w:val="15"/>
          <w:sz w:val="28"/>
          <w:szCs w:val="28"/>
        </w:rPr>
        <w:t>(1)项目资金到位情况</w:t>
      </w:r>
      <w:r>
        <w:rPr>
          <w:rFonts w:hint="eastAsia" w:ascii="仿宋_GB2312" w:hAnsi="仿宋_GB2312" w:eastAsia="仿宋_GB2312" w:cs="仿宋_GB2312"/>
          <w:spacing w:val="15"/>
          <w:sz w:val="28"/>
          <w:szCs w:val="28"/>
          <w:lang w:val="en-US" w:eastAsia="zh-CN"/>
        </w:rPr>
        <w:t>:</w:t>
      </w:r>
      <w:r>
        <w:rPr>
          <w:rFonts w:hint="eastAsia" w:ascii="仿宋_GB2312" w:hAnsi="仿宋_GB2312" w:eastAsia="仿宋_GB2312" w:cs="仿宋_GB2312"/>
          <w:sz w:val="28"/>
          <w:szCs w:val="28"/>
        </w:rPr>
        <w:t>2022年度，该项目预算金额为256,543.00元，截至2022</w:t>
      </w:r>
      <w:r>
        <w:rPr>
          <w:rFonts w:hint="eastAsia" w:ascii="仿宋_GB2312" w:hAnsi="仿宋_GB2312" w:eastAsia="仿宋_GB2312" w:cs="仿宋_GB2312"/>
          <w:spacing w:val="4"/>
          <w:sz w:val="28"/>
          <w:szCs w:val="28"/>
        </w:rPr>
        <w:t>年12月31日，实际到位256,543.00元，预算到位率为100%,</w:t>
      </w:r>
      <w:r>
        <w:rPr>
          <w:rFonts w:hint="eastAsia" w:ascii="仿宋_GB2312" w:hAnsi="仿宋_GB2312" w:eastAsia="仿宋_GB2312" w:cs="仿宋_GB2312"/>
          <w:spacing w:val="-5"/>
          <w:sz w:val="28"/>
          <w:szCs w:val="28"/>
        </w:rPr>
        <w:t>均为永乐店镇政府财政资金。</w:t>
      </w:r>
      <w:r>
        <w:rPr>
          <w:rFonts w:hint="eastAsia" w:ascii="仿宋_GB2312" w:hAnsi="仿宋_GB2312" w:eastAsia="仿宋_GB2312" w:cs="仿宋_GB2312"/>
          <w:spacing w:val="19"/>
          <w:sz w:val="28"/>
          <w:szCs w:val="28"/>
        </w:rPr>
        <w:t>(2)资金使用情况</w:t>
      </w:r>
      <w:r>
        <w:rPr>
          <w:rFonts w:hint="eastAsia" w:ascii="仿宋_GB2312" w:hAnsi="仿宋_GB2312" w:eastAsia="仿宋_GB2312" w:cs="仿宋_GB2312"/>
          <w:spacing w:val="19"/>
          <w:sz w:val="28"/>
          <w:szCs w:val="28"/>
          <w:lang w:val="en-US" w:eastAsia="zh-CN"/>
        </w:rPr>
        <w:t>:</w:t>
      </w:r>
      <w:r>
        <w:rPr>
          <w:rFonts w:hint="eastAsia" w:ascii="仿宋_GB2312" w:hAnsi="仿宋_GB2312" w:eastAsia="仿宋_GB2312" w:cs="仿宋_GB2312"/>
          <w:spacing w:val="3"/>
          <w:sz w:val="28"/>
          <w:szCs w:val="28"/>
        </w:rPr>
        <w:t>按照北京市通州区民政局《关于加强通州区街</w:t>
      </w:r>
      <w:r>
        <w:rPr>
          <w:rFonts w:hint="eastAsia" w:ascii="仿宋_GB2312" w:hAnsi="仿宋_GB2312" w:eastAsia="仿宋_GB2312" w:cs="仿宋_GB2312"/>
          <w:spacing w:val="2"/>
          <w:sz w:val="28"/>
          <w:szCs w:val="28"/>
        </w:rPr>
        <w:t>道(乡镇)</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5"/>
          <w:sz w:val="28"/>
          <w:szCs w:val="28"/>
        </w:rPr>
        <w:t>社会救助经办服务能力建设的通知》(通民政文〔</w:t>
      </w:r>
      <w:r>
        <w:rPr>
          <w:rFonts w:hint="eastAsia" w:ascii="仿宋_GB2312" w:hAnsi="仿宋_GB2312" w:eastAsia="仿宋_GB2312" w:cs="仿宋_GB2312"/>
          <w:spacing w:val="4"/>
          <w:sz w:val="28"/>
          <w:szCs w:val="28"/>
        </w:rPr>
        <w:t>2021〕47</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4"/>
          <w:sz w:val="28"/>
          <w:szCs w:val="28"/>
        </w:rPr>
        <w:t>号)文件要求，项目资金全部由永乐店镇政府财政资金承担，</w:t>
      </w:r>
      <w:r>
        <w:rPr>
          <w:rFonts w:hint="eastAsia" w:ascii="仿宋_GB2312" w:hAnsi="仿宋_GB2312" w:eastAsia="仿宋_GB2312" w:cs="仿宋_GB2312"/>
          <w:spacing w:val="-7"/>
          <w:sz w:val="28"/>
          <w:szCs w:val="28"/>
        </w:rPr>
        <w:t>该项目批复预算256,543.00元，实际到位资金256,543.00</w:t>
      </w:r>
      <w:r>
        <w:rPr>
          <w:rFonts w:hint="eastAsia" w:ascii="仿宋_GB2312" w:hAnsi="仿宋_GB2312" w:eastAsia="仿宋_GB2312" w:cs="仿宋_GB2312"/>
          <w:spacing w:val="-8"/>
          <w:sz w:val="28"/>
          <w:szCs w:val="28"/>
        </w:rPr>
        <w:t>元；</w:t>
      </w:r>
      <w:r>
        <w:rPr>
          <w:rFonts w:hint="eastAsia" w:ascii="仿宋_GB2312" w:hAnsi="仿宋_GB2312" w:eastAsia="仿宋_GB2312" w:cs="仿宋_GB2312"/>
          <w:spacing w:val="14"/>
          <w:sz w:val="28"/>
          <w:szCs w:val="28"/>
        </w:rPr>
        <w:t>截至2022年12月31</w:t>
      </w:r>
      <w:r>
        <w:rPr>
          <w:rFonts w:hint="eastAsia" w:ascii="仿宋_GB2312" w:hAnsi="仿宋_GB2312" w:eastAsia="仿宋_GB2312" w:cs="仿宋_GB2312"/>
          <w:spacing w:val="-7"/>
          <w:sz w:val="28"/>
          <w:szCs w:val="28"/>
        </w:rPr>
        <w:t>日，实际支出资金256,543.00元，该项目预算已全部支付完毕，预算执行率为100%评价分析认为：该项目资金及时到位，按照项目进度以及合同要求支付资金。</w:t>
      </w:r>
      <w:r>
        <w:rPr>
          <w:rFonts w:hint="eastAsia" w:ascii="仿宋_GB2312" w:hAnsi="仿宋_GB2312" w:eastAsia="仿宋_GB2312" w:cs="仿宋_GB2312"/>
          <w:spacing w:val="19"/>
          <w:sz w:val="28"/>
          <w:szCs w:val="28"/>
        </w:rPr>
        <w:t>(3)资金管理情况</w:t>
      </w:r>
      <w:r>
        <w:rPr>
          <w:rFonts w:hint="eastAsia" w:ascii="仿宋_GB2312" w:hAnsi="仿宋_GB2312" w:eastAsia="仿宋_GB2312" w:cs="仿宋_GB2312"/>
          <w:spacing w:val="19"/>
          <w:sz w:val="28"/>
          <w:szCs w:val="28"/>
          <w:lang w:val="en-US" w:eastAsia="zh-CN"/>
        </w:rPr>
        <w:t>:</w:t>
      </w:r>
      <w:r>
        <w:rPr>
          <w:rFonts w:hint="eastAsia" w:ascii="仿宋_GB2312" w:hAnsi="仿宋_GB2312" w:eastAsia="仿宋_GB2312" w:cs="仿宋_GB2312"/>
          <w:spacing w:val="3"/>
          <w:sz w:val="28"/>
          <w:szCs w:val="28"/>
        </w:rPr>
        <w:t>根据北京市通州区民政局《关于加强通州区街</w:t>
      </w:r>
      <w:r>
        <w:rPr>
          <w:rFonts w:hint="eastAsia" w:ascii="仿宋_GB2312" w:hAnsi="仿宋_GB2312" w:eastAsia="仿宋_GB2312" w:cs="仿宋_GB2312"/>
          <w:spacing w:val="2"/>
          <w:sz w:val="28"/>
          <w:szCs w:val="28"/>
        </w:rPr>
        <w:t>道(乡镇)</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5"/>
          <w:sz w:val="28"/>
          <w:szCs w:val="28"/>
        </w:rPr>
        <w:t>社会救助经办服务能力建设的通知》(通民政文〔</w:t>
      </w:r>
      <w:r>
        <w:rPr>
          <w:rFonts w:hint="eastAsia" w:ascii="仿宋_GB2312" w:hAnsi="仿宋_GB2312" w:eastAsia="仿宋_GB2312" w:cs="仿宋_GB2312"/>
          <w:spacing w:val="4"/>
          <w:sz w:val="28"/>
          <w:szCs w:val="28"/>
        </w:rPr>
        <w:t>2021〕47</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4"/>
          <w:sz w:val="28"/>
          <w:szCs w:val="28"/>
        </w:rPr>
        <w:t>号)文件，项目资金全部由永乐店镇政府财政资金承担。项</w:t>
      </w:r>
      <w:r>
        <w:rPr>
          <w:rFonts w:hint="eastAsia" w:ascii="仿宋_GB2312" w:hAnsi="仿宋_GB2312" w:eastAsia="仿宋_GB2312" w:cs="仿宋_GB2312"/>
          <w:spacing w:val="-5"/>
          <w:sz w:val="28"/>
          <w:szCs w:val="28"/>
        </w:rPr>
        <w:t>目资金使用、管理按照《永乐店镇财务管理制度》执行。</w:t>
      </w:r>
      <w:r>
        <w:rPr>
          <w:rFonts w:hint="eastAsia" w:ascii="仿宋_GB2312" w:hAnsi="仿宋_GB2312" w:eastAsia="仿宋_GB2312" w:cs="仿宋_GB2312"/>
          <w:spacing w:val="-1"/>
          <w:sz w:val="28"/>
          <w:szCs w:val="28"/>
        </w:rPr>
        <w:t>评价分析认为：该项目虽制定了财务管理制度，为资金</w:t>
      </w:r>
      <w:r>
        <w:rPr>
          <w:rFonts w:hint="eastAsia" w:ascii="仿宋_GB2312" w:hAnsi="仿宋_GB2312" w:eastAsia="仿宋_GB2312" w:cs="仿宋_GB2312"/>
          <w:spacing w:val="-2"/>
          <w:sz w:val="28"/>
          <w:szCs w:val="28"/>
        </w:rPr>
        <w:t>使用管理提供一定的保障，但仍存在预算执行与年度任</w:t>
      </w:r>
      <w:r>
        <w:rPr>
          <w:rFonts w:hint="eastAsia" w:ascii="仿宋_GB2312" w:hAnsi="仿宋_GB2312" w:eastAsia="仿宋_GB2312" w:cs="仿宋_GB2312"/>
          <w:spacing w:val="-1"/>
          <w:sz w:val="28"/>
          <w:szCs w:val="28"/>
        </w:rPr>
        <w:t>务衔接不清晰及会计科目核算不准确，项目在商品</w:t>
      </w:r>
      <w:r>
        <w:rPr>
          <w:rFonts w:hint="eastAsia" w:ascii="仿宋_GB2312" w:hAnsi="仿宋_GB2312" w:eastAsia="仿宋_GB2312" w:cs="仿宋_GB2312"/>
          <w:spacing w:val="-2"/>
          <w:sz w:val="28"/>
          <w:szCs w:val="28"/>
        </w:rPr>
        <w:t>服务支出</w:t>
      </w:r>
      <w:r>
        <w:rPr>
          <w:rFonts w:hint="eastAsia" w:ascii="仿宋_GB2312" w:hAnsi="仿宋_GB2312" w:eastAsia="仿宋_GB2312" w:cs="仿宋_GB2312"/>
          <w:spacing w:val="-4"/>
          <w:sz w:val="28"/>
          <w:szCs w:val="28"/>
        </w:rPr>
        <w:t>类劳务费下列支，未在委托业务费中列支问题。</w:t>
      </w:r>
    </w:p>
    <w:p>
      <w:pPr>
        <w:pStyle w:val="4"/>
        <w:keepNext w:val="0"/>
        <w:keepLines w:val="0"/>
        <w:pageBreakBefore w:val="0"/>
        <w:widowControl w:val="0"/>
        <w:kinsoku/>
        <w:wordWrap/>
        <w:overflowPunct/>
        <w:topLinePunct w:val="0"/>
        <w:autoSpaceDE/>
        <w:autoSpaceDN/>
        <w:bidi w:val="0"/>
        <w:adjustRightInd/>
        <w:snapToGrid/>
        <w:spacing w:before="104" w:line="520" w:lineRule="exact"/>
        <w:ind w:firstLine="532" w:firstLineChars="200"/>
        <w:textAlignment w:val="auto"/>
        <w:rPr>
          <w:rFonts w:hint="eastAsia" w:ascii="仿宋_GB2312" w:hAnsi="仿宋_GB2312" w:eastAsia="仿宋_GB2312" w:cs="仿宋_GB2312"/>
          <w:sz w:val="28"/>
          <w:szCs w:val="28"/>
        </w:rPr>
      </w:pPr>
      <w:bookmarkStart w:id="10" w:name="bookmark16"/>
      <w:bookmarkEnd w:id="10"/>
      <w:bookmarkStart w:id="11" w:name="bookmark17"/>
      <w:bookmarkEnd w:id="11"/>
      <w:r>
        <w:rPr>
          <w:rFonts w:hint="eastAsia" w:ascii="仿宋_GB2312" w:hAnsi="仿宋_GB2312" w:eastAsia="仿宋_GB2312" w:cs="仿宋_GB2312"/>
          <w:spacing w:val="-7"/>
          <w:sz w:val="28"/>
          <w:szCs w:val="28"/>
        </w:rPr>
        <w:t>2.项目组织实施情况</w:t>
      </w:r>
    </w:p>
    <w:p>
      <w:pPr>
        <w:pStyle w:val="4"/>
        <w:keepNext w:val="0"/>
        <w:keepLines w:val="0"/>
        <w:pageBreakBefore w:val="0"/>
        <w:widowControl w:val="0"/>
        <w:kinsoku/>
        <w:wordWrap/>
        <w:overflowPunct/>
        <w:topLinePunct w:val="0"/>
        <w:autoSpaceDE/>
        <w:autoSpaceDN/>
        <w:bidi w:val="0"/>
        <w:adjustRightInd/>
        <w:snapToGrid/>
        <w:spacing w:before="165" w:line="520" w:lineRule="exact"/>
        <w:ind w:firstLine="62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(1)组织机构建设情况</w:t>
      </w:r>
    </w:p>
    <w:p>
      <w:pPr>
        <w:pStyle w:val="4"/>
        <w:keepNext w:val="0"/>
        <w:keepLines w:val="0"/>
        <w:pageBreakBefore w:val="0"/>
        <w:widowControl w:val="0"/>
        <w:kinsoku/>
        <w:wordWrap/>
        <w:overflowPunct/>
        <w:topLinePunct w:val="0"/>
        <w:autoSpaceDE/>
        <w:autoSpaceDN/>
        <w:bidi w:val="0"/>
        <w:adjustRightInd/>
        <w:snapToGrid/>
        <w:spacing w:before="161" w:line="520" w:lineRule="exact"/>
        <w:ind w:right="74" w:firstLine="629"/>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为了保障该项目的顺利实施，永乐店镇政府成立了精准</w:t>
      </w:r>
      <w:r>
        <w:rPr>
          <w:rFonts w:hint="eastAsia" w:ascii="仿宋_GB2312" w:hAnsi="仿宋_GB2312" w:eastAsia="仿宋_GB2312" w:cs="仿宋_GB2312"/>
          <w:spacing w:val="-1"/>
          <w:sz w:val="28"/>
          <w:szCs w:val="28"/>
        </w:rPr>
        <w:t>帮扶工作领导小组，组织开展帮扶救助工作。</w:t>
      </w:r>
      <w:r>
        <w:rPr>
          <w:rFonts w:hint="eastAsia" w:ascii="仿宋_GB2312" w:hAnsi="仿宋_GB2312" w:eastAsia="仿宋_GB2312" w:cs="仿宋_GB2312"/>
          <w:spacing w:val="-2"/>
          <w:sz w:val="28"/>
          <w:szCs w:val="28"/>
        </w:rPr>
        <w:t>其中永乐店镇</w:t>
      </w:r>
      <w:r>
        <w:rPr>
          <w:rFonts w:hint="eastAsia" w:ascii="仿宋_GB2312" w:hAnsi="仿宋_GB2312" w:eastAsia="仿宋_GB2312" w:cs="仿宋_GB2312"/>
          <w:spacing w:val="-1"/>
          <w:sz w:val="28"/>
          <w:szCs w:val="28"/>
        </w:rPr>
        <w:t>政府采取政府购</w:t>
      </w:r>
      <w:r>
        <w:rPr>
          <w:rFonts w:hint="eastAsia" w:ascii="仿宋_GB2312" w:hAnsi="仿宋_GB2312" w:eastAsia="仿宋_GB2312" w:cs="仿宋_GB2312"/>
          <w:spacing w:val="-2"/>
          <w:sz w:val="28"/>
          <w:szCs w:val="28"/>
        </w:rPr>
        <w:t>买服务的方式，由永乐店镇社区建设和民生保障办公室牵头，通过“三方比价”,引入第三方机构开展实 施2022年永乐店镇困难群众精准帮扶项目工作，并依托困难群众服务所制定相关规章制度、检查督导，密切关注项目实施情况，根据情况变化指导项目具体工作开展，向第三方传达市、区民政局及相关部门工作指示意见，做好三方公司与困难群众、民政局等的协调工作；永乐店镇政府财政负责依法依规做好资金保障工作。评价分析认为：该项目虽采用政府购买服务的方式引入第三方机构协助开展困难群众帮扶救助工作，但仅以第三方的实施方案代替项目的实施方案不合理，存在未编制项目实施方案，项目组织架构及职责分工不清晰及缺少对服务机构 编制实施方案的指导和验收具体措施，实施过程跟踪督导措施不到位等问题。</w:t>
      </w:r>
    </w:p>
    <w:p>
      <w:pPr>
        <w:pStyle w:val="4"/>
        <w:keepNext w:val="0"/>
        <w:keepLines w:val="0"/>
        <w:pageBreakBefore w:val="0"/>
        <w:widowControl w:val="0"/>
        <w:kinsoku/>
        <w:wordWrap/>
        <w:overflowPunct/>
        <w:topLinePunct w:val="0"/>
        <w:autoSpaceDE/>
        <w:autoSpaceDN/>
        <w:bidi w:val="0"/>
        <w:adjustRightInd/>
        <w:snapToGrid/>
        <w:spacing w:before="161" w:line="520" w:lineRule="exact"/>
        <w:ind w:right="74" w:firstLine="629"/>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(2)管理制度情况</w:t>
      </w:r>
    </w:p>
    <w:p>
      <w:pPr>
        <w:pStyle w:val="4"/>
        <w:keepNext w:val="0"/>
        <w:keepLines w:val="0"/>
        <w:pageBreakBefore w:val="0"/>
        <w:widowControl w:val="0"/>
        <w:kinsoku/>
        <w:wordWrap/>
        <w:overflowPunct/>
        <w:topLinePunct w:val="0"/>
        <w:autoSpaceDE/>
        <w:autoSpaceDN/>
        <w:bidi w:val="0"/>
        <w:adjustRightInd/>
        <w:snapToGrid/>
        <w:spacing w:before="104" w:line="520" w:lineRule="exact"/>
        <w:ind w:right="195"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为保证该项目的有效实施，根据北京市2022年困难群众救助政策，永乐店镇民政科以镇困难群众服务所为依托，制定了《永乐店镇困难群众救助服务所章程》《困难群众救助服务所工作职责》《困难群众救助服务所工作纪律》等相</w:t>
      </w:r>
      <w:r>
        <w:rPr>
          <w:rFonts w:hint="eastAsia" w:ascii="仿宋_GB2312" w:hAnsi="仿宋_GB2312" w:eastAsia="仿宋_GB2312" w:cs="仿宋_GB2312"/>
          <w:spacing w:val="-16"/>
          <w:sz w:val="28"/>
          <w:szCs w:val="28"/>
        </w:rPr>
        <w:t>关规章制度。</w:t>
      </w:r>
      <w:r>
        <w:rPr>
          <w:rFonts w:hint="eastAsia" w:ascii="仿宋_GB2312" w:hAnsi="仿宋_GB2312" w:eastAsia="仿宋_GB2312" w:cs="仿宋_GB2312"/>
          <w:spacing w:val="-1"/>
          <w:sz w:val="28"/>
          <w:szCs w:val="28"/>
        </w:rPr>
        <w:t>评价分析认为：该项目虽制定了相关的规章制度，但政府购买服务管理考核办法不充分，监管机制不健全，缺乏项</w:t>
      </w:r>
      <w:r>
        <w:rPr>
          <w:rFonts w:hint="eastAsia" w:ascii="仿宋_GB2312" w:hAnsi="仿宋_GB2312" w:eastAsia="仿宋_GB2312" w:cs="仿宋_GB2312"/>
          <w:spacing w:val="-15"/>
          <w:sz w:val="28"/>
          <w:szCs w:val="28"/>
        </w:rPr>
        <w:t>目管理等制度。</w:t>
      </w:r>
    </w:p>
    <w:p>
      <w:pPr>
        <w:pStyle w:val="4"/>
        <w:keepNext w:val="0"/>
        <w:keepLines w:val="0"/>
        <w:pageBreakBefore w:val="0"/>
        <w:widowControl w:val="0"/>
        <w:kinsoku/>
        <w:wordWrap/>
        <w:overflowPunct/>
        <w:topLinePunct w:val="0"/>
        <w:autoSpaceDE/>
        <w:autoSpaceDN/>
        <w:bidi w:val="0"/>
        <w:adjustRightInd/>
        <w:snapToGrid/>
        <w:spacing w:before="104" w:line="520" w:lineRule="exact"/>
        <w:ind w:right="195" w:firstLine="552" w:firstLineChars="200"/>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(3)制度执行情况</w:t>
      </w:r>
    </w:p>
    <w:p>
      <w:pPr>
        <w:pStyle w:val="4"/>
        <w:keepNext w:val="0"/>
        <w:keepLines w:val="0"/>
        <w:pageBreakBefore w:val="0"/>
        <w:widowControl w:val="0"/>
        <w:kinsoku/>
        <w:wordWrap/>
        <w:overflowPunct/>
        <w:topLinePunct w:val="0"/>
        <w:autoSpaceDE/>
        <w:autoSpaceDN/>
        <w:bidi w:val="0"/>
        <w:adjustRightInd/>
        <w:snapToGrid/>
        <w:spacing w:before="104" w:line="520" w:lineRule="exact"/>
        <w:ind w:right="195" w:firstLine="552" w:firstLineChars="200"/>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根据《永乐店镇困难群众救助服务所章程》《困难群众救助服务所工作职责》《困难群众救助服务所工作纪律》等相关规章制度，永乐店镇政府以镇困难群众服务所为依托， 密切关注项目实施情况，及时根据情况变化指导项目具体工作开展。在项目日常工作与管理，永乐店镇民政科指定专人对接困难群众服务所和精准帮扶项目，并要求项目方依托永乐店镇困难群众服务所，由专人全职在困难群众服务所工作，确保工作实效。项目方在接受通州区民政局三方机构督导的同时，也时刻接受永乐店镇民政科的监督。评价分析认为：永乐店镇虽建立了相关的规章制度，对项目日常管理提供了制度保障，但项目管理制度执行有效性不足，存在政府采购合同签署日期超要求期限、中标通知书落款为科室、项目执行过程和监管资料提交不完整、合同签订时间倒置等问题。</w:t>
      </w:r>
    </w:p>
    <w:p>
      <w:pPr>
        <w:keepNext w:val="0"/>
        <w:keepLines w:val="0"/>
        <w:pageBreakBefore w:val="0"/>
        <w:widowControl w:val="0"/>
        <w:kinsoku/>
        <w:wordWrap/>
        <w:overflowPunct/>
        <w:topLinePunct w:val="0"/>
        <w:autoSpaceDE/>
        <w:autoSpaceDN/>
        <w:bidi w:val="0"/>
        <w:adjustRightInd/>
        <w:snapToGrid/>
        <w:spacing w:before="185" w:line="520" w:lineRule="exact"/>
        <w:ind w:left="814"/>
        <w:textAlignment w:val="auto"/>
        <w:rPr>
          <w:rFonts w:hint="eastAsia" w:ascii="仿宋_GB2312" w:hAnsi="仿宋_GB2312" w:eastAsia="仿宋_GB2312" w:cs="仿宋_GB2312"/>
          <w:spacing w:val="-2"/>
          <w:kern w:val="2"/>
          <w:sz w:val="28"/>
          <w:szCs w:val="28"/>
          <w:lang w:val="en-US" w:eastAsia="en-US" w:bidi="ar-SA"/>
        </w:rPr>
      </w:pPr>
      <w:r>
        <w:rPr>
          <w:rFonts w:hint="eastAsia" w:ascii="仿宋_GB2312" w:hAnsi="仿宋_GB2312" w:eastAsia="仿宋_GB2312" w:cs="仿宋_GB2312"/>
          <w:spacing w:val="-2"/>
          <w:kern w:val="2"/>
          <w:sz w:val="28"/>
          <w:szCs w:val="28"/>
          <w:lang w:val="en-US" w:eastAsia="en-US" w:bidi="ar-SA"/>
        </w:rPr>
        <w:t>(三)项目产出情况</w:t>
      </w:r>
    </w:p>
    <w:p>
      <w:pPr>
        <w:pStyle w:val="4"/>
        <w:keepNext w:val="0"/>
        <w:keepLines w:val="0"/>
        <w:pageBreakBefore w:val="0"/>
        <w:kinsoku/>
        <w:wordWrap/>
        <w:overflowPunct/>
        <w:topLinePunct w:val="0"/>
        <w:autoSpaceDE/>
        <w:autoSpaceDN/>
        <w:bidi w:val="0"/>
        <w:adjustRightInd/>
        <w:snapToGrid/>
        <w:spacing w:before="194" w:line="520" w:lineRule="exact"/>
        <w:ind w:left="620"/>
        <w:rPr>
          <w:rFonts w:hint="eastAsia" w:ascii="仿宋_GB2312" w:hAnsi="仿宋_GB2312" w:eastAsia="仿宋_GB2312" w:cs="仿宋_GB2312"/>
          <w:spacing w:val="-2"/>
          <w:kern w:val="2"/>
          <w:sz w:val="28"/>
          <w:szCs w:val="28"/>
          <w:lang w:val="en-US" w:eastAsia="en-US" w:bidi="ar-SA"/>
        </w:rPr>
      </w:pPr>
      <w:r>
        <w:rPr>
          <w:rFonts w:hint="eastAsia" w:ascii="仿宋_GB2312" w:hAnsi="仿宋_GB2312" w:eastAsia="仿宋_GB2312" w:cs="仿宋_GB2312"/>
          <w:spacing w:val="-2"/>
          <w:kern w:val="2"/>
          <w:sz w:val="28"/>
          <w:szCs w:val="28"/>
          <w:lang w:val="en-US" w:eastAsia="en-US" w:bidi="ar-SA"/>
        </w:rPr>
        <w:t>1.项目产出数量情况</w:t>
      </w:r>
    </w:p>
    <w:p>
      <w:pPr>
        <w:pStyle w:val="4"/>
        <w:keepNext w:val="0"/>
        <w:keepLines w:val="0"/>
        <w:pageBreakBefore w:val="0"/>
        <w:kinsoku/>
        <w:wordWrap/>
        <w:overflowPunct/>
        <w:topLinePunct w:val="0"/>
        <w:autoSpaceDE/>
        <w:autoSpaceDN/>
        <w:bidi w:val="0"/>
        <w:adjustRightInd/>
        <w:snapToGrid/>
        <w:spacing w:before="151" w:line="520" w:lineRule="exact"/>
        <w:ind w:right="170" w:firstLine="620"/>
        <w:rPr>
          <w:rFonts w:hint="eastAsia" w:ascii="仿宋_GB2312" w:hAnsi="仿宋_GB2312" w:eastAsia="仿宋_GB2312" w:cs="仿宋_GB2312"/>
          <w:spacing w:val="-2"/>
          <w:kern w:val="2"/>
          <w:sz w:val="28"/>
          <w:szCs w:val="28"/>
          <w:lang w:val="en-US" w:eastAsia="en-US" w:bidi="ar-SA"/>
        </w:rPr>
      </w:pPr>
      <w:r>
        <w:rPr>
          <w:rFonts w:hint="eastAsia" w:ascii="仿宋_GB2312" w:hAnsi="仿宋_GB2312" w:eastAsia="仿宋_GB2312" w:cs="仿宋_GB2312"/>
          <w:spacing w:val="-2"/>
          <w:kern w:val="2"/>
          <w:sz w:val="28"/>
          <w:szCs w:val="28"/>
          <w:lang w:val="en-US" w:eastAsia="en-US" w:bidi="ar-SA"/>
        </w:rPr>
        <w:t>2022年永乐店镇对区域困难群众、低保低收入对象等开展走访、核查工作，共计开展困难群众个案帮扶20户；社区居民活动8场；困难群众小组活动4节；低保、低收入、特困分散人员回访277户；在册困难群众建立台账，系统录入277户。截至2022年12月底，项目已全部完成。评价分析认为：该项目已完成了数量指标，但项目工作总结和项目绩效报告对合同约定的部分任务完成情况未进行阐述。</w:t>
      </w:r>
    </w:p>
    <w:p>
      <w:pPr>
        <w:pStyle w:val="4"/>
        <w:keepNext w:val="0"/>
        <w:keepLines w:val="0"/>
        <w:pageBreakBefore w:val="0"/>
        <w:kinsoku/>
        <w:wordWrap/>
        <w:overflowPunct/>
        <w:topLinePunct w:val="0"/>
        <w:autoSpaceDE/>
        <w:autoSpaceDN/>
        <w:bidi w:val="0"/>
        <w:adjustRightInd/>
        <w:snapToGrid/>
        <w:spacing w:before="188" w:line="520" w:lineRule="exact"/>
        <w:ind w:left="639"/>
        <w:rPr>
          <w:rFonts w:hint="eastAsia" w:ascii="仿宋_GB2312" w:hAnsi="仿宋_GB2312" w:eastAsia="仿宋_GB2312" w:cs="仿宋_GB2312"/>
          <w:sz w:val="28"/>
          <w:szCs w:val="28"/>
        </w:rPr>
      </w:pPr>
      <w:r>
        <w:rPr>
          <w:rFonts w:hint="eastAsia" w:ascii="仿宋_GB2312" w:hAnsi="仿宋_GB2312" w:eastAsia="仿宋_GB2312" w:cs="仿宋_GB2312"/>
          <w:spacing w:val="-14"/>
          <w:sz w:val="28"/>
          <w:szCs w:val="28"/>
        </w:rPr>
        <w:t>2.项目产出质量情况</w:t>
      </w:r>
    </w:p>
    <w:p>
      <w:pPr>
        <w:pStyle w:val="4"/>
        <w:keepNext w:val="0"/>
        <w:keepLines w:val="0"/>
        <w:pageBreakBefore w:val="0"/>
        <w:kinsoku/>
        <w:wordWrap/>
        <w:overflowPunct/>
        <w:topLinePunct w:val="0"/>
        <w:autoSpaceDE/>
        <w:autoSpaceDN/>
        <w:bidi w:val="0"/>
        <w:adjustRightInd/>
        <w:snapToGrid/>
        <w:spacing w:before="162" w:line="520" w:lineRule="exact"/>
        <w:ind w:right="67" w:firstLine="639"/>
        <w:rPr>
          <w:rFonts w:hint="eastAsia" w:ascii="仿宋_GB2312" w:hAnsi="仿宋_GB2312" w:eastAsia="仿宋_GB2312" w:cs="仿宋_GB2312"/>
          <w:spacing w:val="15"/>
          <w:sz w:val="28"/>
          <w:szCs w:val="28"/>
        </w:rPr>
      </w:pPr>
      <w:r>
        <w:rPr>
          <w:rFonts w:hint="eastAsia" w:ascii="仿宋_GB2312" w:hAnsi="仿宋_GB2312" w:eastAsia="仿宋_GB2312" w:cs="仿宋_GB2312"/>
          <w:spacing w:val="15"/>
          <w:sz w:val="28"/>
          <w:szCs w:val="28"/>
        </w:rPr>
        <w:t>截至2022年12月31日，该项目开展困难群众个案帮</w:t>
      </w:r>
      <w:r>
        <w:rPr>
          <w:rFonts w:hint="eastAsia" w:ascii="仿宋_GB2312" w:hAnsi="仿宋_GB2312" w:eastAsia="仿宋_GB2312" w:cs="仿宋_GB2312"/>
          <w:spacing w:val="9"/>
          <w:sz w:val="28"/>
          <w:szCs w:val="28"/>
        </w:rPr>
        <w:t>扶</w:t>
      </w:r>
      <w:r>
        <w:rPr>
          <w:rFonts w:hint="eastAsia" w:ascii="仿宋_GB2312" w:hAnsi="仿宋_GB2312" w:eastAsia="仿宋_GB2312" w:cs="仿宋_GB2312"/>
          <w:spacing w:val="15"/>
          <w:sz w:val="28"/>
          <w:szCs w:val="28"/>
        </w:rPr>
        <w:t>20户建档成册，完成率≥90%;开展社区居民8场活动计划书、活动记录完整，完成率≥90%;开展困难群众小组活动4节，完成率≥90%;开展低保、低收入、分散特困人员回访完成率≥90%;在册低保、低收入、特困分散人员建立台账，系统录入率≥90%,指标均已完成。评价分析认为：该项目虽按照计划完成了产出计划要求，但服务质量监督的措施不明确，缺少对第三方服务机构合同履行工作内容完成及完成质量验收的相关资料。</w:t>
      </w:r>
    </w:p>
    <w:p>
      <w:pPr>
        <w:pStyle w:val="4"/>
        <w:keepNext w:val="0"/>
        <w:keepLines w:val="0"/>
        <w:pageBreakBefore w:val="0"/>
        <w:kinsoku/>
        <w:wordWrap/>
        <w:overflowPunct/>
        <w:topLinePunct w:val="0"/>
        <w:autoSpaceDE/>
        <w:autoSpaceDN/>
        <w:bidi w:val="0"/>
        <w:adjustRightInd/>
        <w:snapToGrid/>
        <w:spacing w:before="162" w:line="520" w:lineRule="exact"/>
        <w:ind w:right="67" w:firstLine="639"/>
        <w:rPr>
          <w:rFonts w:hint="eastAsia" w:ascii="仿宋_GB2312" w:hAnsi="仿宋_GB2312" w:eastAsia="仿宋_GB2312" w:cs="仿宋_GB2312"/>
          <w:spacing w:val="15"/>
          <w:sz w:val="28"/>
          <w:szCs w:val="28"/>
        </w:rPr>
      </w:pPr>
      <w:r>
        <w:rPr>
          <w:rFonts w:hint="eastAsia" w:ascii="仿宋_GB2312" w:hAnsi="仿宋_GB2312" w:eastAsia="仿宋_GB2312" w:cs="仿宋_GB2312"/>
          <w:spacing w:val="15"/>
          <w:sz w:val="28"/>
          <w:szCs w:val="28"/>
        </w:rPr>
        <w:t>3.产出时效情况分析</w:t>
      </w:r>
    </w:p>
    <w:p>
      <w:pPr>
        <w:pStyle w:val="4"/>
        <w:keepNext w:val="0"/>
        <w:keepLines w:val="0"/>
        <w:pageBreakBefore w:val="0"/>
        <w:kinsoku/>
        <w:wordWrap/>
        <w:overflowPunct/>
        <w:topLinePunct w:val="0"/>
        <w:autoSpaceDE/>
        <w:autoSpaceDN/>
        <w:bidi w:val="0"/>
        <w:adjustRightInd/>
        <w:snapToGrid/>
        <w:spacing w:before="162" w:line="520" w:lineRule="exact"/>
        <w:ind w:right="67" w:firstLine="639"/>
        <w:rPr>
          <w:rFonts w:hint="eastAsia" w:ascii="仿宋_GB2312" w:hAnsi="仿宋_GB2312" w:eastAsia="仿宋_GB2312" w:cs="仿宋_GB2312"/>
          <w:spacing w:val="15"/>
          <w:sz w:val="28"/>
          <w:szCs w:val="28"/>
        </w:rPr>
      </w:pPr>
      <w:r>
        <w:rPr>
          <w:rFonts w:hint="eastAsia" w:ascii="仿宋_GB2312" w:hAnsi="仿宋_GB2312" w:eastAsia="仿宋_GB2312" w:cs="仿宋_GB2312"/>
          <w:spacing w:val="15"/>
          <w:sz w:val="28"/>
          <w:szCs w:val="28"/>
        </w:rPr>
        <w:t>截至2022年12月31日，项目内容均已按计划全部完成，准确率100%。评价分析认为：该项目内容虽全部完成，但项目的产出时效指标设置较为宽泛，影响对项目的完成及时性评价。</w:t>
      </w:r>
    </w:p>
    <w:p>
      <w:pPr>
        <w:pStyle w:val="4"/>
        <w:keepNext w:val="0"/>
        <w:keepLines w:val="0"/>
        <w:pageBreakBefore w:val="0"/>
        <w:widowControl w:val="0"/>
        <w:kinsoku/>
        <w:wordWrap/>
        <w:overflowPunct/>
        <w:topLinePunct w:val="0"/>
        <w:autoSpaceDE/>
        <w:autoSpaceDN/>
        <w:bidi w:val="0"/>
        <w:adjustRightInd/>
        <w:snapToGrid/>
        <w:spacing w:before="162" w:line="520" w:lineRule="exact"/>
        <w:ind w:right="67" w:firstLine="639"/>
        <w:textAlignment w:val="auto"/>
        <w:rPr>
          <w:rFonts w:hint="eastAsia" w:ascii="仿宋_GB2312" w:hAnsi="仿宋_GB2312" w:eastAsia="仿宋_GB2312" w:cs="仿宋_GB2312"/>
          <w:spacing w:val="15"/>
          <w:sz w:val="28"/>
          <w:szCs w:val="28"/>
        </w:rPr>
      </w:pPr>
      <w:r>
        <w:rPr>
          <w:rFonts w:hint="eastAsia" w:ascii="仿宋_GB2312" w:hAnsi="仿宋_GB2312" w:eastAsia="仿宋_GB2312" w:cs="仿宋_GB2312"/>
          <w:spacing w:val="15"/>
          <w:sz w:val="28"/>
          <w:szCs w:val="28"/>
        </w:rPr>
        <w:t>4.产出成本情况分析</w:t>
      </w:r>
    </w:p>
    <w:p>
      <w:pPr>
        <w:pStyle w:val="4"/>
        <w:keepNext w:val="0"/>
        <w:keepLines w:val="0"/>
        <w:pageBreakBefore w:val="0"/>
        <w:widowControl w:val="0"/>
        <w:kinsoku/>
        <w:wordWrap/>
        <w:overflowPunct/>
        <w:topLinePunct w:val="0"/>
        <w:autoSpaceDE/>
        <w:autoSpaceDN/>
        <w:bidi w:val="0"/>
        <w:adjustRightInd/>
        <w:snapToGrid/>
        <w:spacing w:before="162" w:line="520" w:lineRule="exact"/>
        <w:ind w:right="67" w:firstLine="639"/>
        <w:textAlignment w:val="auto"/>
        <w:rPr>
          <w:rFonts w:hint="eastAsia" w:ascii="仿宋_GB2312" w:hAnsi="仿宋_GB2312" w:eastAsia="仿宋_GB2312" w:cs="仿宋_GB2312"/>
          <w:spacing w:val="15"/>
          <w:sz w:val="28"/>
          <w:szCs w:val="28"/>
        </w:rPr>
      </w:pPr>
      <w:r>
        <w:rPr>
          <w:rFonts w:hint="eastAsia" w:ascii="仿宋_GB2312" w:hAnsi="仿宋_GB2312" w:eastAsia="仿宋_GB2312" w:cs="仿宋_GB2312"/>
          <w:spacing w:val="15"/>
          <w:sz w:val="28"/>
          <w:szCs w:val="28"/>
        </w:rPr>
        <w:t>项目预算为256,543.00元，到位金额为256,543.00元，项目实际支出金额为256,543.00元，未超过预算成本。评价分析认为：该项目根据合同约定支付相关费用，未超出预算控制数，但该项目缺少相关成本控制措施，成本控制情况不清晰。</w:t>
      </w:r>
    </w:p>
    <w:p>
      <w:pPr>
        <w:keepNext w:val="0"/>
        <w:keepLines w:val="0"/>
        <w:pageBreakBefore w:val="0"/>
        <w:widowControl w:val="0"/>
        <w:kinsoku/>
        <w:wordWrap/>
        <w:overflowPunct/>
        <w:topLinePunct w:val="0"/>
        <w:autoSpaceDE/>
        <w:autoSpaceDN/>
        <w:bidi w:val="0"/>
        <w:adjustRightInd/>
        <w:snapToGrid/>
        <w:spacing w:before="168" w:line="520" w:lineRule="exact"/>
        <w:ind w:left="794"/>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4"/>
          <w:sz w:val="28"/>
          <w:szCs w:val="28"/>
        </w:rPr>
        <w:t>(四)项目效益情况</w:t>
      </w:r>
    </w:p>
    <w:p>
      <w:pPr>
        <w:pStyle w:val="4"/>
        <w:keepNext w:val="0"/>
        <w:keepLines w:val="0"/>
        <w:pageBreakBefore w:val="0"/>
        <w:widowControl w:val="0"/>
        <w:kinsoku/>
        <w:wordWrap/>
        <w:overflowPunct/>
        <w:topLinePunct w:val="0"/>
        <w:autoSpaceDE/>
        <w:autoSpaceDN/>
        <w:bidi w:val="0"/>
        <w:adjustRightInd/>
        <w:snapToGrid/>
        <w:spacing w:before="181" w:line="520" w:lineRule="exact"/>
        <w:ind w:left="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1.项目实施对社会效益的影响</w:t>
      </w:r>
    </w:p>
    <w:p>
      <w:pPr>
        <w:pStyle w:val="4"/>
        <w:keepNext w:val="0"/>
        <w:keepLines w:val="0"/>
        <w:pageBreakBefore w:val="0"/>
        <w:widowControl w:val="0"/>
        <w:kinsoku/>
        <w:wordWrap/>
        <w:overflowPunct/>
        <w:topLinePunct w:val="0"/>
        <w:autoSpaceDE/>
        <w:autoSpaceDN/>
        <w:bidi w:val="0"/>
        <w:adjustRightInd/>
        <w:snapToGrid/>
        <w:spacing w:before="164" w:line="520" w:lineRule="exact"/>
        <w:ind w:right="204"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该项目的实施，为完善社会救助政策提供依据，助力困难群众度过当下困境，提升获得感、幸福感，提升社会救助</w:t>
      </w:r>
      <w:r>
        <w:rPr>
          <w:rFonts w:hint="eastAsia" w:ascii="仿宋_GB2312" w:hAnsi="仿宋_GB2312" w:eastAsia="仿宋_GB2312" w:cs="仿宋_GB2312"/>
          <w:spacing w:val="-4"/>
          <w:sz w:val="28"/>
          <w:szCs w:val="28"/>
        </w:rPr>
        <w:t>满意率和政策知晓率产生了积极影响。</w:t>
      </w:r>
      <w:r>
        <w:rPr>
          <w:rFonts w:hint="eastAsia" w:ascii="仿宋_GB2312" w:hAnsi="仿宋_GB2312" w:eastAsia="仿宋_GB2312" w:cs="仿宋_GB2312"/>
          <w:spacing w:val="-1"/>
          <w:sz w:val="28"/>
          <w:szCs w:val="28"/>
        </w:rPr>
        <w:t>评价分析认为：该项目的绩效呈现不充分，对项目实施</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1"/>
          <w:sz w:val="28"/>
          <w:szCs w:val="28"/>
        </w:rPr>
        <w:t>社会影响、政策知晓度、精准帮扶成效阐述不足；对项目</w:t>
      </w:r>
      <w:r>
        <w:rPr>
          <w:rFonts w:hint="eastAsia" w:ascii="仿宋_GB2312" w:hAnsi="仿宋_GB2312" w:eastAsia="仿宋_GB2312" w:cs="仿宋_GB2312"/>
          <w:spacing w:val="-2"/>
          <w:sz w:val="28"/>
          <w:szCs w:val="28"/>
        </w:rPr>
        <w:t>实际成效缺少总结分析，基本依赖第三方提</w:t>
      </w:r>
      <w:r>
        <w:rPr>
          <w:rFonts w:hint="eastAsia" w:ascii="仿宋_GB2312" w:hAnsi="仿宋_GB2312" w:eastAsia="仿宋_GB2312" w:cs="仿宋_GB2312"/>
          <w:spacing w:val="-3"/>
          <w:sz w:val="28"/>
          <w:szCs w:val="28"/>
        </w:rPr>
        <w:t>供的年度总结反</w:t>
      </w:r>
      <w:r>
        <w:rPr>
          <w:rFonts w:hint="eastAsia" w:ascii="仿宋_GB2312" w:hAnsi="仿宋_GB2312" w:eastAsia="仿宋_GB2312" w:cs="仿宋_GB2312"/>
          <w:spacing w:val="-11"/>
          <w:sz w:val="28"/>
          <w:szCs w:val="28"/>
        </w:rPr>
        <w:t>映项目成效。</w:t>
      </w:r>
    </w:p>
    <w:p>
      <w:pPr>
        <w:pStyle w:val="4"/>
        <w:keepNext w:val="0"/>
        <w:keepLines w:val="0"/>
        <w:pageBreakBefore w:val="0"/>
        <w:widowControl w:val="0"/>
        <w:kinsoku/>
        <w:wordWrap/>
        <w:overflowPunct/>
        <w:topLinePunct w:val="0"/>
        <w:autoSpaceDE/>
        <w:autoSpaceDN/>
        <w:bidi w:val="0"/>
        <w:adjustRightInd/>
        <w:snapToGrid/>
        <w:spacing w:before="164" w:line="520" w:lineRule="exact"/>
        <w:ind w:right="204" w:firstLine="640"/>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2.项目实施对可持续性的影响</w:t>
      </w:r>
    </w:p>
    <w:p>
      <w:pPr>
        <w:pStyle w:val="4"/>
        <w:keepNext w:val="0"/>
        <w:keepLines w:val="0"/>
        <w:pageBreakBefore w:val="0"/>
        <w:widowControl w:val="0"/>
        <w:kinsoku/>
        <w:wordWrap/>
        <w:overflowPunct/>
        <w:topLinePunct w:val="0"/>
        <w:autoSpaceDE/>
        <w:autoSpaceDN/>
        <w:bidi w:val="0"/>
        <w:adjustRightInd/>
        <w:snapToGrid/>
        <w:spacing w:before="164" w:line="520" w:lineRule="exact"/>
        <w:ind w:right="204" w:firstLine="640"/>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通过精准帮扶项目的实施，为困难群众和政府之间搭建沟通桥梁，发挥民政兜底保障的可持续影响。评价分析认为：该项目的可持续影响呈现不充分，对可持续影响的总结不足，且缺少相关支撑资料。</w:t>
      </w:r>
    </w:p>
    <w:p>
      <w:pPr>
        <w:pStyle w:val="4"/>
        <w:keepNext w:val="0"/>
        <w:keepLines w:val="0"/>
        <w:pageBreakBefore w:val="0"/>
        <w:widowControl w:val="0"/>
        <w:kinsoku/>
        <w:wordWrap/>
        <w:overflowPunct/>
        <w:topLinePunct w:val="0"/>
        <w:autoSpaceDE/>
        <w:autoSpaceDN/>
        <w:bidi w:val="0"/>
        <w:adjustRightInd/>
        <w:snapToGrid/>
        <w:spacing w:before="164" w:line="520" w:lineRule="exact"/>
        <w:ind w:right="204" w:firstLine="640"/>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3.服务对象满意度</w:t>
      </w:r>
    </w:p>
    <w:p>
      <w:pPr>
        <w:pStyle w:val="4"/>
        <w:keepNext w:val="0"/>
        <w:keepLines w:val="0"/>
        <w:pageBreakBefore w:val="0"/>
        <w:widowControl w:val="0"/>
        <w:kinsoku/>
        <w:wordWrap/>
        <w:overflowPunct/>
        <w:topLinePunct w:val="0"/>
        <w:autoSpaceDE/>
        <w:autoSpaceDN/>
        <w:bidi w:val="0"/>
        <w:adjustRightInd/>
        <w:snapToGrid/>
        <w:spacing w:before="164" w:line="520" w:lineRule="exact"/>
        <w:ind w:right="204" w:firstLine="640"/>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为了深入了解困难群众对精准帮扶服务项目实施内容的满意度，永乐店镇政府通过政策宣传、上门调查等形式，对困难群众开展了满意度调查。评价分析认为：该项目开展了满意度调查，但问卷内容不充分，调查范围不全面，缺少满意度调查分析，未见指标中“社救对象建表登记、社救对象服务类服务”两项工作的满意度调查资料。</w:t>
      </w:r>
    </w:p>
    <w:p>
      <w:pPr>
        <w:pStyle w:val="4"/>
        <w:keepNext w:val="0"/>
        <w:keepLines w:val="0"/>
        <w:pageBreakBefore w:val="0"/>
        <w:kinsoku/>
        <w:wordWrap/>
        <w:overflowPunct/>
        <w:topLinePunct w:val="0"/>
        <w:autoSpaceDE/>
        <w:autoSpaceDN/>
        <w:bidi w:val="0"/>
        <w:adjustRightInd/>
        <w:snapToGrid/>
        <w:spacing w:before="164" w:line="520" w:lineRule="exact"/>
        <w:ind w:right="204"/>
        <w:rPr>
          <w:rFonts w:hint="eastAsia" w:ascii="仿宋_GB2312" w:hAnsi="仿宋_GB2312" w:eastAsia="仿宋_GB2312" w:cs="仿宋_GB2312"/>
          <w:spacing w:val="-4"/>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46" w:firstLineChars="200"/>
        <w:textAlignment w:val="auto"/>
        <w:rPr>
          <w:rFonts w:hint="eastAsia" w:ascii="仿宋_GB2312" w:hAnsi="仿宋_GB2312" w:eastAsia="仿宋_GB2312" w:cs="仿宋_GB2312"/>
          <w:b/>
          <w:bCs/>
          <w:spacing w:val="-4"/>
          <w:kern w:val="2"/>
          <w:sz w:val="28"/>
          <w:szCs w:val="28"/>
          <w:lang w:val="en-US" w:eastAsia="en-US" w:bidi="ar-SA"/>
        </w:rPr>
      </w:pPr>
      <w:r>
        <w:rPr>
          <w:rFonts w:hint="eastAsia" w:ascii="仿宋_GB2312" w:hAnsi="仿宋_GB2312" w:eastAsia="仿宋_GB2312" w:cs="仿宋_GB2312"/>
          <w:b/>
          <w:bCs/>
          <w:spacing w:val="-4"/>
          <w:kern w:val="2"/>
          <w:sz w:val="28"/>
          <w:szCs w:val="28"/>
          <w:lang w:val="en-US" w:eastAsia="zh-CN" w:bidi="ar-SA"/>
        </w:rPr>
        <w:t>（五）</w:t>
      </w:r>
      <w:r>
        <w:rPr>
          <w:rFonts w:hint="eastAsia" w:ascii="仿宋_GB2312" w:hAnsi="仿宋_GB2312" w:eastAsia="仿宋_GB2312" w:cs="仿宋_GB2312"/>
          <w:b/>
          <w:bCs/>
          <w:spacing w:val="-4"/>
          <w:kern w:val="2"/>
          <w:sz w:val="28"/>
          <w:szCs w:val="28"/>
          <w:lang w:val="en-US" w:eastAsia="en-US" w:bidi="ar-SA"/>
        </w:rPr>
        <w:t>主要经验及做法、存在的问题及原因分析</w:t>
      </w:r>
    </w:p>
    <w:p>
      <w:pPr>
        <w:keepNext w:val="0"/>
        <w:keepLines w:val="0"/>
        <w:pageBreakBefore w:val="0"/>
        <w:widowControl w:val="0"/>
        <w:kinsoku/>
        <w:wordWrap/>
        <w:overflowPunct/>
        <w:topLinePunct w:val="0"/>
        <w:autoSpaceDE/>
        <w:autoSpaceDN/>
        <w:bidi w:val="0"/>
        <w:adjustRightInd/>
        <w:snapToGrid/>
        <w:spacing w:before="167" w:line="520" w:lineRule="exact"/>
        <w:ind w:left="774"/>
        <w:textAlignment w:val="auto"/>
        <w:rPr>
          <w:rFonts w:hint="eastAsia" w:ascii="仿宋_GB2312" w:hAnsi="仿宋_GB2312" w:eastAsia="仿宋_GB2312" w:cs="仿宋_GB2312"/>
          <w:spacing w:val="-4"/>
          <w:kern w:val="2"/>
          <w:sz w:val="28"/>
          <w:szCs w:val="28"/>
          <w:lang w:val="en-US" w:eastAsia="en-US" w:bidi="ar-SA"/>
        </w:rPr>
      </w:pPr>
      <w:r>
        <w:rPr>
          <w:rFonts w:hint="eastAsia" w:ascii="仿宋_GB2312" w:hAnsi="仿宋_GB2312" w:eastAsia="仿宋_GB2312" w:cs="仿宋_GB2312"/>
          <w:spacing w:val="-4"/>
          <w:kern w:val="2"/>
          <w:sz w:val="28"/>
          <w:szCs w:val="28"/>
          <w:lang w:val="en-US" w:eastAsia="en-US" w:bidi="ar-SA"/>
        </w:rPr>
        <w:t>(一)项目决策方面</w:t>
      </w:r>
    </w:p>
    <w:p>
      <w:pPr>
        <w:pStyle w:val="4"/>
        <w:keepNext w:val="0"/>
        <w:keepLines w:val="0"/>
        <w:pageBreakBefore w:val="0"/>
        <w:widowControl w:val="0"/>
        <w:kinsoku/>
        <w:wordWrap/>
        <w:overflowPunct/>
        <w:topLinePunct w:val="0"/>
        <w:autoSpaceDE/>
        <w:autoSpaceDN/>
        <w:bidi w:val="0"/>
        <w:adjustRightInd/>
        <w:snapToGrid/>
        <w:spacing w:before="176" w:line="520" w:lineRule="exact"/>
        <w:ind w:firstLine="54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kern w:val="2"/>
          <w:sz w:val="28"/>
          <w:szCs w:val="28"/>
          <w:lang w:val="en-US" w:eastAsia="en-US" w:bidi="ar-SA"/>
        </w:rPr>
        <w:t>1.决策机制不够清晰，决策资料提供不完整，项目决策的科学性不足。主要体现在：(1)服务边界调整缺少论证，权责关系及需求衔接不清晰。作为延续性项目，调整购买主体后年度工作任务的服务 边</w:t>
      </w:r>
      <w:r>
        <w:rPr>
          <w:rFonts w:hint="eastAsia" w:ascii="仿宋_GB2312" w:hAnsi="仿宋_GB2312" w:eastAsia="仿宋_GB2312" w:cs="仿宋_GB2312"/>
          <w:spacing w:val="-1"/>
          <w:sz w:val="28"/>
          <w:szCs w:val="28"/>
        </w:rPr>
        <w:t>界是否需要调整，缺乏相关论证，且转换购买主体</w:t>
      </w:r>
      <w:r>
        <w:rPr>
          <w:rFonts w:hint="eastAsia" w:ascii="仿宋_GB2312" w:hAnsi="仿宋_GB2312" w:eastAsia="仿宋_GB2312" w:cs="仿宋_GB2312"/>
          <w:spacing w:val="-2"/>
          <w:sz w:val="28"/>
          <w:szCs w:val="28"/>
        </w:rPr>
        <w:t>后的权</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1"/>
          <w:sz w:val="28"/>
          <w:szCs w:val="28"/>
        </w:rPr>
        <w:t>责关系不清晰；调整购买主体后的年度工作任务、工作频次完全复制民政局的内容，无变化，且现有目标任务是</w:t>
      </w:r>
      <w:r>
        <w:rPr>
          <w:rFonts w:hint="eastAsia" w:ascii="仿宋_GB2312" w:hAnsi="仿宋_GB2312" w:eastAsia="仿宋_GB2312" w:cs="仿宋_GB2312"/>
          <w:spacing w:val="-2"/>
          <w:sz w:val="28"/>
          <w:szCs w:val="28"/>
        </w:rPr>
        <w:t>自上而</w:t>
      </w:r>
      <w:r>
        <w:rPr>
          <w:rFonts w:hint="eastAsia" w:ascii="仿宋_GB2312" w:hAnsi="仿宋_GB2312" w:eastAsia="仿宋_GB2312" w:cs="仿宋_GB2312"/>
          <w:spacing w:val="-1"/>
          <w:sz w:val="28"/>
          <w:szCs w:val="28"/>
        </w:rPr>
        <w:t>下形成的，该任务目标与困难群众精准救助的实际需</w:t>
      </w:r>
      <w:r>
        <w:rPr>
          <w:rFonts w:hint="eastAsia" w:ascii="仿宋_GB2312" w:hAnsi="仿宋_GB2312" w:eastAsia="仿宋_GB2312" w:cs="仿宋_GB2312"/>
          <w:spacing w:val="-2"/>
          <w:sz w:val="28"/>
          <w:szCs w:val="28"/>
        </w:rPr>
        <w:t>求衔接</w:t>
      </w:r>
      <w:r>
        <w:rPr>
          <w:rFonts w:hint="eastAsia" w:ascii="仿宋_GB2312" w:hAnsi="仿宋_GB2312" w:eastAsia="仿宋_GB2312" w:cs="仿宋_GB2312"/>
          <w:spacing w:val="11"/>
          <w:sz w:val="28"/>
          <w:szCs w:val="28"/>
        </w:rPr>
        <w:t>不清楚。如开展社区活动8场次，开展小组活动4节次等活</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1"/>
          <w:sz w:val="28"/>
          <w:szCs w:val="28"/>
        </w:rPr>
        <w:t>动安排针对的困难群体、精准救助内容或主题，对应的产出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1"/>
          <w:sz w:val="28"/>
          <w:szCs w:val="28"/>
        </w:rPr>
        <w:t>效果指标等不清楚，仅落实了活动形式的精准性，与政策要</w:t>
      </w:r>
      <w:r>
        <w:rPr>
          <w:rFonts w:hint="eastAsia" w:ascii="仿宋_GB2312" w:hAnsi="仿宋_GB2312" w:eastAsia="仿宋_GB2312" w:cs="仿宋_GB2312"/>
          <w:spacing w:val="-4"/>
          <w:sz w:val="28"/>
          <w:szCs w:val="28"/>
        </w:rPr>
        <w:t>求为五大类服务对象提供精准救助存在差距。</w:t>
      </w:r>
      <w:r>
        <w:rPr>
          <w:rFonts w:hint="eastAsia" w:ascii="仿宋_GB2312" w:hAnsi="仿宋_GB2312" w:eastAsia="仿宋_GB2312" w:cs="仿宋_GB2312"/>
          <w:spacing w:val="-1"/>
          <w:sz w:val="28"/>
          <w:szCs w:val="28"/>
        </w:rPr>
        <w:t>(2)政策调整的影响情况不清晰，政府购买服务合理性缺少对标分析。提供的区民政局2022年4月的实施方案中设定永乐店镇的20个个案与目标任务20个个案不一致，且个案遴选方式、标准、小组活动及有关困难群众救助政策调整对本辖区年度困难群众精准帮扶工作内容、方式的影响及其权责边界等规定不清楚，缺少相关说明。如开展并建立社会救助对象帮扶台账、完善救助帮扶台账，实施动态管理等工作内容是否属于购买服务范畴需要对标政策进一步明确。</w:t>
      </w:r>
      <w:r>
        <w:rPr>
          <w:rFonts w:hint="eastAsia" w:ascii="仿宋_GB2312" w:hAnsi="仿宋_GB2312" w:eastAsia="仿宋_GB2312" w:cs="仿宋_GB2312"/>
          <w:spacing w:val="-4"/>
          <w:sz w:val="28"/>
          <w:szCs w:val="28"/>
        </w:rPr>
        <w:t>(3)决策程序履行不及时，决策资料不完整。</w:t>
      </w:r>
      <w:r>
        <w:rPr>
          <w:rFonts w:hint="eastAsia" w:ascii="仿宋_GB2312" w:hAnsi="仿宋_GB2312" w:eastAsia="仿宋_GB2312" w:cs="仿宋_GB2312"/>
          <w:spacing w:val="-12"/>
          <w:sz w:val="28"/>
          <w:szCs w:val="28"/>
        </w:rPr>
        <w:t>三重一大决策程序履行不及时；未见项目开展遴选及确</w:t>
      </w:r>
      <w:r>
        <w:rPr>
          <w:rFonts w:hint="eastAsia" w:ascii="仿宋_GB2312" w:hAnsi="仿宋_GB2312" w:eastAsia="仿宋_GB2312" w:cs="仿宋_GB2312"/>
          <w:spacing w:val="-4"/>
          <w:sz w:val="28"/>
          <w:szCs w:val="28"/>
        </w:rPr>
        <w:t>定第三方服务机构的会议纪要、对20个个案帮扶对象的遴</w:t>
      </w:r>
      <w:r>
        <w:rPr>
          <w:rFonts w:hint="eastAsia" w:ascii="仿宋_GB2312" w:hAnsi="仿宋_GB2312" w:eastAsia="仿宋_GB2312" w:cs="仿宋_GB2312"/>
          <w:spacing w:val="-17"/>
          <w:sz w:val="28"/>
          <w:szCs w:val="28"/>
        </w:rPr>
        <w:t>选等决策资料。</w:t>
      </w:r>
    </w:p>
    <w:p>
      <w:pPr>
        <w:pStyle w:val="4"/>
        <w:keepNext w:val="0"/>
        <w:keepLines w:val="0"/>
        <w:pageBreakBefore w:val="0"/>
        <w:widowControl w:val="0"/>
        <w:kinsoku/>
        <w:wordWrap/>
        <w:overflowPunct/>
        <w:topLinePunct w:val="0"/>
        <w:autoSpaceDE/>
        <w:autoSpaceDN/>
        <w:bidi w:val="0"/>
        <w:adjustRightInd/>
        <w:snapToGrid/>
        <w:spacing w:before="171" w:line="520" w:lineRule="exact"/>
        <w:ind w:left="63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2.绩效指标设定不合理、指标设定不完整。</w:t>
      </w:r>
    </w:p>
    <w:p>
      <w:pPr>
        <w:pStyle w:val="4"/>
        <w:keepNext w:val="0"/>
        <w:keepLines w:val="0"/>
        <w:pageBreakBefore w:val="0"/>
        <w:widowControl w:val="0"/>
        <w:kinsoku/>
        <w:wordWrap/>
        <w:overflowPunct/>
        <w:topLinePunct w:val="0"/>
        <w:autoSpaceDE/>
        <w:autoSpaceDN/>
        <w:bidi w:val="0"/>
        <w:adjustRightInd/>
        <w:snapToGrid/>
        <w:spacing w:before="159" w:line="520" w:lineRule="exact"/>
        <w:ind w:right="185" w:firstLine="630"/>
        <w:textAlignment w:val="auto"/>
        <w:rPr>
          <w:rFonts w:hint="eastAsia" w:ascii="仿宋_GB2312" w:hAnsi="仿宋_GB2312" w:eastAsia="仿宋_GB2312" w:cs="仿宋_GB2312"/>
          <w:spacing w:val="-15"/>
          <w:sz w:val="28"/>
          <w:szCs w:val="28"/>
        </w:rPr>
      </w:pPr>
      <w:r>
        <w:rPr>
          <w:rFonts w:hint="eastAsia" w:ascii="仿宋_GB2312" w:hAnsi="仿宋_GB2312" w:eastAsia="仿宋_GB2312" w:cs="仿宋_GB2312"/>
          <w:spacing w:val="-10"/>
          <w:sz w:val="28"/>
          <w:szCs w:val="28"/>
        </w:rPr>
        <w:t>该项目绩效目标申报表为后补，数量指标、成</w:t>
      </w:r>
      <w:r>
        <w:rPr>
          <w:rFonts w:hint="eastAsia" w:ascii="仿宋_GB2312" w:hAnsi="仿宋_GB2312" w:eastAsia="仿宋_GB2312" w:cs="仿宋_GB2312"/>
          <w:spacing w:val="-11"/>
          <w:sz w:val="28"/>
          <w:szCs w:val="28"/>
        </w:rPr>
        <w:t>本指标以年度完成数和合同金额数作为指标值，数量指标与合同约定</w:t>
      </w:r>
      <w:r>
        <w:rPr>
          <w:rFonts w:hint="eastAsia" w:ascii="仿宋_GB2312" w:hAnsi="仿宋_GB2312" w:eastAsia="仿宋_GB2312" w:cs="仿宋_GB2312"/>
          <w:spacing w:val="-10"/>
          <w:sz w:val="28"/>
          <w:szCs w:val="28"/>
        </w:rPr>
        <w:t>的任务不够契合；质量指标以合同约定的服务量作为指标</w:t>
      </w:r>
      <w:r>
        <w:rPr>
          <w:rFonts w:hint="eastAsia" w:ascii="仿宋_GB2312" w:hAnsi="仿宋_GB2312" w:eastAsia="仿宋_GB2312" w:cs="仿宋_GB2312"/>
          <w:spacing w:val="-11"/>
          <w:sz w:val="28"/>
          <w:szCs w:val="28"/>
        </w:rPr>
        <w:t>值，不合理，缺少服务质量验收标准；时效指标没有按照计划进度具体说明，效益指标缺乏可衡量性，未设置可持续影</w:t>
      </w:r>
      <w:r>
        <w:rPr>
          <w:rFonts w:hint="eastAsia" w:ascii="仿宋_GB2312" w:hAnsi="仿宋_GB2312" w:eastAsia="仿宋_GB2312" w:cs="仿宋_GB2312"/>
          <w:spacing w:val="-15"/>
          <w:sz w:val="28"/>
          <w:szCs w:val="28"/>
        </w:rPr>
        <w:t>响指标。</w:t>
      </w:r>
    </w:p>
    <w:p>
      <w:pPr>
        <w:pStyle w:val="4"/>
        <w:keepNext w:val="0"/>
        <w:keepLines w:val="0"/>
        <w:pageBreakBefore w:val="0"/>
        <w:widowControl w:val="0"/>
        <w:kinsoku/>
        <w:wordWrap/>
        <w:overflowPunct/>
        <w:topLinePunct w:val="0"/>
        <w:autoSpaceDE/>
        <w:autoSpaceDN/>
        <w:bidi w:val="0"/>
        <w:adjustRightInd/>
        <w:snapToGrid/>
        <w:spacing w:before="159" w:line="520" w:lineRule="exact"/>
        <w:ind w:right="185" w:firstLine="630"/>
        <w:textAlignment w:val="auto"/>
        <w:rPr>
          <w:rFonts w:hint="eastAsia" w:ascii="仿宋_GB2312" w:hAnsi="仿宋_GB2312" w:eastAsia="仿宋_GB2312" w:cs="仿宋_GB2312"/>
          <w:spacing w:val="-15"/>
          <w:sz w:val="28"/>
          <w:szCs w:val="28"/>
        </w:rPr>
      </w:pPr>
    </w:p>
    <w:p>
      <w:pPr>
        <w:pStyle w:val="4"/>
        <w:keepNext w:val="0"/>
        <w:keepLines w:val="0"/>
        <w:pageBreakBefore w:val="0"/>
        <w:widowControl w:val="0"/>
        <w:kinsoku/>
        <w:wordWrap/>
        <w:overflowPunct/>
        <w:topLinePunct w:val="0"/>
        <w:autoSpaceDE/>
        <w:autoSpaceDN/>
        <w:bidi w:val="0"/>
        <w:adjustRightInd/>
        <w:snapToGrid/>
        <w:spacing w:before="159" w:line="520" w:lineRule="exact"/>
        <w:ind w:right="185" w:firstLine="63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3.预算编制不细化，预算编制依据不充分，预算管理科学性不足。</w:t>
      </w:r>
    </w:p>
    <w:p>
      <w:pPr>
        <w:pStyle w:val="4"/>
        <w:keepNext w:val="0"/>
        <w:keepLines w:val="0"/>
        <w:pageBreakBefore w:val="0"/>
        <w:widowControl w:val="0"/>
        <w:kinsoku/>
        <w:wordWrap/>
        <w:overflowPunct/>
        <w:topLinePunct w:val="0"/>
        <w:autoSpaceDE/>
        <w:autoSpaceDN/>
        <w:bidi w:val="0"/>
        <w:adjustRightInd/>
        <w:snapToGrid/>
        <w:spacing w:before="104" w:line="520" w:lineRule="exact"/>
        <w:ind w:firstLine="520"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(1)预算管理不合理，项目未纳入永乐店政府2022年度镇政府预算；2022年度工作任务与年度资金需求与最后一公里的原则如何挂钩的，应解决的实际问题不清晰，年度工作任务缺乏永乐店镇政府本级需求合理性的论证基础。(2)预算编制程序不合理，与相关要求不一致。仅依</w:t>
      </w:r>
      <w:r>
        <w:rPr>
          <w:rFonts w:hint="eastAsia" w:ascii="仿宋_GB2312" w:hAnsi="仿宋_GB2312" w:eastAsia="仿宋_GB2312" w:cs="仿宋_GB2312"/>
          <w:spacing w:val="-11"/>
          <w:sz w:val="28"/>
          <w:szCs w:val="28"/>
        </w:rPr>
        <w:t>据服务报价签订合同，与《北京市政府购买社会工作服</w:t>
      </w:r>
      <w:r>
        <w:rPr>
          <w:rFonts w:hint="eastAsia" w:ascii="仿宋_GB2312" w:hAnsi="仿宋_GB2312" w:eastAsia="仿宋_GB2312" w:cs="仿宋_GB2312"/>
          <w:spacing w:val="-12"/>
          <w:sz w:val="28"/>
          <w:szCs w:val="28"/>
        </w:rPr>
        <w:t>务预</w:t>
      </w:r>
      <w:r>
        <w:rPr>
          <w:rFonts w:hint="eastAsia" w:ascii="仿宋_GB2312" w:hAnsi="仿宋_GB2312" w:eastAsia="仿宋_GB2312" w:cs="仿宋_GB2312"/>
          <w:spacing w:val="-11"/>
          <w:sz w:val="28"/>
          <w:szCs w:val="28"/>
        </w:rPr>
        <w:t>算管理实施细则》“购买主体应遵循市场规律，结</w:t>
      </w:r>
      <w:r>
        <w:rPr>
          <w:rFonts w:hint="eastAsia" w:ascii="仿宋_GB2312" w:hAnsi="仿宋_GB2312" w:eastAsia="仿宋_GB2312" w:cs="仿宋_GB2312"/>
          <w:spacing w:val="-12"/>
          <w:sz w:val="28"/>
          <w:szCs w:val="28"/>
        </w:rPr>
        <w:t>合社会工作服务项目特点和相关经费预算，综合物</w:t>
      </w:r>
      <w:r>
        <w:rPr>
          <w:rFonts w:hint="eastAsia" w:ascii="仿宋_GB2312" w:hAnsi="仿宋_GB2312" w:eastAsia="仿宋_GB2312" w:cs="仿宋_GB2312"/>
          <w:spacing w:val="-10"/>
          <w:sz w:val="28"/>
          <w:szCs w:val="28"/>
        </w:rPr>
        <w:t>价、工资、税费、 利润等因素，科学测算承接主体在实施服务项目中所承担的必要的人力成本、服务活动及培训(会议)相关费用、劳务费、管理费、税费等支出内容，合理编制政府购买社会工作服务项目预算。”的规定不一致。(3)预算编制依据不充分。项目预算编制明细缺少支出标准依据，工作方式和资源消耗测算分析不到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sectPr>
          <w:footerReference r:id="rId7" w:type="default"/>
          <w:pgSz w:w="11910" w:h="16850"/>
          <w:pgMar w:top="400" w:right="1786" w:bottom="1234" w:left="1630" w:header="0" w:footer="1099" w:gutter="0"/>
          <w:cols w:space="720" w:num="1"/>
        </w:sectPr>
      </w:pPr>
    </w:p>
    <w:p>
      <w:pPr>
        <w:keepNext w:val="0"/>
        <w:keepLines w:val="0"/>
        <w:pageBreakBefore w:val="0"/>
        <w:widowControl w:val="0"/>
        <w:kinsoku/>
        <w:wordWrap/>
        <w:overflowPunct/>
        <w:topLinePunct w:val="0"/>
        <w:autoSpaceDE/>
        <w:autoSpaceDN/>
        <w:bidi w:val="0"/>
        <w:adjustRightInd/>
        <w:snapToGrid/>
        <w:spacing w:before="174" w:line="520" w:lineRule="exact"/>
        <w:ind w:firstLine="624"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6"/>
          <w:sz w:val="28"/>
          <w:szCs w:val="28"/>
        </w:rPr>
        <w:t>(二)项目过程方面</w:t>
      </w:r>
    </w:p>
    <w:p>
      <w:pPr>
        <w:pStyle w:val="4"/>
        <w:keepNext w:val="0"/>
        <w:keepLines w:val="0"/>
        <w:pageBreakBefore w:val="0"/>
        <w:widowControl w:val="0"/>
        <w:kinsoku/>
        <w:wordWrap/>
        <w:overflowPunct/>
        <w:topLinePunct w:val="0"/>
        <w:autoSpaceDE/>
        <w:autoSpaceDN/>
        <w:bidi w:val="0"/>
        <w:adjustRightInd/>
        <w:snapToGrid/>
        <w:spacing w:before="168" w:line="520" w:lineRule="exact"/>
        <w:ind w:left="679"/>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7"/>
          <w:sz w:val="28"/>
          <w:szCs w:val="28"/>
        </w:rPr>
        <w:t>1.未编制项目方案。</w:t>
      </w:r>
    </w:p>
    <w:p>
      <w:pPr>
        <w:pStyle w:val="4"/>
        <w:keepNext w:val="0"/>
        <w:keepLines w:val="0"/>
        <w:pageBreakBefore w:val="0"/>
        <w:widowControl w:val="0"/>
        <w:kinsoku/>
        <w:wordWrap/>
        <w:overflowPunct/>
        <w:topLinePunct w:val="0"/>
        <w:autoSpaceDE/>
        <w:autoSpaceDN/>
        <w:bidi w:val="0"/>
        <w:adjustRightInd/>
        <w:snapToGrid/>
        <w:spacing w:before="168" w:line="520" w:lineRule="exact"/>
        <w:ind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以第三方服务机构的实施方案代替永乐店镇政府的工</w:t>
      </w:r>
      <w:r>
        <w:rPr>
          <w:rFonts w:hint="eastAsia" w:ascii="仿宋_GB2312" w:hAnsi="仿宋_GB2312" w:eastAsia="仿宋_GB2312" w:cs="仿宋_GB2312"/>
          <w:spacing w:val="5"/>
          <w:sz w:val="28"/>
          <w:szCs w:val="28"/>
        </w:rPr>
        <w:t>作职责，三方比价方式采取对投标方编写“2022年永乐店</w:t>
      </w:r>
      <w:r>
        <w:rPr>
          <w:rFonts w:hint="eastAsia" w:ascii="仿宋_GB2312" w:hAnsi="仿宋_GB2312" w:eastAsia="仿宋_GB2312" w:cs="仿宋_GB2312"/>
          <w:spacing w:val="-1"/>
          <w:sz w:val="28"/>
          <w:szCs w:val="28"/>
        </w:rPr>
        <w:t>镇困难群众救助服务所项目实施方案”进行评分的方式，实施方案中含服务报价，第三方机构的实施方案不够全面，缺少团队人员素质能力等具体要求、满意度调查机制、培训宣传主题等内容；镇政府层面缺少对服务机构编制实施方案的指导和验收具体措施，实施过程跟踪督导措施不到位，实施</w:t>
      </w:r>
      <w:r>
        <w:rPr>
          <w:rFonts w:hint="eastAsia" w:ascii="仿宋_GB2312" w:hAnsi="仿宋_GB2312" w:eastAsia="仿宋_GB2312" w:cs="仿宋_GB2312"/>
          <w:spacing w:val="3"/>
          <w:sz w:val="28"/>
          <w:szCs w:val="28"/>
        </w:rPr>
        <w:t xml:space="preserve"> </w:t>
      </w:r>
      <w:r>
        <w:rPr>
          <w:rFonts w:hint="eastAsia" w:ascii="仿宋_GB2312" w:hAnsi="仿宋_GB2312" w:eastAsia="仿宋_GB2312" w:cs="仿宋_GB2312"/>
          <w:spacing w:val="-1"/>
          <w:sz w:val="28"/>
          <w:szCs w:val="28"/>
        </w:rPr>
        <w:t>过程中的社区活动子项目八次活动都是政策宣传讲解，制定</w:t>
      </w:r>
      <w:r>
        <w:rPr>
          <w:rFonts w:hint="eastAsia" w:ascii="仿宋_GB2312" w:hAnsi="仿宋_GB2312" w:eastAsia="仿宋_GB2312" w:cs="仿宋_GB2312"/>
          <w:sz w:val="28"/>
          <w:szCs w:val="28"/>
        </w:rPr>
        <w:t>了活动策划书，小组活动也制定了计划书，但是从活</w:t>
      </w:r>
      <w:r>
        <w:rPr>
          <w:rFonts w:hint="eastAsia" w:ascii="仿宋_GB2312" w:hAnsi="仿宋_GB2312" w:eastAsia="仿宋_GB2312" w:cs="仿宋_GB2312"/>
          <w:spacing w:val="-1"/>
          <w:sz w:val="28"/>
          <w:szCs w:val="28"/>
        </w:rPr>
        <w:t>动照片</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呈现社区活动方式比较单一，政策解读宣传的精准性和有效</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1"/>
          <w:sz w:val="28"/>
          <w:szCs w:val="28"/>
        </w:rPr>
        <w:t>性缺少有针对性的回访。对于个案困难人的服务规范与《北</w:t>
      </w:r>
      <w:r>
        <w:rPr>
          <w:rFonts w:hint="eastAsia" w:ascii="仿宋_GB2312" w:hAnsi="仿宋_GB2312" w:eastAsia="仿宋_GB2312" w:cs="仿宋_GB2312"/>
          <w:spacing w:val="-7"/>
          <w:sz w:val="28"/>
          <w:szCs w:val="28"/>
        </w:rPr>
        <w:t>京市困难群众个案服务指南》不相符。</w:t>
      </w:r>
    </w:p>
    <w:p>
      <w:pPr>
        <w:pStyle w:val="4"/>
        <w:keepNext w:val="0"/>
        <w:keepLines w:val="0"/>
        <w:pageBreakBefore w:val="0"/>
        <w:widowControl w:val="0"/>
        <w:kinsoku/>
        <w:wordWrap/>
        <w:overflowPunct/>
        <w:topLinePunct w:val="0"/>
        <w:autoSpaceDE/>
        <w:autoSpaceDN/>
        <w:bidi w:val="0"/>
        <w:adjustRightInd/>
        <w:snapToGrid/>
        <w:spacing w:before="206" w:line="520" w:lineRule="exact"/>
        <w:ind w:left="629"/>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2.资金使用的合理、规范性不足。</w:t>
      </w:r>
    </w:p>
    <w:p>
      <w:pPr>
        <w:pStyle w:val="4"/>
        <w:keepNext w:val="0"/>
        <w:keepLines w:val="0"/>
        <w:pageBreakBefore w:val="0"/>
        <w:widowControl w:val="0"/>
        <w:kinsoku/>
        <w:wordWrap/>
        <w:overflowPunct/>
        <w:topLinePunct w:val="0"/>
        <w:autoSpaceDE/>
        <w:autoSpaceDN/>
        <w:bidi w:val="0"/>
        <w:adjustRightInd/>
        <w:snapToGrid/>
        <w:spacing w:before="108" w:line="520" w:lineRule="exact"/>
        <w:ind w:right="197" w:firstLine="779"/>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(1)项目预算执行与资金使用情况不够清晰，预算支</w:t>
      </w:r>
      <w:r>
        <w:rPr>
          <w:rFonts w:hint="eastAsia" w:ascii="仿宋_GB2312" w:hAnsi="仿宋_GB2312" w:eastAsia="仿宋_GB2312" w:cs="仿宋_GB2312"/>
          <w:spacing w:val="-4"/>
          <w:sz w:val="28"/>
          <w:szCs w:val="28"/>
        </w:rPr>
        <w:t>出与年度任务的衔接不清晰，如预算安排与任务量之间的关</w:t>
      </w:r>
      <w:r>
        <w:rPr>
          <w:rFonts w:hint="eastAsia" w:ascii="仿宋_GB2312" w:hAnsi="仿宋_GB2312" w:eastAsia="仿宋_GB2312" w:cs="仿宋_GB2312"/>
          <w:spacing w:val="4"/>
          <w:sz w:val="28"/>
          <w:szCs w:val="28"/>
        </w:rPr>
        <w:t>系不清楚，如管理费10%计提比例依据不清楚；合同类型、</w:t>
      </w:r>
      <w:r>
        <w:rPr>
          <w:rFonts w:hint="eastAsia" w:ascii="仿宋_GB2312" w:hAnsi="仿宋_GB2312" w:eastAsia="仿宋_GB2312" w:cs="仿宋_GB2312"/>
          <w:spacing w:val="-5"/>
          <w:sz w:val="28"/>
          <w:szCs w:val="28"/>
        </w:rPr>
        <w:t>合同金额与服务内容的对应性不足。</w:t>
      </w:r>
      <w:r>
        <w:rPr>
          <w:rFonts w:hint="eastAsia" w:ascii="仿宋_GB2312" w:hAnsi="仿宋_GB2312" w:eastAsia="仿宋_GB2312" w:cs="仿宋_GB2312"/>
          <w:spacing w:val="-3"/>
          <w:sz w:val="28"/>
          <w:szCs w:val="28"/>
        </w:rPr>
        <w:t>(2)会计科目列支不准确，项目资金支出按照商品服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11"/>
          <w:sz w:val="28"/>
          <w:szCs w:val="28"/>
        </w:rPr>
        <w:t>务支出类的劳务费列支，未在委托业务费中列支，与政府购</w:t>
      </w:r>
      <w:r>
        <w:rPr>
          <w:rFonts w:hint="eastAsia" w:ascii="仿宋_GB2312" w:hAnsi="仿宋_GB2312" w:eastAsia="仿宋_GB2312" w:cs="仿宋_GB2312"/>
          <w:spacing w:val="-18"/>
          <w:sz w:val="28"/>
          <w:szCs w:val="28"/>
        </w:rPr>
        <w:t>买服务定位不一致。</w:t>
      </w:r>
    </w:p>
    <w:p>
      <w:pPr>
        <w:pStyle w:val="4"/>
        <w:keepNext w:val="0"/>
        <w:keepLines w:val="0"/>
        <w:pageBreakBefore w:val="0"/>
        <w:widowControl w:val="0"/>
        <w:kinsoku/>
        <w:wordWrap/>
        <w:overflowPunct/>
        <w:topLinePunct w:val="0"/>
        <w:autoSpaceDE/>
        <w:autoSpaceDN/>
        <w:bidi w:val="0"/>
        <w:adjustRightInd/>
        <w:snapToGrid/>
        <w:spacing w:before="108" w:line="520" w:lineRule="exact"/>
        <w:ind w:right="197" w:firstLine="779"/>
        <w:textAlignment w:val="auto"/>
        <w:rPr>
          <w:rFonts w:hint="eastAsia"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3.项目管理过程管理规范性不足，项目执行过程和监管资料提交不完整。民政局主持下精准帮扶项目已多年开展，形成了一套完整的运行和监督考核机制，困难群众个案服务过程包括接案、预估、计划、介入、评估、结案6个阶段。要求社会工作者应按照本流程开展服务，并对每个阶段的服务质量进行控制，但过程管理严谨性不足，过程管理资料提交不完整，</w:t>
      </w:r>
    </w:p>
    <w:p>
      <w:pPr>
        <w:pStyle w:val="4"/>
        <w:keepNext w:val="0"/>
        <w:keepLines w:val="0"/>
        <w:pageBreakBefore w:val="0"/>
        <w:widowControl w:val="0"/>
        <w:kinsoku/>
        <w:wordWrap/>
        <w:overflowPunct/>
        <w:topLinePunct w:val="0"/>
        <w:autoSpaceDE/>
        <w:autoSpaceDN/>
        <w:bidi w:val="0"/>
        <w:adjustRightInd/>
        <w:snapToGrid/>
        <w:spacing w:before="108" w:line="520" w:lineRule="exact"/>
        <w:ind w:right="197"/>
        <w:textAlignment w:val="auto"/>
        <w:rPr>
          <w:rFonts w:hint="eastAsia"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主要体现在：(1)六类对象的需求调研工作记录不够完整。(2)街镇主持项目实施后除第三方评审记录外，未见签订困难群众个案服务保密协议资料，提供的一份督导记录表过于格式化，没有结合具体工作，督导工作有效性不足。根据相关政策，专业督导人员应为具有中级以上社会工作职业水平证书且有5年以上相关服务领域的社会工作实践经验或从事5年以上社会工作研究的人员，但未提供支撑资料。(3)项目单位对第三方组织实施的管理痕迹不足。未见第三方提供的与五项中心任务相匹配的活动方案、具体工作方案，也无对第三方的相关管理办法等，如第三方服务质量控制环节有无验收要求，过程监督等相关要求在方案中没有体现，无法判断第三方在增加困难群众救助服务有效供给、提高救助服务质量和效率目标实现情况。</w:t>
      </w:r>
    </w:p>
    <w:p>
      <w:pPr>
        <w:pStyle w:val="4"/>
        <w:keepNext w:val="0"/>
        <w:keepLines w:val="0"/>
        <w:pageBreakBefore w:val="0"/>
        <w:widowControl w:val="0"/>
        <w:kinsoku/>
        <w:wordWrap/>
        <w:overflowPunct/>
        <w:topLinePunct w:val="0"/>
        <w:autoSpaceDE/>
        <w:autoSpaceDN/>
        <w:bidi w:val="0"/>
        <w:adjustRightInd/>
        <w:snapToGrid/>
        <w:spacing w:before="104" w:line="520" w:lineRule="exact"/>
        <w:ind w:left="639"/>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4.制度执行有效性不足。</w:t>
      </w:r>
    </w:p>
    <w:p>
      <w:pPr>
        <w:pStyle w:val="4"/>
        <w:keepNext w:val="0"/>
        <w:keepLines w:val="0"/>
        <w:pageBreakBefore w:val="0"/>
        <w:widowControl w:val="0"/>
        <w:kinsoku/>
        <w:wordWrap/>
        <w:overflowPunct/>
        <w:topLinePunct w:val="0"/>
        <w:autoSpaceDE/>
        <w:autoSpaceDN/>
        <w:bidi w:val="0"/>
        <w:adjustRightInd/>
        <w:snapToGrid/>
        <w:spacing w:before="179" w:line="520" w:lineRule="exact"/>
        <w:ind w:right="86" w:firstLine="789"/>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(1)政府采购管理不够规范，制度执行有效不足。2021</w:t>
      </w:r>
      <w:r>
        <w:rPr>
          <w:rFonts w:hint="eastAsia" w:ascii="仿宋_GB2312" w:hAnsi="仿宋_GB2312" w:eastAsia="仿宋_GB2312" w:cs="仿宋_GB2312"/>
          <w:spacing w:val="2"/>
          <w:sz w:val="28"/>
          <w:szCs w:val="28"/>
        </w:rPr>
        <w:t xml:space="preserve"> </w:t>
      </w:r>
      <w:r>
        <w:rPr>
          <w:rFonts w:hint="eastAsia" w:ascii="仿宋_GB2312" w:hAnsi="仿宋_GB2312" w:eastAsia="仿宋_GB2312" w:cs="仿宋_GB2312"/>
          <w:spacing w:val="24"/>
          <w:sz w:val="28"/>
          <w:szCs w:val="28"/>
        </w:rPr>
        <w:t>年12月21日发出中选通知书，2022年1月28日签署正式</w:t>
      </w:r>
      <w:r>
        <w:rPr>
          <w:rFonts w:hint="eastAsia" w:ascii="仿宋_GB2312" w:hAnsi="仿宋_GB2312" w:eastAsia="仿宋_GB2312" w:cs="仿宋_GB2312"/>
          <w:spacing w:val="5"/>
          <w:sz w:val="28"/>
          <w:szCs w:val="28"/>
        </w:rPr>
        <w:t>合同，超过30天不合理；项目采取市场询价和三方比价方</w:t>
      </w:r>
      <w:r>
        <w:rPr>
          <w:rFonts w:hint="eastAsia" w:ascii="仿宋_GB2312" w:hAnsi="仿宋_GB2312" w:eastAsia="仿宋_GB2312" w:cs="仿宋_GB2312"/>
          <w:spacing w:val="-1"/>
          <w:sz w:val="28"/>
          <w:szCs w:val="28"/>
        </w:rPr>
        <w:t>式购买服务机构，三方比价中标通知书落款为永乐</w:t>
      </w:r>
      <w:r>
        <w:rPr>
          <w:rFonts w:hint="eastAsia" w:ascii="仿宋_GB2312" w:hAnsi="仿宋_GB2312" w:eastAsia="仿宋_GB2312" w:cs="仿宋_GB2312"/>
          <w:spacing w:val="-2"/>
          <w:sz w:val="28"/>
          <w:szCs w:val="28"/>
        </w:rPr>
        <w:t>店镇社会</w:t>
      </w:r>
      <w:r>
        <w:rPr>
          <w:rFonts w:hint="eastAsia" w:ascii="仿宋_GB2312" w:hAnsi="仿宋_GB2312" w:eastAsia="仿宋_GB2312" w:cs="仿宋_GB2312"/>
          <w:spacing w:val="-1"/>
          <w:sz w:val="28"/>
          <w:szCs w:val="28"/>
        </w:rPr>
        <w:t>事务管理科，该科室不具有行政主体采购人资格，但没有提供镇政府法定代表人的授权书，且未提供镇政府的询价邀请</w:t>
      </w:r>
      <w:r>
        <w:rPr>
          <w:rFonts w:hint="eastAsia" w:ascii="仿宋_GB2312" w:hAnsi="仿宋_GB2312" w:eastAsia="仿宋_GB2312" w:cs="仿宋_GB2312"/>
          <w:spacing w:val="-5"/>
          <w:sz w:val="28"/>
          <w:szCs w:val="28"/>
        </w:rPr>
        <w:t>函以及评审小组评分过程等内控流程留痕资料。</w:t>
      </w:r>
      <w:r>
        <w:rPr>
          <w:rFonts w:hint="eastAsia" w:ascii="仿宋_GB2312" w:hAnsi="仿宋_GB2312" w:eastAsia="仿宋_GB2312" w:cs="仿宋_GB2312"/>
          <w:spacing w:val="3"/>
          <w:sz w:val="28"/>
          <w:szCs w:val="28"/>
        </w:rPr>
        <w:t>(2)合同管理规范性不足，存在合同签订后置的情况，</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spacing w:val="6"/>
          <w:sz w:val="28"/>
          <w:szCs w:val="28"/>
        </w:rPr>
        <w:t>如2022年度永乐店镇政府困难群众精准帮扶服务项目合同</w:t>
      </w:r>
      <w:r>
        <w:rPr>
          <w:rFonts w:hint="eastAsia" w:ascii="仿宋_GB2312" w:hAnsi="仿宋_GB2312" w:eastAsia="仿宋_GB2312" w:cs="仿宋_GB2312"/>
          <w:spacing w:val="29"/>
          <w:sz w:val="28"/>
          <w:szCs w:val="28"/>
        </w:rPr>
        <w:t>周期2022年1月1日—2022年12月31日，而签订日是</w:t>
      </w:r>
      <w:r>
        <w:rPr>
          <w:rFonts w:hint="eastAsia" w:ascii="仿宋_GB2312" w:hAnsi="仿宋_GB2312" w:eastAsia="仿宋_GB2312" w:cs="仿宋_GB2312"/>
          <w:spacing w:val="23"/>
          <w:sz w:val="28"/>
          <w:szCs w:val="28"/>
        </w:rPr>
        <w:t>1月28日。</w:t>
      </w:r>
    </w:p>
    <w:p>
      <w:pPr>
        <w:keepNext w:val="0"/>
        <w:keepLines w:val="0"/>
        <w:pageBreakBefore w:val="0"/>
        <w:widowControl w:val="0"/>
        <w:kinsoku/>
        <w:wordWrap/>
        <w:overflowPunct/>
        <w:topLinePunct w:val="0"/>
        <w:autoSpaceDE/>
        <w:autoSpaceDN/>
        <w:bidi w:val="0"/>
        <w:adjustRightInd/>
        <w:snapToGrid/>
        <w:spacing w:before="192" w:line="520" w:lineRule="exact"/>
        <w:ind w:left="794"/>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3"/>
          <w:sz w:val="28"/>
          <w:szCs w:val="28"/>
        </w:rPr>
        <w:t>(三)项目产出方面</w:t>
      </w:r>
    </w:p>
    <w:p>
      <w:pPr>
        <w:pStyle w:val="4"/>
        <w:keepNext w:val="0"/>
        <w:keepLines w:val="0"/>
        <w:pageBreakBefore w:val="0"/>
        <w:widowControl w:val="0"/>
        <w:kinsoku/>
        <w:wordWrap/>
        <w:overflowPunct/>
        <w:topLinePunct w:val="0"/>
        <w:autoSpaceDE/>
        <w:autoSpaceDN/>
        <w:bidi w:val="0"/>
        <w:adjustRightInd/>
        <w:snapToGrid/>
        <w:spacing w:before="191" w:line="520" w:lineRule="exact"/>
        <w:ind w:right="82" w:firstLine="639"/>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项目产出质量有待加强，专业性支撑资料不足</w:t>
      </w:r>
      <w:r>
        <w:rPr>
          <w:rFonts w:hint="eastAsia" w:ascii="仿宋_GB2312" w:hAnsi="仿宋_GB2312" w:eastAsia="仿宋_GB2312" w:cs="仿宋_GB2312"/>
          <w:spacing w:val="-1"/>
          <w:sz w:val="28"/>
          <w:szCs w:val="28"/>
        </w:rPr>
        <w:t>。支付合</w:t>
      </w:r>
      <w:r>
        <w:rPr>
          <w:rFonts w:hint="eastAsia" w:ascii="仿宋_GB2312" w:hAnsi="仿宋_GB2312" w:eastAsia="仿宋_GB2312" w:cs="仿宋_GB2312"/>
          <w:spacing w:val="-3"/>
          <w:sz w:val="28"/>
          <w:szCs w:val="28"/>
        </w:rPr>
        <w:t>同尾款依据市民政局的终期评审报告，但未见项目永乐店镇</w:t>
      </w:r>
      <w:r>
        <w:rPr>
          <w:rFonts w:hint="eastAsia" w:ascii="仿宋_GB2312" w:hAnsi="仿宋_GB2312" w:eastAsia="仿宋_GB2312" w:cs="仿宋_GB2312"/>
          <w:spacing w:val="11"/>
          <w:sz w:val="28"/>
          <w:szCs w:val="28"/>
        </w:rPr>
        <w:t>政府对第三方服务机构合同履行工作内容完成及完成质量</w:t>
      </w:r>
      <w:r>
        <w:rPr>
          <w:rFonts w:hint="eastAsia" w:ascii="仿宋_GB2312" w:hAnsi="仿宋_GB2312" w:eastAsia="仿宋_GB2312" w:cs="仿宋_GB2312"/>
          <w:spacing w:val="12"/>
          <w:sz w:val="28"/>
          <w:szCs w:val="28"/>
        </w:rPr>
        <w:t xml:space="preserve"> </w:t>
      </w:r>
      <w:r>
        <w:rPr>
          <w:rFonts w:hint="eastAsia" w:ascii="仿宋_GB2312" w:hAnsi="仿宋_GB2312" w:eastAsia="仿宋_GB2312" w:cs="仿宋_GB2312"/>
          <w:spacing w:val="-2"/>
          <w:sz w:val="28"/>
          <w:szCs w:val="28"/>
        </w:rPr>
        <w:t>的验收资料，财政资金支出风险管理、质量效益管理呈现不</w:t>
      </w:r>
      <w:r>
        <w:rPr>
          <w:rFonts w:hint="eastAsia" w:ascii="仿宋_GB2312" w:hAnsi="仿宋_GB2312" w:eastAsia="仿宋_GB2312" w:cs="仿宋_GB2312"/>
          <w:spacing w:val="11"/>
          <w:sz w:val="28"/>
          <w:szCs w:val="28"/>
        </w:rPr>
        <w:t>足；提供的对永乐店精准帮扶服务工作评审分数8</w:t>
      </w:r>
      <w:r>
        <w:rPr>
          <w:rFonts w:hint="eastAsia" w:ascii="仿宋_GB2312" w:hAnsi="仿宋_GB2312" w:eastAsia="仿宋_GB2312" w:cs="仿宋_GB2312"/>
          <w:spacing w:val="10"/>
          <w:sz w:val="28"/>
          <w:szCs w:val="28"/>
        </w:rPr>
        <w:t>6分，在</w:t>
      </w:r>
      <w:r>
        <w:rPr>
          <w:rFonts w:hint="eastAsia" w:ascii="仿宋_GB2312" w:hAnsi="仿宋_GB2312" w:eastAsia="仿宋_GB2312" w:cs="仿宋_GB2312"/>
          <w:spacing w:val="-6"/>
          <w:sz w:val="28"/>
          <w:szCs w:val="28"/>
        </w:rPr>
        <w:t>服务创新中成效尚有较大提升空间。</w:t>
      </w:r>
    </w:p>
    <w:p>
      <w:pPr>
        <w:keepNext w:val="0"/>
        <w:keepLines w:val="0"/>
        <w:pageBreakBefore w:val="0"/>
        <w:widowControl w:val="0"/>
        <w:kinsoku/>
        <w:wordWrap/>
        <w:overflowPunct/>
        <w:topLinePunct w:val="0"/>
        <w:autoSpaceDE/>
        <w:autoSpaceDN/>
        <w:bidi w:val="0"/>
        <w:adjustRightInd/>
        <w:snapToGrid/>
        <w:spacing w:before="165" w:line="520" w:lineRule="exact"/>
        <w:ind w:left="794"/>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6"/>
          <w:sz w:val="28"/>
          <w:szCs w:val="28"/>
        </w:rPr>
        <w:t>(四)项目效益方面</w:t>
      </w:r>
    </w:p>
    <w:p>
      <w:pPr>
        <w:pStyle w:val="4"/>
        <w:keepNext w:val="0"/>
        <w:keepLines w:val="0"/>
        <w:pageBreakBefore w:val="0"/>
        <w:widowControl w:val="0"/>
        <w:kinsoku/>
        <w:wordWrap/>
        <w:overflowPunct/>
        <w:topLinePunct w:val="0"/>
        <w:autoSpaceDE/>
        <w:autoSpaceDN/>
        <w:bidi w:val="0"/>
        <w:adjustRightInd/>
        <w:snapToGrid/>
        <w:spacing w:before="104" w:line="520" w:lineRule="exact"/>
        <w:ind w:right="113" w:firstLine="5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1.项目完成预期产出，但对项目的实际成效缺少总结分</w:t>
      </w:r>
      <w:r>
        <w:rPr>
          <w:rFonts w:hint="eastAsia" w:ascii="仿宋_GB2312" w:hAnsi="仿宋_GB2312" w:eastAsia="仿宋_GB2312" w:cs="仿宋_GB2312"/>
          <w:spacing w:val="-1"/>
          <w:sz w:val="28"/>
          <w:szCs w:val="28"/>
        </w:rPr>
        <w:t>析，资料支撑不足。未结合镇本级情况，对项目实施成效进行总结和分析，基本依赖第三方提供的年度总结反映项目成</w:t>
      </w:r>
      <w:r>
        <w:rPr>
          <w:rFonts w:hint="eastAsia" w:ascii="仿宋_GB2312" w:hAnsi="仿宋_GB2312" w:eastAsia="仿宋_GB2312" w:cs="仿宋_GB2312"/>
          <w:spacing w:val="-2"/>
          <w:sz w:val="28"/>
          <w:szCs w:val="28"/>
        </w:rPr>
        <w:t>效；提供了宣传报道及区内排名情况，但没有对比以往年度情况，仅凭绝对数无法准确判断项目综合绩效的实现程度。</w:t>
      </w:r>
      <w:r>
        <w:rPr>
          <w:rFonts w:hint="eastAsia" w:ascii="仿宋_GB2312" w:hAnsi="仿宋_GB2312" w:eastAsia="仿宋_GB2312" w:cs="仿宋_GB2312"/>
          <w:spacing w:val="-1"/>
          <w:sz w:val="28"/>
          <w:szCs w:val="28"/>
        </w:rPr>
        <w:t>如个案服务满足了几类需求、服务规模有无扩围、服务形式</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pacing w:val="-1"/>
          <w:sz w:val="28"/>
          <w:szCs w:val="28"/>
        </w:rPr>
        <w:t>有无创新等反映服务有效性或质量等方面缺乏专项总结。社</w:t>
      </w:r>
      <w:r>
        <w:rPr>
          <w:rFonts w:hint="eastAsia" w:ascii="仿宋_GB2312" w:hAnsi="仿宋_GB2312" w:eastAsia="仿宋_GB2312" w:cs="仿宋_GB2312"/>
          <w:spacing w:val="7"/>
          <w:sz w:val="28"/>
          <w:szCs w:val="28"/>
        </w:rPr>
        <w:t xml:space="preserve"> </w:t>
      </w:r>
      <w:r>
        <w:rPr>
          <w:rFonts w:hint="eastAsia" w:ascii="仿宋_GB2312" w:hAnsi="仿宋_GB2312" w:eastAsia="仿宋_GB2312" w:cs="仿宋_GB2312"/>
          <w:spacing w:val="-14"/>
          <w:sz w:val="28"/>
          <w:szCs w:val="28"/>
        </w:rPr>
        <w:t>会效益指标设置为“摸清在册困难群众底数，为完善社会救助</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spacing w:val="-4"/>
          <w:sz w:val="28"/>
          <w:szCs w:val="28"/>
        </w:rPr>
        <w:t>政策提供依据，助力困难群众度过当下困境，提升获得感，</w:t>
      </w:r>
      <w:r>
        <w:rPr>
          <w:rFonts w:hint="eastAsia" w:ascii="仿宋_GB2312" w:hAnsi="仿宋_GB2312" w:eastAsia="仿宋_GB2312" w:cs="仿宋_GB2312"/>
          <w:spacing w:val="-10"/>
          <w:sz w:val="28"/>
          <w:szCs w:val="28"/>
        </w:rPr>
        <w:t>幸福感，提升社会救助满意率，提升政策知晓率。弱有所扶，</w:t>
      </w:r>
      <w:r>
        <w:rPr>
          <w:rFonts w:hint="eastAsia" w:ascii="仿宋_GB2312" w:hAnsi="仿宋_GB2312" w:eastAsia="仿宋_GB2312" w:cs="仿宋_GB2312"/>
          <w:spacing w:val="9"/>
          <w:sz w:val="28"/>
          <w:szCs w:val="28"/>
        </w:rPr>
        <w:t xml:space="preserve"> </w:t>
      </w:r>
      <w:r>
        <w:rPr>
          <w:rFonts w:hint="eastAsia" w:ascii="仿宋_GB2312" w:hAnsi="仿宋_GB2312" w:eastAsia="仿宋_GB2312" w:cs="仿宋_GB2312"/>
          <w:spacing w:val="-8"/>
          <w:sz w:val="28"/>
          <w:szCs w:val="28"/>
        </w:rPr>
        <w:t>兜底保障”,绩效报告对第三方服务机构开展的服务工作完成</w:t>
      </w:r>
      <w:r>
        <w:rPr>
          <w:rFonts w:hint="eastAsia" w:ascii="仿宋_GB2312" w:hAnsi="仿宋_GB2312" w:eastAsia="仿宋_GB2312" w:cs="仿宋_GB2312"/>
          <w:spacing w:val="16"/>
          <w:sz w:val="28"/>
          <w:szCs w:val="28"/>
        </w:rPr>
        <w:t xml:space="preserve"> </w:t>
      </w:r>
      <w:r>
        <w:rPr>
          <w:rFonts w:hint="eastAsia" w:ascii="仿宋_GB2312" w:hAnsi="仿宋_GB2312" w:eastAsia="仿宋_GB2312" w:cs="仿宋_GB2312"/>
          <w:spacing w:val="-1"/>
          <w:sz w:val="28"/>
          <w:szCs w:val="28"/>
        </w:rPr>
        <w:t>情况进行了较详细列示，但对项目实施社会影响、政</w:t>
      </w:r>
      <w:r>
        <w:rPr>
          <w:rFonts w:hint="eastAsia" w:ascii="仿宋_GB2312" w:hAnsi="仿宋_GB2312" w:eastAsia="仿宋_GB2312" w:cs="仿宋_GB2312"/>
          <w:spacing w:val="-2"/>
          <w:sz w:val="28"/>
          <w:szCs w:val="28"/>
        </w:rPr>
        <w:t>策知晓</w:t>
      </w:r>
      <w:r>
        <w:rPr>
          <w:rFonts w:hint="eastAsia" w:ascii="仿宋_GB2312" w:hAnsi="仿宋_GB2312" w:eastAsia="仿宋_GB2312" w:cs="仿宋_GB2312"/>
          <w:spacing w:val="-5"/>
          <w:sz w:val="28"/>
          <w:szCs w:val="28"/>
        </w:rPr>
        <w:t>度、精准帮扶成效阐述不足。</w:t>
      </w:r>
    </w:p>
    <w:p>
      <w:pPr>
        <w:pStyle w:val="4"/>
        <w:keepNext w:val="0"/>
        <w:keepLines w:val="0"/>
        <w:pageBreakBefore w:val="0"/>
        <w:widowControl w:val="0"/>
        <w:kinsoku/>
        <w:wordWrap/>
        <w:overflowPunct/>
        <w:topLinePunct w:val="0"/>
        <w:autoSpaceDE/>
        <w:autoSpaceDN/>
        <w:bidi w:val="0"/>
        <w:adjustRightInd/>
        <w:snapToGrid/>
        <w:spacing w:before="198" w:line="520" w:lineRule="exact"/>
        <w:ind w:right="194" w:firstLine="640"/>
        <w:jc w:val="both"/>
        <w:textAlignment w:val="auto"/>
        <w:rPr>
          <w:rFonts w:hint="eastAsia" w:ascii="仿宋_GB2312" w:hAnsi="仿宋_GB2312" w:eastAsia="仿宋_GB2312" w:cs="仿宋_GB2312"/>
          <w:sz w:val="28"/>
          <w:szCs w:val="28"/>
          <w:lang w:eastAsia="zh-CN"/>
        </w:rPr>
        <w:sectPr>
          <w:footerReference r:id="rId8" w:type="default"/>
          <w:pgSz w:w="11910" w:h="16850"/>
          <w:pgMar w:top="400" w:right="1770" w:bottom="1162" w:left="1740" w:header="0" w:footer="1027" w:gutter="0"/>
          <w:cols w:space="720" w:num="1"/>
        </w:sectPr>
      </w:pPr>
      <w:r>
        <w:rPr>
          <w:rFonts w:hint="eastAsia" w:ascii="仿宋_GB2312" w:hAnsi="仿宋_GB2312" w:eastAsia="仿宋_GB2312" w:cs="仿宋_GB2312"/>
          <w:spacing w:val="-3"/>
          <w:sz w:val="28"/>
          <w:szCs w:val="28"/>
        </w:rPr>
        <w:t>2.满意度问卷设计合理性不足。从社区活动和小组活动</w:t>
      </w:r>
      <w:r>
        <w:rPr>
          <w:rFonts w:hint="eastAsia" w:ascii="仿宋_GB2312" w:hAnsi="仿宋_GB2312" w:eastAsia="仿宋_GB2312" w:cs="仿宋_GB2312"/>
          <w:spacing w:val="-1"/>
          <w:sz w:val="28"/>
          <w:szCs w:val="28"/>
        </w:rPr>
        <w:t>所做的满意度调查问卷的内容一致，政策社区活动主要内容</w:t>
      </w:r>
      <w:r>
        <w:rPr>
          <w:rFonts w:hint="eastAsia" w:ascii="仿宋_GB2312" w:hAnsi="仿宋_GB2312" w:eastAsia="仿宋_GB2312" w:cs="仿宋_GB2312"/>
          <w:spacing w:val="-2"/>
          <w:sz w:val="28"/>
          <w:szCs w:val="28"/>
        </w:rPr>
        <w:t>为政策宣传，其调查问卷缺少对所宣讲政策的理解程度的针</w:t>
      </w:r>
      <w:r>
        <w:rPr>
          <w:rFonts w:hint="eastAsia" w:ascii="仿宋_GB2312" w:hAnsi="仿宋_GB2312" w:eastAsia="仿宋_GB2312" w:cs="仿宋_GB2312"/>
          <w:spacing w:val="2"/>
          <w:sz w:val="28"/>
          <w:szCs w:val="28"/>
        </w:rPr>
        <w:t>对性问题；满意度指标设置了5个“≥90%”,小组活动满意</w:t>
      </w:r>
      <w:r>
        <w:rPr>
          <w:rFonts w:hint="eastAsia" w:ascii="仿宋_GB2312" w:hAnsi="仿宋_GB2312" w:eastAsia="仿宋_GB2312" w:cs="仿宋_GB2312"/>
          <w:spacing w:val="-1"/>
          <w:sz w:val="28"/>
          <w:szCs w:val="28"/>
        </w:rPr>
        <w:t>度调查进行了三次，调查样本量偏低，调查指标设置缺少意</w:t>
      </w:r>
      <w:r>
        <w:rPr>
          <w:rFonts w:hint="eastAsia" w:ascii="仿宋_GB2312" w:hAnsi="仿宋_GB2312" w:eastAsia="仿宋_GB2312" w:cs="仿宋_GB2312"/>
          <w:spacing w:val="-2"/>
          <w:sz w:val="28"/>
          <w:szCs w:val="28"/>
        </w:rPr>
        <w:t>见指标，社区活动满意度调查存在同类问题，同时还有未填</w:t>
      </w:r>
      <w:r>
        <w:rPr>
          <w:rFonts w:hint="eastAsia" w:ascii="仿宋_GB2312" w:hAnsi="仿宋_GB2312" w:eastAsia="仿宋_GB2312" w:cs="仿宋_GB2312"/>
          <w:spacing w:val="-1"/>
          <w:sz w:val="28"/>
          <w:szCs w:val="28"/>
        </w:rPr>
        <w:t>报的情况。存在满意度调查资料提交不完整的情况，未见指</w:t>
      </w:r>
      <w:r>
        <w:rPr>
          <w:rFonts w:hint="eastAsia" w:ascii="仿宋_GB2312" w:hAnsi="仿宋_GB2312" w:eastAsia="仿宋_GB2312" w:cs="仿宋_GB2312"/>
          <w:spacing w:val="-14"/>
          <w:sz w:val="28"/>
          <w:szCs w:val="28"/>
        </w:rPr>
        <w:t>标中“社救对象建表登记、社救对象服务类服务”两项工作的</w:t>
      </w:r>
      <w:r>
        <w:rPr>
          <w:rFonts w:hint="eastAsia" w:ascii="仿宋_GB2312" w:hAnsi="仿宋_GB2312" w:eastAsia="仿宋_GB2312" w:cs="仿宋_GB2312"/>
          <w:spacing w:val="17"/>
          <w:sz w:val="28"/>
          <w:szCs w:val="28"/>
        </w:rPr>
        <w:t xml:space="preserve"> </w:t>
      </w:r>
      <w:r>
        <w:rPr>
          <w:rFonts w:hint="eastAsia" w:ascii="仿宋_GB2312" w:hAnsi="仿宋_GB2312" w:eastAsia="仿宋_GB2312" w:cs="仿宋_GB2312"/>
          <w:spacing w:val="-1"/>
          <w:sz w:val="28"/>
          <w:szCs w:val="28"/>
        </w:rPr>
        <w:t>满意度调查资料，且缺少满意度调查的汇总分析，难以完整</w:t>
      </w:r>
      <w:r>
        <w:rPr>
          <w:rFonts w:hint="eastAsia" w:ascii="仿宋_GB2312" w:hAnsi="仿宋_GB2312" w:eastAsia="仿宋_GB2312" w:cs="仿宋_GB2312"/>
          <w:spacing w:val="-5"/>
          <w:sz w:val="28"/>
          <w:szCs w:val="28"/>
        </w:rPr>
        <w:t>反映项目实施满意度情况</w:t>
      </w:r>
      <w:r>
        <w:rPr>
          <w:rFonts w:hint="eastAsia" w:ascii="仿宋_GB2312" w:hAnsi="仿宋_GB2312" w:eastAsia="仿宋_GB2312" w:cs="仿宋_GB2312"/>
          <w:spacing w:val="-5"/>
          <w:sz w:val="28"/>
          <w:szCs w:val="28"/>
          <w:lang w:eastAsia="zh-CN"/>
        </w:rPr>
        <w:t>。</w:t>
      </w:r>
    </w:p>
    <w:p>
      <w:pPr>
        <w:keepNext w:val="0"/>
        <w:keepLines w:val="0"/>
        <w:pageBreakBefore w:val="0"/>
        <w:kinsoku/>
        <w:wordWrap/>
        <w:overflowPunct/>
        <w:topLinePunct w:val="0"/>
        <w:autoSpaceDE/>
        <w:autoSpaceDN/>
        <w:bidi w:val="0"/>
        <w:adjustRightInd/>
        <w:snapToGrid/>
        <w:spacing w:line="520" w:lineRule="exact"/>
        <w:rPr>
          <w:rFonts w:ascii="Arial"/>
          <w:sz w:val="21"/>
        </w:rPr>
      </w:pPr>
    </w:p>
    <w:p>
      <w:pPr>
        <w:keepNext w:val="0"/>
        <w:keepLines w:val="0"/>
        <w:pageBreakBefore w:val="0"/>
        <w:widowControl w:val="0"/>
        <w:kinsoku/>
        <w:wordWrap/>
        <w:overflowPunct/>
        <w:topLinePunct w:val="0"/>
        <w:autoSpaceDE/>
        <w:autoSpaceDN/>
        <w:bidi w:val="0"/>
        <w:adjustRightInd/>
        <w:snapToGrid/>
        <w:spacing w:before="200" w:line="520" w:lineRule="exact"/>
        <w:ind w:left="664"/>
        <w:textAlignment w:val="auto"/>
        <w:outlineLvl w:val="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pacing w:val="-3"/>
          <w:sz w:val="28"/>
          <w:szCs w:val="28"/>
        </w:rPr>
        <w:t>六、</w:t>
      </w:r>
      <w:r>
        <w:rPr>
          <w:rFonts w:hint="eastAsia" w:ascii="仿宋_GB2312" w:hAnsi="仿宋_GB2312" w:eastAsia="仿宋_GB2312" w:cs="仿宋_GB2312"/>
          <w:b/>
          <w:bCs/>
          <w:spacing w:val="-3"/>
          <w:sz w:val="28"/>
          <w:szCs w:val="28"/>
          <w:lang w:eastAsia="zh-CN"/>
        </w:rPr>
        <w:t>改进与对策</w:t>
      </w:r>
    </w:p>
    <w:p>
      <w:pPr>
        <w:keepNext w:val="0"/>
        <w:keepLines w:val="0"/>
        <w:pageBreakBefore w:val="0"/>
        <w:widowControl w:val="0"/>
        <w:kinsoku/>
        <w:wordWrap/>
        <w:overflowPunct/>
        <w:topLinePunct w:val="0"/>
        <w:autoSpaceDE/>
        <w:autoSpaceDN/>
        <w:bidi w:val="0"/>
        <w:adjustRightInd/>
        <w:snapToGrid/>
        <w:spacing w:before="160" w:line="520" w:lineRule="exact"/>
        <w:ind w:left="814"/>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6"/>
          <w:sz w:val="28"/>
          <w:szCs w:val="28"/>
        </w:rPr>
        <w:t>(一)项目决策方面</w:t>
      </w:r>
    </w:p>
    <w:p>
      <w:pPr>
        <w:pStyle w:val="4"/>
        <w:keepNext w:val="0"/>
        <w:keepLines w:val="0"/>
        <w:pageBreakBefore w:val="0"/>
        <w:widowControl w:val="0"/>
        <w:kinsoku/>
        <w:wordWrap/>
        <w:overflowPunct/>
        <w:topLinePunct w:val="0"/>
        <w:autoSpaceDE/>
        <w:autoSpaceDN/>
        <w:bidi w:val="0"/>
        <w:adjustRightInd/>
        <w:snapToGrid/>
        <w:spacing w:before="107" w:line="520" w:lineRule="exact"/>
        <w:ind w:firstLine="544" w:firstLineChars="200"/>
        <w:textAlignment w:val="auto"/>
        <w:rPr>
          <w:rFonts w:ascii="Arial"/>
          <w:sz w:val="21"/>
        </w:rPr>
      </w:pPr>
      <w:r>
        <w:rPr>
          <w:rFonts w:hint="eastAsia" w:ascii="仿宋_GB2312" w:hAnsi="仿宋_GB2312" w:eastAsia="仿宋_GB2312" w:cs="仿宋_GB2312"/>
          <w:spacing w:val="-4"/>
          <w:sz w:val="28"/>
          <w:szCs w:val="28"/>
        </w:rPr>
        <w:t>1.强化项目前期决策管理，对年度项目帮扶对象，特别</w:t>
      </w:r>
      <w:r>
        <w:rPr>
          <w:rFonts w:hint="eastAsia" w:ascii="仿宋_GB2312" w:hAnsi="仿宋_GB2312" w:eastAsia="仿宋_GB2312" w:cs="仿宋_GB2312"/>
          <w:spacing w:val="-1"/>
          <w:sz w:val="28"/>
          <w:szCs w:val="28"/>
        </w:rPr>
        <w:t>是个案帮扶对象的遴选建立决策管理机制，并制定相应的管</w:t>
      </w:r>
      <w:r>
        <w:rPr>
          <w:rFonts w:hint="eastAsia" w:ascii="仿宋_GB2312" w:hAnsi="仿宋_GB2312" w:eastAsia="仿宋_GB2312" w:cs="仿宋_GB2312"/>
          <w:spacing w:val="-2"/>
          <w:sz w:val="28"/>
          <w:szCs w:val="28"/>
        </w:rPr>
        <w:t>理规划或中短期工作计划，充分体现财政资金支持公平公正</w:t>
      </w:r>
      <w:r>
        <w:rPr>
          <w:rFonts w:hint="eastAsia" w:ascii="仿宋_GB2312" w:hAnsi="仿宋_GB2312" w:eastAsia="仿宋_GB2312" w:cs="仿宋_GB2312"/>
          <w:spacing w:val="-18"/>
          <w:sz w:val="28"/>
          <w:szCs w:val="28"/>
        </w:rPr>
        <w:t>性。</w:t>
      </w:r>
      <w:r>
        <w:rPr>
          <w:rFonts w:hint="eastAsia" w:ascii="仿宋_GB2312" w:hAnsi="仿宋_GB2312" w:eastAsia="仿宋_GB2312" w:cs="仿宋_GB2312"/>
          <w:spacing w:val="-12"/>
          <w:sz w:val="28"/>
          <w:szCs w:val="28"/>
        </w:rPr>
        <w:t>2.开展服务对象的服务需求调研，做好政策宣传。结合</w:t>
      </w:r>
      <w:r>
        <w:rPr>
          <w:rFonts w:hint="eastAsia" w:ascii="仿宋_GB2312" w:hAnsi="仿宋_GB2312" w:eastAsia="仿宋_GB2312" w:cs="仿宋_GB2312"/>
          <w:spacing w:val="-11"/>
          <w:sz w:val="28"/>
          <w:szCs w:val="28"/>
        </w:rPr>
        <w:t>镇政府作为服务主体，明确权责、服务边界和服务内容，制</w:t>
      </w:r>
      <w:r>
        <w:rPr>
          <w:rFonts w:hint="eastAsia" w:ascii="仿宋_GB2312" w:hAnsi="仿宋_GB2312" w:eastAsia="仿宋_GB2312" w:cs="仿宋_GB2312"/>
          <w:spacing w:val="14"/>
          <w:sz w:val="28"/>
          <w:szCs w:val="28"/>
        </w:rPr>
        <w:t xml:space="preserve"> </w:t>
      </w:r>
      <w:r>
        <w:rPr>
          <w:rFonts w:hint="eastAsia" w:ascii="仿宋_GB2312" w:hAnsi="仿宋_GB2312" w:eastAsia="仿宋_GB2312" w:cs="仿宋_GB2312"/>
          <w:spacing w:val="-11"/>
          <w:sz w:val="28"/>
          <w:szCs w:val="28"/>
        </w:rPr>
        <w:t>定严谨的服务计划。即结合年度任务完成情况，加</w:t>
      </w:r>
      <w:r>
        <w:rPr>
          <w:rFonts w:hint="eastAsia" w:ascii="仿宋_GB2312" w:hAnsi="仿宋_GB2312" w:eastAsia="仿宋_GB2312" w:cs="仿宋_GB2312"/>
          <w:spacing w:val="-12"/>
          <w:sz w:val="28"/>
          <w:szCs w:val="28"/>
        </w:rPr>
        <w:t>强精准服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3"/>
          <w:sz w:val="28"/>
          <w:szCs w:val="28"/>
        </w:rPr>
        <w:t>务需求调研，形成解决“最后一公里”服务整体计划或服务任</w:t>
      </w:r>
      <w:r>
        <w:rPr>
          <w:rFonts w:hint="eastAsia" w:ascii="仿宋_GB2312" w:hAnsi="仿宋_GB2312" w:eastAsia="仿宋_GB2312" w:cs="仿宋_GB2312"/>
          <w:spacing w:val="-15"/>
          <w:sz w:val="28"/>
          <w:szCs w:val="28"/>
        </w:rPr>
        <w:t>务，理清服务边界，形成服务机制。</w:t>
      </w:r>
      <w:r>
        <w:rPr>
          <w:rFonts w:hint="eastAsia" w:ascii="仿宋_GB2312" w:hAnsi="仿宋_GB2312" w:eastAsia="仿宋_GB2312" w:cs="仿宋_GB2312"/>
          <w:spacing w:val="-11"/>
          <w:sz w:val="28"/>
          <w:szCs w:val="28"/>
        </w:rPr>
        <w:t>3.加强预算编制管理，提高预算编制的科学性。重视事前科学编制项目绩效目标，科学编制项目预算，落实《北京市政府购买社会工作服务预算管理实施细则》要求；强</w:t>
      </w:r>
      <w:r>
        <w:rPr>
          <w:rFonts w:hint="eastAsia" w:ascii="仿宋_GB2312" w:hAnsi="仿宋_GB2312" w:eastAsia="仿宋_GB2312" w:cs="仿宋_GB2312"/>
          <w:spacing w:val="-12"/>
          <w:sz w:val="28"/>
          <w:szCs w:val="28"/>
        </w:rPr>
        <w:t>化预</w:t>
      </w:r>
      <w:r>
        <w:rPr>
          <w:rFonts w:hint="eastAsia" w:ascii="仿宋_GB2312" w:hAnsi="仿宋_GB2312" w:eastAsia="仿宋_GB2312" w:cs="仿宋_GB2312"/>
          <w:spacing w:val="-11"/>
          <w:sz w:val="28"/>
          <w:szCs w:val="28"/>
        </w:rPr>
        <w:t>算管理，特别是对建立台账等初始性工作与后期维持工作的</w:t>
      </w:r>
      <w:r>
        <w:rPr>
          <w:rFonts w:hint="eastAsia" w:ascii="仿宋_GB2312" w:hAnsi="仿宋_GB2312" w:eastAsia="仿宋_GB2312" w:cs="仿宋_GB2312"/>
          <w:spacing w:val="-12"/>
          <w:sz w:val="28"/>
          <w:szCs w:val="28"/>
        </w:rPr>
        <w:t>成本差别进行评估，建立预算申报及预算分配管理机制。</w:t>
      </w:r>
    </w:p>
    <w:p>
      <w:pPr>
        <w:keepNext w:val="0"/>
        <w:keepLines w:val="0"/>
        <w:pageBreakBefore w:val="0"/>
        <w:widowControl w:val="0"/>
        <w:kinsoku/>
        <w:wordWrap/>
        <w:overflowPunct/>
        <w:topLinePunct w:val="0"/>
        <w:autoSpaceDE/>
        <w:autoSpaceDN/>
        <w:bidi w:val="0"/>
        <w:adjustRightInd/>
        <w:snapToGrid/>
        <w:spacing w:before="152" w:line="520" w:lineRule="exact"/>
        <w:ind w:left="804"/>
        <w:textAlignment w:val="auto"/>
        <w:rPr>
          <w:rFonts w:hint="eastAsia" w:ascii="仿宋_GB2312" w:hAnsi="仿宋_GB2312" w:eastAsia="仿宋_GB2312" w:cs="仿宋_GB2312"/>
          <w:b w:val="0"/>
          <w:bCs w:val="0"/>
          <w:spacing w:val="-11"/>
          <w:kern w:val="2"/>
          <w:sz w:val="28"/>
          <w:szCs w:val="28"/>
          <w:lang w:val="en-US" w:eastAsia="en-US" w:bidi="ar-SA"/>
        </w:rPr>
      </w:pPr>
      <w:r>
        <w:rPr>
          <w:rFonts w:hint="eastAsia" w:ascii="仿宋_GB2312" w:hAnsi="仿宋_GB2312" w:eastAsia="仿宋_GB2312" w:cs="仿宋_GB2312"/>
          <w:b w:val="0"/>
          <w:bCs w:val="0"/>
          <w:spacing w:val="-11"/>
          <w:kern w:val="2"/>
          <w:sz w:val="28"/>
          <w:szCs w:val="28"/>
          <w:lang w:val="en-US" w:eastAsia="en-US" w:bidi="ar-SA"/>
        </w:rPr>
        <w:t>(二)项目过程方面</w:t>
      </w:r>
    </w:p>
    <w:p>
      <w:pPr>
        <w:pStyle w:val="4"/>
        <w:keepNext w:val="0"/>
        <w:keepLines w:val="0"/>
        <w:pageBreakBefore w:val="0"/>
        <w:widowControl w:val="0"/>
        <w:kinsoku/>
        <w:wordWrap/>
        <w:overflowPunct/>
        <w:topLinePunct w:val="0"/>
        <w:autoSpaceDE/>
        <w:autoSpaceDN/>
        <w:bidi w:val="0"/>
        <w:adjustRightInd/>
        <w:snapToGrid/>
        <w:spacing w:before="104" w:line="520" w:lineRule="exact"/>
        <w:ind w:right="213" w:firstLine="774" w:firstLineChars="300"/>
        <w:textAlignment w:val="auto"/>
        <w:rPr>
          <w:rFonts w:hint="eastAsia" w:ascii="仿宋_GB2312" w:hAnsi="仿宋_GB2312" w:eastAsia="仿宋_GB2312" w:cs="仿宋_GB2312"/>
          <w:spacing w:val="-9"/>
          <w:sz w:val="28"/>
          <w:szCs w:val="28"/>
        </w:rPr>
      </w:pPr>
      <w:r>
        <w:rPr>
          <w:rFonts w:hint="eastAsia" w:ascii="仿宋_GB2312" w:hAnsi="仿宋_GB2312" w:eastAsia="仿宋_GB2312" w:cs="仿宋_GB2312"/>
          <w:spacing w:val="-11"/>
          <w:kern w:val="2"/>
          <w:sz w:val="28"/>
          <w:szCs w:val="28"/>
          <w:lang w:val="en-US" w:eastAsia="en-US" w:bidi="ar-SA"/>
        </w:rPr>
        <w:t>1.应结合预算执行主体责任和服务需求，科学编制年度工作方案，明确控制资金采取风险措施和提高项目投资成本效益比的措施。2.加强项目过程管理，提高项目管理水平。加强对服务方遴选的专业性素质审核，及时合规记录并提交工作文档相关资料。加强对第三方过程管理、质量管理的监督管理。3.进一步规范政府购买服务项目的会计核算；规范预算 管理与合同管理，提高服务成本的可靠性和可控性；加强合同管理，明确合同性质，夯实预算测算标准，严格履行合同付款要约。4.严格执行内控制度内控手册中的采购活动流程，完善采购制度，细化比选比价方式采购的具体评选流程中评审小</w:t>
      </w:r>
      <w:r>
        <w:rPr>
          <w:rFonts w:hint="eastAsia" w:ascii="仿宋_GB2312" w:hAnsi="仿宋_GB2312" w:eastAsia="仿宋_GB2312" w:cs="仿宋_GB2312"/>
          <w:spacing w:val="-2"/>
          <w:sz w:val="28"/>
          <w:szCs w:val="28"/>
        </w:rPr>
        <w:t>组工作的留痕资料，全过程采购活动必须有法定代表人授</w:t>
      </w:r>
      <w:r>
        <w:rPr>
          <w:rFonts w:hint="eastAsia" w:ascii="仿宋_GB2312" w:hAnsi="仿宋_GB2312" w:eastAsia="仿宋_GB2312" w:cs="仿宋_GB2312"/>
          <w:spacing w:val="-3"/>
          <w:sz w:val="28"/>
          <w:szCs w:val="28"/>
        </w:rPr>
        <w:t>权，如中标通知书如果以内部科室盖章，必须有法定代表人</w:t>
      </w:r>
      <w:r>
        <w:rPr>
          <w:rFonts w:hint="eastAsia" w:ascii="仿宋_GB2312" w:hAnsi="仿宋_GB2312" w:eastAsia="仿宋_GB2312" w:cs="仿宋_GB2312"/>
          <w:spacing w:val="-9"/>
          <w:sz w:val="28"/>
          <w:szCs w:val="28"/>
        </w:rPr>
        <w:t>授权委托书。</w:t>
      </w:r>
    </w:p>
    <w:p>
      <w:pPr>
        <w:keepNext w:val="0"/>
        <w:keepLines w:val="0"/>
        <w:pageBreakBefore w:val="0"/>
        <w:widowControl w:val="0"/>
        <w:kinsoku/>
        <w:wordWrap/>
        <w:overflowPunct/>
        <w:topLinePunct w:val="0"/>
        <w:autoSpaceDE/>
        <w:autoSpaceDN/>
        <w:bidi w:val="0"/>
        <w:adjustRightInd/>
        <w:snapToGrid/>
        <w:spacing w:before="184" w:line="520" w:lineRule="exact"/>
        <w:ind w:left="764"/>
        <w:textAlignment w:val="auto"/>
        <w:rPr>
          <w:rFonts w:hint="eastAsia" w:ascii="仿宋_GB2312" w:hAnsi="仿宋_GB2312" w:eastAsia="仿宋_GB2312" w:cs="仿宋_GB2312"/>
          <w:spacing w:val="-11"/>
          <w:kern w:val="2"/>
          <w:sz w:val="28"/>
          <w:szCs w:val="28"/>
          <w:lang w:val="en-US" w:eastAsia="en-US" w:bidi="ar-SA"/>
        </w:rPr>
      </w:pPr>
      <w:r>
        <w:rPr>
          <w:rFonts w:hint="eastAsia" w:ascii="仿宋_GB2312" w:hAnsi="仿宋_GB2312" w:eastAsia="仿宋_GB2312" w:cs="仿宋_GB2312"/>
          <w:spacing w:val="-11"/>
          <w:kern w:val="2"/>
          <w:sz w:val="28"/>
          <w:szCs w:val="28"/>
          <w:lang w:val="en-US" w:eastAsia="en-US" w:bidi="ar-SA"/>
        </w:rPr>
        <w:t>(三)项目产出和效益方面</w:t>
      </w:r>
    </w:p>
    <w:p>
      <w:pPr>
        <w:pStyle w:val="4"/>
        <w:keepNext w:val="0"/>
        <w:keepLines w:val="0"/>
        <w:pageBreakBefore w:val="0"/>
        <w:widowControl w:val="0"/>
        <w:kinsoku/>
        <w:wordWrap/>
        <w:overflowPunct/>
        <w:topLinePunct w:val="0"/>
        <w:autoSpaceDE/>
        <w:autoSpaceDN/>
        <w:bidi w:val="0"/>
        <w:adjustRightInd/>
        <w:snapToGrid/>
        <w:spacing w:before="165" w:line="520" w:lineRule="exact"/>
        <w:ind w:right="198" w:firstLine="630"/>
        <w:textAlignment w:val="auto"/>
        <w:rPr>
          <w:rFonts w:hint="eastAsia" w:ascii="仿宋_GB2312" w:hAnsi="仿宋_GB2312" w:eastAsia="仿宋_GB2312" w:cs="仿宋_GB2312"/>
          <w:sz w:val="28"/>
          <w:szCs w:val="28"/>
        </w:rPr>
        <w:sectPr>
          <w:footerReference r:id="rId9" w:type="default"/>
          <w:pgSz w:w="11910" w:h="16850"/>
          <w:pgMar w:top="400" w:right="1786" w:bottom="1207" w:left="1630" w:header="0" w:footer="1081" w:gutter="0"/>
          <w:cols w:space="720" w:num="1"/>
        </w:sectPr>
      </w:pPr>
      <w:r>
        <w:rPr>
          <w:rFonts w:hint="eastAsia" w:ascii="仿宋_GB2312" w:hAnsi="仿宋_GB2312" w:eastAsia="仿宋_GB2312" w:cs="仿宋_GB2312"/>
          <w:spacing w:val="-11"/>
          <w:kern w:val="2"/>
          <w:sz w:val="28"/>
          <w:szCs w:val="28"/>
          <w:lang w:val="en-US" w:eastAsia="en-US" w:bidi="ar-SA"/>
        </w:rPr>
        <w:t>1.加强年度总结，系统总结反映年度间项目实施产出变化与综合成效的比对分析，并做好相关支撑资料的归集管理。2.重视满意度调查工作，根据项目实施内容，科学设定满意度调查问卷，并及时对满意度开展情况进行汇总分析， 并建立满意度回访工作机制，将满意度调查作为改进服务的工具</w:t>
      </w:r>
      <w:r>
        <w:rPr>
          <w:rFonts w:hint="eastAsia" w:ascii="仿宋_GB2312" w:hAnsi="仿宋_GB2312" w:eastAsia="仿宋_GB2312" w:cs="仿宋_GB2312"/>
          <w:spacing w:val="-11"/>
          <w:kern w:val="2"/>
          <w:sz w:val="28"/>
          <w:szCs w:val="28"/>
          <w:lang w:val="en-US" w:eastAsia="zh-CN" w:bidi="ar-SA"/>
        </w:rPr>
        <w:t>。</w:t>
      </w:r>
    </w:p>
    <w:p>
      <w:pPr>
        <w:pStyle w:val="3"/>
        <w:keepNext w:val="0"/>
        <w:keepLines w:val="0"/>
        <w:pageBreakBefore w:val="0"/>
        <w:kinsoku/>
        <w:wordWrap/>
        <w:overflowPunct/>
        <w:topLinePunct w:val="0"/>
        <w:autoSpaceDE/>
        <w:autoSpaceDN/>
        <w:bidi w:val="0"/>
        <w:adjustRightInd/>
        <w:snapToGrid/>
        <w:spacing w:line="520" w:lineRule="exact"/>
        <w:ind w:left="0" w:leftChars="0" w:firstLine="0" w:firstLineChars="0"/>
        <w:rPr>
          <w:rFonts w:hint="eastAsia" w:ascii="黑体" w:eastAsia="黑体"/>
          <w:sz w:val="28"/>
          <w:szCs w:val="28"/>
          <w:highlight w:val="none"/>
          <w:lang w:eastAsia="zh-CN"/>
        </w:rPr>
      </w:pPr>
      <w:bookmarkStart w:id="12" w:name="bookmark18"/>
      <w:bookmarkEnd w:id="12"/>
      <w:bookmarkStart w:id="13" w:name="bookmark15"/>
      <w:bookmarkEnd w:id="13"/>
      <w:bookmarkStart w:id="14" w:name="bookmark20"/>
      <w:bookmarkEnd w:id="14"/>
      <w:bookmarkStart w:id="15" w:name="bookmark22"/>
      <w:bookmarkEnd w:id="15"/>
      <w:bookmarkStart w:id="16" w:name="bookmark19"/>
      <w:bookmarkEnd w:id="16"/>
      <w:bookmarkStart w:id="17" w:name="bookmark21"/>
      <w:bookmarkEnd w:id="17"/>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textAlignment w:val="auto"/>
        <w:rPr>
          <w:rFonts w:hint="eastAsia" w:ascii="黑体" w:eastAsia="黑体"/>
          <w:sz w:val="28"/>
          <w:szCs w:val="28"/>
          <w:highlight w:val="none"/>
          <w:lang w:eastAsia="zh-CN"/>
        </w:rPr>
      </w:pPr>
      <w:r>
        <w:rPr>
          <w:rFonts w:hint="eastAsia" w:ascii="黑体" w:eastAsia="黑体"/>
          <w:sz w:val="28"/>
          <w:szCs w:val="28"/>
          <w:highlight w:val="none"/>
        </w:rPr>
        <w:t>项目</w:t>
      </w:r>
      <w:r>
        <w:rPr>
          <w:rFonts w:ascii="黑体" w:eastAsia="黑体"/>
          <w:sz w:val="28"/>
          <w:szCs w:val="28"/>
          <w:highlight w:val="none"/>
        </w:rPr>
        <w:t>支出绩效自评表</w:t>
      </w:r>
      <w:r>
        <w:rPr>
          <w:rFonts w:hint="eastAsia" w:ascii="黑体" w:eastAsia="黑体"/>
          <w:sz w:val="28"/>
          <w:szCs w:val="28"/>
          <w:highlight w:val="none"/>
          <w:lang w:eastAsia="zh-CN"/>
        </w:rPr>
        <w:t>（所有部门均需填报）</w:t>
      </w:r>
    </w:p>
    <w:tbl>
      <w:tblPr>
        <w:tblStyle w:val="11"/>
        <w:tblW w:w="0" w:type="auto"/>
        <w:jc w:val="center"/>
        <w:tblLayout w:type="fixed"/>
        <w:tblCellMar>
          <w:top w:w="0" w:type="dxa"/>
          <w:left w:w="108" w:type="dxa"/>
          <w:bottom w:w="0" w:type="dxa"/>
          <w:right w:w="108" w:type="dxa"/>
        </w:tblCellMar>
      </w:tblPr>
      <w:tblGrid>
        <w:gridCol w:w="610"/>
        <w:gridCol w:w="1022"/>
        <w:gridCol w:w="1"/>
        <w:gridCol w:w="1035"/>
        <w:gridCol w:w="867"/>
        <w:gridCol w:w="1175"/>
        <w:gridCol w:w="178"/>
        <w:gridCol w:w="989"/>
        <w:gridCol w:w="997"/>
        <w:gridCol w:w="110"/>
        <w:gridCol w:w="450"/>
        <w:gridCol w:w="362"/>
        <w:gridCol w:w="150"/>
        <w:gridCol w:w="732"/>
        <w:gridCol w:w="960"/>
      </w:tblGrid>
      <w:tr>
        <w:tblPrEx>
          <w:tblCellMar>
            <w:top w:w="0" w:type="dxa"/>
            <w:left w:w="108" w:type="dxa"/>
            <w:bottom w:w="0" w:type="dxa"/>
            <w:right w:w="108" w:type="dxa"/>
          </w:tblCellMar>
        </w:tblPrEx>
        <w:trPr>
          <w:trHeight w:val="440" w:hRule="exact"/>
          <w:jc w:val="center"/>
        </w:trPr>
        <w:tc>
          <w:tcPr>
            <w:tcW w:w="9638" w:type="dxa"/>
            <w:gridSpan w:val="15"/>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9638" w:type="dxa"/>
            <w:gridSpan w:val="15"/>
            <w:tcBorders>
              <w:top w:val="nil"/>
              <w:left w:val="nil"/>
              <w:bottom w:val="nil"/>
              <w:right w:val="nil"/>
            </w:tcBorders>
            <w:noWrap w:val="0"/>
            <w:vAlign w:val="top"/>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 </w:t>
            </w:r>
            <w:r>
              <w:rPr>
                <w:rFonts w:hint="eastAsia" w:ascii="仿宋" w:hAnsi="仿宋" w:eastAsia="仿宋" w:cs="仿宋"/>
                <w:color w:val="auto"/>
                <w:kern w:val="0"/>
                <w:sz w:val="18"/>
                <w:szCs w:val="18"/>
                <w:lang w:val="en-US" w:eastAsia="zh-CN"/>
              </w:rPr>
              <w:t>2022</w:t>
            </w:r>
            <w:r>
              <w:rPr>
                <w:rFonts w:hint="eastAsia" w:ascii="仿宋" w:hAnsi="仿宋" w:eastAsia="仿宋" w:cs="仿宋"/>
                <w:color w:val="auto"/>
                <w:kern w:val="0"/>
                <w:sz w:val="18"/>
                <w:szCs w:val="18"/>
              </w:rPr>
              <w:t>年度）</w:t>
            </w:r>
          </w:p>
        </w:tc>
      </w:tr>
      <w:tr>
        <w:tblPrEx>
          <w:tblCellMar>
            <w:top w:w="0" w:type="dxa"/>
            <w:left w:w="108" w:type="dxa"/>
            <w:bottom w:w="0" w:type="dxa"/>
            <w:right w:w="108" w:type="dxa"/>
          </w:tblCellMar>
        </w:tblPrEx>
        <w:trPr>
          <w:trHeight w:val="291" w:hRule="exact"/>
          <w:jc w:val="center"/>
        </w:trPr>
        <w:tc>
          <w:tcPr>
            <w:tcW w:w="16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项目名称</w:t>
            </w:r>
          </w:p>
        </w:tc>
        <w:tc>
          <w:tcPr>
            <w:tcW w:w="8006"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kern w:val="0"/>
                <w:sz w:val="18"/>
                <w:szCs w:val="18"/>
                <w:lang w:val="en-US" w:eastAsia="zh-CN"/>
              </w:rPr>
              <w:t>通州区永乐店镇精准救助项目</w:t>
            </w:r>
          </w:p>
        </w:tc>
      </w:tr>
      <w:tr>
        <w:tblPrEx>
          <w:tblCellMar>
            <w:top w:w="0" w:type="dxa"/>
            <w:left w:w="108" w:type="dxa"/>
            <w:bottom w:w="0" w:type="dxa"/>
            <w:right w:w="108" w:type="dxa"/>
          </w:tblCellMar>
        </w:tblPrEx>
        <w:trPr>
          <w:trHeight w:val="291" w:hRule="exact"/>
          <w:jc w:val="center"/>
        </w:trPr>
        <w:tc>
          <w:tcPr>
            <w:tcW w:w="16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主管部门</w:t>
            </w:r>
          </w:p>
        </w:tc>
        <w:tc>
          <w:tcPr>
            <w:tcW w:w="424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通州区永乐店镇人民政府</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实施单位</w:t>
            </w:r>
          </w:p>
        </w:tc>
        <w:tc>
          <w:tcPr>
            <w:tcW w:w="265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通州区永乐店镇人民政府</w:t>
            </w:r>
          </w:p>
        </w:tc>
      </w:tr>
      <w:tr>
        <w:tblPrEx>
          <w:tblCellMar>
            <w:top w:w="0" w:type="dxa"/>
            <w:left w:w="108" w:type="dxa"/>
            <w:bottom w:w="0" w:type="dxa"/>
            <w:right w:w="108" w:type="dxa"/>
          </w:tblCellMar>
        </w:tblPrEx>
        <w:trPr>
          <w:trHeight w:val="291" w:hRule="exact"/>
          <w:jc w:val="center"/>
        </w:trPr>
        <w:tc>
          <w:tcPr>
            <w:tcW w:w="16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项目负责人</w:t>
            </w:r>
          </w:p>
        </w:tc>
        <w:tc>
          <w:tcPr>
            <w:tcW w:w="424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邬存松</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联系电话</w:t>
            </w:r>
          </w:p>
        </w:tc>
        <w:tc>
          <w:tcPr>
            <w:tcW w:w="265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kern w:val="0"/>
                <w:sz w:val="18"/>
                <w:szCs w:val="18"/>
                <w:lang w:val="en-US" w:eastAsia="zh-CN"/>
              </w:rPr>
              <w:t>13701014806</w:t>
            </w:r>
          </w:p>
        </w:tc>
      </w:tr>
      <w:tr>
        <w:tblPrEx>
          <w:tblCellMar>
            <w:top w:w="0" w:type="dxa"/>
            <w:left w:w="108" w:type="dxa"/>
            <w:bottom w:w="0" w:type="dxa"/>
            <w:right w:w="108" w:type="dxa"/>
          </w:tblCellMar>
        </w:tblPrEx>
        <w:trPr>
          <w:trHeight w:val="559" w:hRule="exact"/>
          <w:jc w:val="center"/>
        </w:trPr>
        <w:tc>
          <w:tcPr>
            <w:tcW w:w="16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项目资金（万元）</w:t>
            </w:r>
          </w:p>
        </w:tc>
        <w:tc>
          <w:tcPr>
            <w:tcW w:w="190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1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年初</w:t>
            </w:r>
            <w:r>
              <w:rPr>
                <w:rFonts w:hint="eastAsia" w:ascii="仿宋" w:hAnsi="仿宋" w:eastAsia="仿宋" w:cs="仿宋"/>
                <w:color w:val="auto"/>
                <w:kern w:val="0"/>
                <w:sz w:val="18"/>
                <w:szCs w:val="18"/>
                <w:lang w:val="en-US" w:eastAsia="zh-CN"/>
              </w:rPr>
              <w:t xml:space="preserve">     </w:t>
            </w:r>
            <w:r>
              <w:rPr>
                <w:rFonts w:hint="eastAsia" w:ascii="仿宋" w:hAnsi="仿宋" w:eastAsia="仿宋" w:cs="仿宋"/>
                <w:color w:val="auto"/>
                <w:kern w:val="0"/>
                <w:sz w:val="18"/>
                <w:szCs w:val="18"/>
              </w:rPr>
              <w:t>预算数</w:t>
            </w:r>
          </w:p>
        </w:tc>
        <w:tc>
          <w:tcPr>
            <w:tcW w:w="1167"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全年</w:t>
            </w:r>
            <w:r>
              <w:rPr>
                <w:rFonts w:hint="eastAsia" w:ascii="仿宋" w:hAnsi="仿宋" w:eastAsia="仿宋" w:cs="仿宋"/>
                <w:color w:val="auto"/>
                <w:kern w:val="0"/>
                <w:sz w:val="18"/>
                <w:szCs w:val="18"/>
                <w:lang w:val="en-US" w:eastAsia="zh-CN"/>
              </w:rPr>
              <w:t xml:space="preserve">     </w:t>
            </w:r>
            <w:r>
              <w:rPr>
                <w:rFonts w:hint="eastAsia" w:ascii="仿宋" w:hAnsi="仿宋" w:eastAsia="仿宋" w:cs="仿宋"/>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全年</w:t>
            </w:r>
            <w:r>
              <w:rPr>
                <w:rFonts w:hint="eastAsia" w:ascii="仿宋" w:hAnsi="仿宋" w:eastAsia="仿宋" w:cs="仿宋"/>
                <w:color w:val="auto"/>
                <w:kern w:val="0"/>
                <w:sz w:val="18"/>
                <w:szCs w:val="18"/>
                <w:lang w:val="en-US" w:eastAsia="zh-CN"/>
              </w:rPr>
              <w:t xml:space="preserve">     </w:t>
            </w:r>
            <w:r>
              <w:rPr>
                <w:rFonts w:hint="eastAsia" w:ascii="仿宋" w:hAnsi="仿宋" w:eastAsia="仿宋" w:cs="仿宋"/>
                <w:color w:val="auto"/>
                <w:kern w:val="0"/>
                <w:sz w:val="18"/>
                <w:szCs w:val="18"/>
              </w:rPr>
              <w:t>执行数</w:t>
            </w:r>
          </w:p>
        </w:tc>
        <w:tc>
          <w:tcPr>
            <w:tcW w:w="8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分值</w:t>
            </w:r>
          </w:p>
        </w:tc>
        <w:tc>
          <w:tcPr>
            <w:tcW w:w="8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执行率</w:t>
            </w:r>
          </w:p>
        </w:tc>
        <w:tc>
          <w:tcPr>
            <w:tcW w:w="96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6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90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年度资金总额</w:t>
            </w:r>
          </w:p>
        </w:tc>
        <w:tc>
          <w:tcPr>
            <w:tcW w:w="11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25.6543</w:t>
            </w:r>
          </w:p>
        </w:tc>
        <w:tc>
          <w:tcPr>
            <w:tcW w:w="1167"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25.6543</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25.6543</w:t>
            </w:r>
          </w:p>
        </w:tc>
        <w:tc>
          <w:tcPr>
            <w:tcW w:w="8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w:t>
            </w:r>
          </w:p>
        </w:tc>
        <w:tc>
          <w:tcPr>
            <w:tcW w:w="8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100%</w:t>
            </w:r>
          </w:p>
        </w:tc>
        <w:tc>
          <w:tcPr>
            <w:tcW w:w="96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6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90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其中：当年财政拨款</w:t>
            </w:r>
          </w:p>
        </w:tc>
        <w:tc>
          <w:tcPr>
            <w:tcW w:w="11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167"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8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w:t>
            </w:r>
          </w:p>
        </w:tc>
        <w:tc>
          <w:tcPr>
            <w:tcW w:w="8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96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6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90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      上年结转资金</w:t>
            </w:r>
          </w:p>
        </w:tc>
        <w:tc>
          <w:tcPr>
            <w:tcW w:w="11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167"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8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w:t>
            </w:r>
          </w:p>
        </w:tc>
        <w:tc>
          <w:tcPr>
            <w:tcW w:w="8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96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w:t>
            </w:r>
          </w:p>
        </w:tc>
      </w:tr>
      <w:tr>
        <w:tblPrEx>
          <w:tblCellMar>
            <w:top w:w="0" w:type="dxa"/>
            <w:left w:w="108" w:type="dxa"/>
            <w:bottom w:w="0" w:type="dxa"/>
            <w:right w:w="108" w:type="dxa"/>
          </w:tblCellMar>
        </w:tblPrEx>
        <w:trPr>
          <w:trHeight w:val="294" w:hRule="exact"/>
          <w:jc w:val="center"/>
        </w:trPr>
        <w:tc>
          <w:tcPr>
            <w:tcW w:w="16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90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  其他资金</w:t>
            </w:r>
          </w:p>
        </w:tc>
        <w:tc>
          <w:tcPr>
            <w:tcW w:w="11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167"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8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w:t>
            </w:r>
          </w:p>
        </w:tc>
        <w:tc>
          <w:tcPr>
            <w:tcW w:w="8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96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w:t>
            </w:r>
          </w:p>
        </w:tc>
      </w:tr>
      <w:tr>
        <w:tblPrEx>
          <w:tblCellMar>
            <w:top w:w="0" w:type="dxa"/>
            <w:left w:w="108" w:type="dxa"/>
            <w:bottom w:w="0" w:type="dxa"/>
            <w:right w:w="108" w:type="dxa"/>
          </w:tblCellMar>
        </w:tblPrEx>
        <w:trPr>
          <w:trHeight w:val="291" w:hRule="exact"/>
          <w:jc w:val="center"/>
        </w:trPr>
        <w:tc>
          <w:tcPr>
            <w:tcW w:w="61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年度总体目标</w:t>
            </w:r>
          </w:p>
        </w:tc>
        <w:tc>
          <w:tcPr>
            <w:tcW w:w="526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预期目标</w:t>
            </w:r>
          </w:p>
        </w:tc>
        <w:tc>
          <w:tcPr>
            <w:tcW w:w="37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实际完成情况</w:t>
            </w:r>
          </w:p>
        </w:tc>
      </w:tr>
      <w:tr>
        <w:tblPrEx>
          <w:tblCellMar>
            <w:top w:w="0" w:type="dxa"/>
            <w:left w:w="108" w:type="dxa"/>
            <w:bottom w:w="0" w:type="dxa"/>
            <w:right w:w="108" w:type="dxa"/>
          </w:tblCellMar>
        </w:tblPrEx>
        <w:trPr>
          <w:trHeight w:val="912" w:hRule="exact"/>
          <w:jc w:val="center"/>
        </w:trPr>
        <w:tc>
          <w:tcPr>
            <w:tcW w:w="61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526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kern w:val="0"/>
                <w:sz w:val="18"/>
                <w:szCs w:val="18"/>
                <w:lang w:val="en-US" w:eastAsia="zh-CN"/>
              </w:rPr>
              <w:t>对全镇民政对象等进行</w:t>
            </w:r>
            <w:r>
              <w:rPr>
                <w:rFonts w:hint="eastAsia" w:ascii="仿宋" w:hAnsi="仿宋" w:eastAsia="仿宋" w:cs="仿宋"/>
                <w:kern w:val="0"/>
                <w:sz w:val="18"/>
                <w:szCs w:val="18"/>
              </w:rPr>
              <w:t>走访</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核查</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针对困难群众开展</w:t>
            </w:r>
            <w:r>
              <w:rPr>
                <w:rFonts w:hint="eastAsia" w:ascii="仿宋" w:hAnsi="仿宋" w:eastAsia="仿宋" w:cs="仿宋"/>
                <w:kern w:val="0"/>
                <w:sz w:val="18"/>
                <w:szCs w:val="18"/>
                <w:lang w:val="en-US" w:eastAsia="zh-CN"/>
              </w:rPr>
              <w:t>8</w:t>
            </w:r>
            <w:r>
              <w:rPr>
                <w:rFonts w:hint="eastAsia" w:ascii="仿宋" w:hAnsi="仿宋" w:eastAsia="仿宋" w:cs="仿宋"/>
                <w:kern w:val="0"/>
                <w:sz w:val="18"/>
                <w:szCs w:val="18"/>
              </w:rPr>
              <w:t>场社区活动，</w:t>
            </w: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节小组活动；开展20个个案帮扶</w:t>
            </w:r>
            <w:r>
              <w:rPr>
                <w:rFonts w:hint="eastAsia" w:ascii="仿宋" w:hAnsi="仿宋" w:eastAsia="仿宋" w:cs="仿宋"/>
                <w:kern w:val="0"/>
                <w:sz w:val="18"/>
                <w:szCs w:val="18"/>
                <w:lang w:eastAsia="zh-CN"/>
              </w:rPr>
              <w:t>；</w:t>
            </w:r>
            <w:r>
              <w:rPr>
                <w:rFonts w:hint="eastAsia" w:ascii="仿宋" w:hAnsi="仿宋" w:eastAsia="仿宋" w:cs="仿宋"/>
                <w:sz w:val="18"/>
                <w:szCs w:val="18"/>
              </w:rPr>
              <w:t>完成227户社会救助对象季度回访、台账录入及台账管理</w:t>
            </w:r>
          </w:p>
        </w:tc>
        <w:tc>
          <w:tcPr>
            <w:tcW w:w="37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eastAsia="zh-CN"/>
              </w:rPr>
              <w:t>截止</w:t>
            </w:r>
            <w:r>
              <w:rPr>
                <w:rFonts w:hint="eastAsia" w:ascii="仿宋" w:hAnsi="仿宋" w:eastAsia="仿宋" w:cs="仿宋"/>
                <w:color w:val="auto"/>
                <w:kern w:val="0"/>
                <w:sz w:val="18"/>
                <w:szCs w:val="18"/>
                <w:lang w:val="en-US" w:eastAsia="zh-CN"/>
              </w:rPr>
              <w:t>2022年度12月31日完成社区活动8场；完成4节小组活动；完成20户个案帮扶，建档录入；完成227户社救对象回访，台账系统录入。</w:t>
            </w:r>
          </w:p>
        </w:tc>
      </w:tr>
      <w:tr>
        <w:tblPrEx>
          <w:tblCellMar>
            <w:top w:w="0" w:type="dxa"/>
            <w:left w:w="108" w:type="dxa"/>
            <w:bottom w:w="0" w:type="dxa"/>
            <w:right w:w="108" w:type="dxa"/>
          </w:tblCellMar>
        </w:tblPrEx>
        <w:trPr>
          <w:trHeight w:val="517" w:hRule="exact"/>
          <w:jc w:val="center"/>
        </w:trPr>
        <w:tc>
          <w:tcPr>
            <w:tcW w:w="610" w:type="dxa"/>
            <w:vMerge w:val="restart"/>
            <w:tcBorders>
              <w:top w:val="nil"/>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绩</w:t>
            </w:r>
            <w:r>
              <w:rPr>
                <w:rFonts w:hint="eastAsia" w:ascii="仿宋" w:hAnsi="仿宋" w:eastAsia="仿宋" w:cs="仿宋"/>
                <w:color w:val="auto"/>
                <w:kern w:val="0"/>
                <w:sz w:val="18"/>
                <w:szCs w:val="18"/>
              </w:rPr>
              <w:br w:type="textWrapping"/>
            </w:r>
            <w:r>
              <w:rPr>
                <w:rFonts w:hint="eastAsia" w:ascii="仿宋" w:hAnsi="仿宋" w:eastAsia="仿宋" w:cs="仿宋"/>
                <w:color w:val="auto"/>
                <w:kern w:val="0"/>
                <w:sz w:val="18"/>
                <w:szCs w:val="18"/>
              </w:rPr>
              <w:t>效</w:t>
            </w:r>
            <w:r>
              <w:rPr>
                <w:rFonts w:hint="eastAsia" w:ascii="仿宋" w:hAnsi="仿宋" w:eastAsia="仿宋" w:cs="仿宋"/>
                <w:color w:val="auto"/>
                <w:kern w:val="0"/>
                <w:sz w:val="18"/>
                <w:szCs w:val="18"/>
              </w:rPr>
              <w:br w:type="textWrapping"/>
            </w:r>
            <w:r>
              <w:rPr>
                <w:rFonts w:hint="eastAsia" w:ascii="仿宋" w:hAnsi="仿宋" w:eastAsia="仿宋" w:cs="仿宋"/>
                <w:color w:val="auto"/>
                <w:kern w:val="0"/>
                <w:sz w:val="18"/>
                <w:szCs w:val="18"/>
              </w:rPr>
              <w:t>指</w:t>
            </w:r>
            <w:r>
              <w:rPr>
                <w:rFonts w:hint="eastAsia" w:ascii="仿宋" w:hAnsi="仿宋" w:eastAsia="仿宋" w:cs="仿宋"/>
                <w:color w:val="auto"/>
                <w:kern w:val="0"/>
                <w:sz w:val="18"/>
                <w:szCs w:val="18"/>
              </w:rPr>
              <w:br w:type="textWrapping"/>
            </w:r>
            <w:r>
              <w:rPr>
                <w:rFonts w:hint="eastAsia" w:ascii="仿宋" w:hAnsi="仿宋" w:eastAsia="仿宋" w:cs="仿宋"/>
                <w:color w:val="auto"/>
                <w:kern w:val="0"/>
                <w:sz w:val="18"/>
                <w:szCs w:val="18"/>
              </w:rPr>
              <w:t>标</w:t>
            </w:r>
          </w:p>
        </w:tc>
        <w:tc>
          <w:tcPr>
            <w:tcW w:w="102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一级指标</w:t>
            </w:r>
          </w:p>
        </w:tc>
        <w:tc>
          <w:tcPr>
            <w:tcW w:w="103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二级指标</w:t>
            </w: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三级指标</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年度</w:t>
            </w:r>
          </w:p>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指标值</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实际</w:t>
            </w:r>
          </w:p>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完成值</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分值</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得分</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偏差原因分析及改进措施</w:t>
            </w:r>
          </w:p>
        </w:tc>
      </w:tr>
      <w:tr>
        <w:tblPrEx>
          <w:tblCellMar>
            <w:top w:w="0" w:type="dxa"/>
            <w:left w:w="108" w:type="dxa"/>
            <w:bottom w:w="0" w:type="dxa"/>
            <w:right w:w="108" w:type="dxa"/>
          </w:tblCellMar>
        </w:tblPrEx>
        <w:trPr>
          <w:trHeight w:val="409"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产出指标</w:t>
            </w:r>
          </w:p>
        </w:tc>
        <w:tc>
          <w:tcPr>
            <w:tcW w:w="1035" w:type="dxa"/>
            <w:vMerge w:val="restart"/>
            <w:tcBorders>
              <w:top w:val="nil"/>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数量指标</w:t>
            </w: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指标1</w:t>
            </w:r>
            <w:r>
              <w:rPr>
                <w:rFonts w:hint="eastAsia" w:ascii="仿宋" w:hAnsi="仿宋" w:eastAsia="仿宋" w:cs="仿宋"/>
                <w:color w:val="auto"/>
                <w:kern w:val="0"/>
                <w:sz w:val="18"/>
                <w:szCs w:val="18"/>
                <w:lang w:eastAsia="zh-CN"/>
              </w:rPr>
              <w:t>：社区居民活动</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8场</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8场</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278"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指标2</w:t>
            </w:r>
            <w:r>
              <w:rPr>
                <w:rFonts w:hint="eastAsia" w:ascii="仿宋" w:hAnsi="仿宋" w:eastAsia="仿宋" w:cs="仿宋"/>
                <w:color w:val="auto"/>
                <w:kern w:val="0"/>
                <w:sz w:val="18"/>
                <w:szCs w:val="18"/>
                <w:lang w:eastAsia="zh-CN"/>
              </w:rPr>
              <w:t>：困难群众小组活动</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4节</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4节</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456"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eastAsia="zh-CN"/>
              </w:rPr>
              <w:t>指标</w:t>
            </w:r>
            <w:r>
              <w:rPr>
                <w:rFonts w:hint="eastAsia" w:ascii="仿宋" w:hAnsi="仿宋" w:eastAsia="仿宋" w:cs="仿宋"/>
                <w:color w:val="auto"/>
                <w:kern w:val="0"/>
                <w:sz w:val="18"/>
                <w:szCs w:val="18"/>
                <w:lang w:val="en-US" w:eastAsia="zh-CN"/>
              </w:rPr>
              <w:t>3：困难群众帮扶个案</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20户</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20户</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481"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eastAsia="zh-CN"/>
              </w:rPr>
              <w:t>指标</w:t>
            </w:r>
            <w:r>
              <w:rPr>
                <w:rFonts w:hint="eastAsia" w:ascii="仿宋" w:hAnsi="仿宋" w:eastAsia="仿宋" w:cs="仿宋"/>
                <w:color w:val="auto"/>
                <w:kern w:val="0"/>
                <w:sz w:val="18"/>
                <w:szCs w:val="18"/>
                <w:lang w:val="en-US" w:eastAsia="zh-CN"/>
              </w:rPr>
              <w:t>4：在册困难群众建立台账，系统录入</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277户</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277户</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461"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指标5：低保、低收入、特困分散人员回访</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277户</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277户</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1690"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质量指标</w:t>
            </w:r>
          </w:p>
        </w:tc>
        <w:tc>
          <w:tcPr>
            <w:tcW w:w="22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指标1：</w:t>
            </w:r>
            <w:r>
              <w:rPr>
                <w:rFonts w:hint="eastAsia" w:ascii="仿宋" w:hAnsi="仿宋" w:eastAsia="仿宋" w:cs="仿宋"/>
                <w:color w:val="auto"/>
                <w:kern w:val="0"/>
                <w:sz w:val="18"/>
                <w:szCs w:val="18"/>
                <w:lang w:eastAsia="zh-CN"/>
              </w:rPr>
              <w:t>社区居民活动</w:t>
            </w:r>
          </w:p>
        </w:tc>
        <w:tc>
          <w:tcPr>
            <w:tcW w:w="9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8</w:t>
            </w:r>
          </w:p>
        </w:tc>
        <w:tc>
          <w:tcPr>
            <w:tcW w:w="9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活动计划书、活动记录完整</w:t>
            </w:r>
          </w:p>
        </w:tc>
        <w:tc>
          <w:tcPr>
            <w:tcW w:w="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5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w:t>
            </w:r>
          </w:p>
        </w:tc>
        <w:tc>
          <w:tcPr>
            <w:tcW w:w="16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社区活动主题和参加群众需求贴合度不够；改进措施：今后开展活动了解群众需求，内容多样化，时间、地点安排合理</w:t>
            </w:r>
          </w:p>
        </w:tc>
      </w:tr>
      <w:tr>
        <w:tblPrEx>
          <w:tblCellMar>
            <w:top w:w="0" w:type="dxa"/>
            <w:left w:w="108" w:type="dxa"/>
            <w:bottom w:w="0" w:type="dxa"/>
            <w:right w:w="108" w:type="dxa"/>
          </w:tblCellMar>
        </w:tblPrEx>
        <w:trPr>
          <w:trHeight w:val="1645"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指标2：</w:t>
            </w:r>
            <w:r>
              <w:rPr>
                <w:rFonts w:hint="eastAsia" w:ascii="仿宋" w:hAnsi="仿宋" w:eastAsia="仿宋" w:cs="仿宋"/>
                <w:color w:val="auto"/>
                <w:kern w:val="0"/>
                <w:sz w:val="18"/>
                <w:szCs w:val="18"/>
                <w:lang w:val="en-US" w:eastAsia="zh-CN"/>
              </w:rPr>
              <w:t>困难群众小组活动</w:t>
            </w:r>
          </w:p>
        </w:tc>
        <w:tc>
          <w:tcPr>
            <w:tcW w:w="9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w:t>
            </w:r>
          </w:p>
        </w:tc>
        <w:tc>
          <w:tcPr>
            <w:tcW w:w="9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小组活动计划书、活动记录完整</w:t>
            </w:r>
          </w:p>
        </w:tc>
        <w:tc>
          <w:tcPr>
            <w:tcW w:w="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5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w:t>
            </w:r>
          </w:p>
        </w:tc>
        <w:tc>
          <w:tcPr>
            <w:tcW w:w="16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小组活动主题和参加群众需求贴合度不够；改进措施：今后开展活动了解群众需求，内容多样化，时间、地点安排合理</w:t>
            </w:r>
          </w:p>
        </w:tc>
      </w:tr>
      <w:tr>
        <w:tblPrEx>
          <w:tblCellMar>
            <w:top w:w="0" w:type="dxa"/>
            <w:left w:w="108" w:type="dxa"/>
            <w:bottom w:w="0" w:type="dxa"/>
            <w:right w:w="108" w:type="dxa"/>
          </w:tblCellMar>
        </w:tblPrEx>
        <w:trPr>
          <w:trHeight w:val="1997"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eastAsia="zh-CN"/>
              </w:rPr>
              <w:t>指标</w:t>
            </w:r>
            <w:r>
              <w:rPr>
                <w:rFonts w:hint="eastAsia" w:ascii="仿宋" w:hAnsi="仿宋" w:eastAsia="仿宋" w:cs="仿宋"/>
                <w:color w:val="auto"/>
                <w:kern w:val="0"/>
                <w:sz w:val="18"/>
                <w:szCs w:val="18"/>
                <w:lang w:val="en-US" w:eastAsia="zh-CN"/>
              </w:rPr>
              <w:t>3：</w:t>
            </w:r>
            <w:r>
              <w:rPr>
                <w:rFonts w:hint="eastAsia" w:ascii="仿宋" w:hAnsi="仿宋" w:eastAsia="仿宋" w:cs="仿宋"/>
                <w:color w:val="auto"/>
                <w:kern w:val="0"/>
                <w:sz w:val="18"/>
                <w:szCs w:val="18"/>
                <w:lang w:eastAsia="zh-CN"/>
              </w:rPr>
              <w:t>困难群众个案帮扶</w:t>
            </w:r>
          </w:p>
        </w:tc>
        <w:tc>
          <w:tcPr>
            <w:tcW w:w="9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20</w:t>
            </w:r>
          </w:p>
        </w:tc>
        <w:tc>
          <w:tcPr>
            <w:tcW w:w="9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20户建档成册</w:t>
            </w:r>
          </w:p>
        </w:tc>
        <w:tc>
          <w:tcPr>
            <w:tcW w:w="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5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w:t>
            </w:r>
          </w:p>
        </w:tc>
        <w:tc>
          <w:tcPr>
            <w:tcW w:w="16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帮扶个帮扶措施需要多样化，因人而异，精准施策；改进措施：深入了解群众需求，制定精准个性化帮扶方案，链接资源，丰富帮扶措施</w:t>
            </w:r>
          </w:p>
        </w:tc>
      </w:tr>
      <w:tr>
        <w:tblPrEx>
          <w:tblCellMar>
            <w:top w:w="0" w:type="dxa"/>
            <w:left w:w="108" w:type="dxa"/>
            <w:bottom w:w="0" w:type="dxa"/>
            <w:right w:w="108" w:type="dxa"/>
          </w:tblCellMar>
        </w:tblPrEx>
        <w:trPr>
          <w:trHeight w:val="1461"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eastAsia="zh-CN"/>
              </w:rPr>
              <w:t>指标</w:t>
            </w:r>
            <w:r>
              <w:rPr>
                <w:rFonts w:hint="eastAsia" w:ascii="仿宋" w:hAnsi="仿宋" w:eastAsia="仿宋" w:cs="仿宋"/>
                <w:color w:val="auto"/>
                <w:kern w:val="0"/>
                <w:sz w:val="18"/>
                <w:szCs w:val="18"/>
                <w:lang w:val="en-US" w:eastAsia="zh-CN"/>
              </w:rPr>
              <w:t>4</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lang w:val="en-US" w:eastAsia="zh-CN"/>
              </w:rPr>
              <w:t>在册困难群众建立台账，系统录入</w:t>
            </w:r>
          </w:p>
        </w:tc>
        <w:tc>
          <w:tcPr>
            <w:tcW w:w="98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277户</w:t>
            </w:r>
          </w:p>
        </w:tc>
        <w:tc>
          <w:tcPr>
            <w:tcW w:w="9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社救对象系统录入完整</w:t>
            </w:r>
          </w:p>
        </w:tc>
        <w:tc>
          <w:tcPr>
            <w:tcW w:w="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sz w:val="18"/>
                <w:szCs w:val="18"/>
                <w:lang w:eastAsia="zh-CN"/>
              </w:rPr>
            </w:pPr>
            <w:r>
              <w:rPr>
                <w:rFonts w:hint="eastAsia" w:ascii="仿宋" w:hAnsi="仿宋" w:eastAsia="仿宋" w:cs="仿宋"/>
                <w:color w:val="auto"/>
                <w:kern w:val="0"/>
                <w:sz w:val="18"/>
                <w:szCs w:val="18"/>
                <w:lang w:eastAsia="zh-CN"/>
              </w:rPr>
              <w:t>社救对象档案内容填写较为简单，不够详细；改进措施：明确档案编写内容，规范填写；丰富记录内容</w:t>
            </w:r>
          </w:p>
        </w:tc>
      </w:tr>
      <w:tr>
        <w:tblPrEx>
          <w:tblCellMar>
            <w:top w:w="0" w:type="dxa"/>
            <w:left w:w="108" w:type="dxa"/>
            <w:bottom w:w="0" w:type="dxa"/>
            <w:right w:w="108" w:type="dxa"/>
          </w:tblCellMar>
        </w:tblPrEx>
        <w:trPr>
          <w:trHeight w:val="510"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指标5：低保、低收入、特困分散人员回访</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277户</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eastAsia="zh-CN"/>
              </w:rPr>
              <w:t>完成</w:t>
            </w:r>
            <w:r>
              <w:rPr>
                <w:rFonts w:hint="eastAsia" w:ascii="仿宋" w:hAnsi="仿宋" w:eastAsia="仿宋" w:cs="仿宋"/>
                <w:color w:val="auto"/>
                <w:kern w:val="0"/>
                <w:sz w:val="18"/>
                <w:szCs w:val="18"/>
                <w:lang w:val="en-US" w:eastAsia="zh-CN"/>
              </w:rPr>
              <w:t>277户回访</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1692" w:type="dxa"/>
            <w:gridSpan w:val="2"/>
            <w:tcBorders>
              <w:top w:val="single" w:color="auto" w:sz="4" w:space="0"/>
              <w:left w:val="nil"/>
              <w:bottom w:val="single" w:color="auto" w:sz="4" w:space="0"/>
              <w:right w:val="single" w:color="auto" w:sz="4" w:space="0"/>
            </w:tcBorders>
            <w:noWrap w:val="0"/>
            <w:vAlign w:val="center"/>
          </w:tcPr>
          <w:p>
            <w:pPr>
              <w:pStyle w:val="3"/>
              <w:jc w:val="left"/>
              <w:rPr>
                <w:rFonts w:hint="eastAsia" w:ascii="仿宋" w:hAnsi="仿宋" w:eastAsia="仿宋" w:cs="仿宋"/>
                <w:sz w:val="18"/>
                <w:szCs w:val="18"/>
                <w:lang w:eastAsia="zh-CN"/>
              </w:rPr>
            </w:pPr>
          </w:p>
        </w:tc>
      </w:tr>
      <w:tr>
        <w:tblPrEx>
          <w:tblCellMar>
            <w:top w:w="0" w:type="dxa"/>
            <w:left w:w="108" w:type="dxa"/>
            <w:bottom w:w="0" w:type="dxa"/>
            <w:right w:w="108" w:type="dxa"/>
          </w:tblCellMar>
        </w:tblPrEx>
        <w:trPr>
          <w:trHeight w:val="680"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restart"/>
            <w:tcBorders>
              <w:top w:val="nil"/>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时效指标</w:t>
            </w: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指标1：</w:t>
            </w:r>
            <w:r>
              <w:rPr>
                <w:rFonts w:hint="eastAsia" w:ascii="仿宋" w:hAnsi="仿宋" w:eastAsia="仿宋" w:cs="仿宋"/>
                <w:color w:val="auto"/>
                <w:kern w:val="0"/>
                <w:sz w:val="18"/>
                <w:szCs w:val="18"/>
                <w:lang w:eastAsia="zh-CN"/>
              </w:rPr>
              <w:t>社区居民活动</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2022年12月28日前完成</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2022年12月28日前完成</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743"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指标2：</w:t>
            </w:r>
            <w:r>
              <w:rPr>
                <w:rFonts w:hint="eastAsia" w:ascii="仿宋" w:hAnsi="仿宋" w:eastAsia="仿宋" w:cs="仿宋"/>
                <w:color w:val="auto"/>
                <w:kern w:val="0"/>
                <w:sz w:val="18"/>
                <w:szCs w:val="18"/>
                <w:lang w:val="en-US" w:eastAsia="zh-CN"/>
              </w:rPr>
              <w:t>困难群众小组活动</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2022年12月28日前完成</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2022年12月28日前完成</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699"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eastAsia="zh-CN"/>
              </w:rPr>
              <w:t>指标</w:t>
            </w:r>
            <w:r>
              <w:rPr>
                <w:rFonts w:hint="eastAsia" w:ascii="仿宋" w:hAnsi="仿宋" w:eastAsia="仿宋" w:cs="仿宋"/>
                <w:color w:val="auto"/>
                <w:kern w:val="0"/>
                <w:sz w:val="18"/>
                <w:szCs w:val="18"/>
                <w:lang w:val="en-US" w:eastAsia="zh-CN"/>
              </w:rPr>
              <w:t>3：</w:t>
            </w:r>
            <w:r>
              <w:rPr>
                <w:rFonts w:hint="eastAsia" w:ascii="仿宋" w:hAnsi="仿宋" w:eastAsia="仿宋" w:cs="仿宋"/>
                <w:color w:val="auto"/>
                <w:kern w:val="0"/>
                <w:sz w:val="18"/>
                <w:szCs w:val="18"/>
                <w:lang w:eastAsia="zh-CN"/>
              </w:rPr>
              <w:t>困难群众个案帮扶</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2022年12月28日前完成</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2022年12月28日前完成</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706"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eastAsia="zh-CN"/>
              </w:rPr>
              <w:t>指标</w:t>
            </w:r>
            <w:r>
              <w:rPr>
                <w:rFonts w:hint="eastAsia" w:ascii="仿宋" w:hAnsi="仿宋" w:eastAsia="仿宋" w:cs="仿宋"/>
                <w:color w:val="auto"/>
                <w:kern w:val="0"/>
                <w:sz w:val="18"/>
                <w:szCs w:val="18"/>
                <w:lang w:val="en-US" w:eastAsia="zh-CN"/>
              </w:rPr>
              <w:t>4：在册困难群众建立台账，系统录入</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2022年12月28日前完成</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2022年12月28日前完成</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775"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eastAsia="zh-CN"/>
              </w:rPr>
              <w:t>指标</w:t>
            </w:r>
            <w:r>
              <w:rPr>
                <w:rFonts w:hint="eastAsia" w:ascii="仿宋" w:hAnsi="仿宋" w:eastAsia="仿宋" w:cs="仿宋"/>
                <w:color w:val="auto"/>
                <w:kern w:val="0"/>
                <w:sz w:val="18"/>
                <w:szCs w:val="18"/>
                <w:lang w:val="en-US" w:eastAsia="zh-CN"/>
              </w:rPr>
              <w:t>:5低保、低收入、特困分散人员回访</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rPr>
              <w:t>2022年12月28日前完成</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2022年12月28日前完成</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387"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restart"/>
            <w:tcBorders>
              <w:top w:val="nil"/>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成本指标</w:t>
            </w: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指标1：</w:t>
            </w:r>
            <w:r>
              <w:rPr>
                <w:rFonts w:hint="eastAsia" w:ascii="仿宋" w:hAnsi="仿宋" w:eastAsia="仿宋" w:cs="仿宋"/>
                <w:color w:val="auto"/>
                <w:kern w:val="0"/>
                <w:sz w:val="18"/>
                <w:szCs w:val="18"/>
                <w:lang w:eastAsia="zh-CN"/>
              </w:rPr>
              <w:t>社区居民活动</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rPr>
              <w:t>8000元</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8000元</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503"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eastAsia="zh-CN"/>
              </w:rPr>
              <w:t>指标</w:t>
            </w:r>
            <w:r>
              <w:rPr>
                <w:rFonts w:hint="eastAsia" w:ascii="仿宋" w:hAnsi="仿宋" w:eastAsia="仿宋" w:cs="仿宋"/>
                <w:color w:val="auto"/>
                <w:kern w:val="0"/>
                <w:sz w:val="18"/>
                <w:szCs w:val="18"/>
                <w:lang w:val="en-US" w:eastAsia="zh-CN"/>
              </w:rPr>
              <w:t>2：困难</w:t>
            </w:r>
            <w:r>
              <w:rPr>
                <w:rFonts w:hint="eastAsia" w:ascii="仿宋" w:hAnsi="仿宋" w:eastAsia="仿宋" w:cs="仿宋"/>
                <w:color w:val="auto"/>
                <w:kern w:val="0"/>
                <w:sz w:val="18"/>
                <w:szCs w:val="18"/>
                <w:lang w:eastAsia="zh-CN"/>
              </w:rPr>
              <w:t>群众小组活动</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6000元</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6000元</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442"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eastAsia="zh-CN"/>
              </w:rPr>
              <w:t>指标</w:t>
            </w:r>
            <w:r>
              <w:rPr>
                <w:rFonts w:hint="eastAsia" w:ascii="仿宋" w:hAnsi="仿宋" w:eastAsia="仿宋" w:cs="仿宋"/>
                <w:color w:val="auto"/>
                <w:kern w:val="0"/>
                <w:sz w:val="18"/>
                <w:szCs w:val="18"/>
                <w:lang w:val="en-US" w:eastAsia="zh-CN"/>
              </w:rPr>
              <w:t>3：</w:t>
            </w:r>
            <w:r>
              <w:rPr>
                <w:rFonts w:hint="eastAsia" w:ascii="仿宋" w:hAnsi="仿宋" w:eastAsia="仿宋" w:cs="仿宋"/>
                <w:color w:val="auto"/>
                <w:kern w:val="0"/>
                <w:sz w:val="18"/>
                <w:szCs w:val="18"/>
                <w:lang w:eastAsia="zh-CN"/>
              </w:rPr>
              <w:t>困难群众个案帮扶</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76000元</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76000元</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496"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bidi="ar-SA"/>
              </w:rPr>
            </w:pPr>
          </w:p>
        </w:tc>
        <w:tc>
          <w:tcPr>
            <w:tcW w:w="1035"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eastAsia="zh-CN"/>
              </w:rPr>
              <w:t>指标</w:t>
            </w:r>
            <w:r>
              <w:rPr>
                <w:rFonts w:hint="eastAsia" w:ascii="仿宋" w:hAnsi="仿宋" w:eastAsia="仿宋" w:cs="仿宋"/>
                <w:color w:val="auto"/>
                <w:kern w:val="0"/>
                <w:sz w:val="18"/>
                <w:szCs w:val="18"/>
                <w:lang w:val="en-US" w:eastAsia="zh-CN"/>
              </w:rPr>
              <w:t>4：</w:t>
            </w:r>
            <w:r>
              <w:rPr>
                <w:rFonts w:hint="eastAsia" w:ascii="仿宋" w:hAnsi="仿宋" w:eastAsia="仿宋" w:cs="仿宋"/>
                <w:color w:val="auto"/>
                <w:kern w:val="0"/>
                <w:sz w:val="18"/>
                <w:szCs w:val="18"/>
                <w:lang w:eastAsia="zh-CN"/>
              </w:rPr>
              <w:t>社救对象建档系统录入</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53523元</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53523元</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536"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eastAsia="zh-CN"/>
              </w:rPr>
              <w:t>指标</w:t>
            </w:r>
            <w:r>
              <w:rPr>
                <w:rFonts w:hint="eastAsia" w:ascii="仿宋" w:hAnsi="仿宋" w:eastAsia="仿宋" w:cs="仿宋"/>
                <w:color w:val="auto"/>
                <w:kern w:val="0"/>
                <w:sz w:val="18"/>
                <w:szCs w:val="18"/>
                <w:lang w:val="en-US" w:eastAsia="zh-CN"/>
              </w:rPr>
              <w:t>5：低保、低收入、特困分散人员回访</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113020元</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113020元</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291"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效益指标</w:t>
            </w:r>
          </w:p>
        </w:tc>
        <w:tc>
          <w:tcPr>
            <w:tcW w:w="103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经济效益</w:t>
            </w:r>
          </w:p>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指标</w:t>
            </w: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指标1：</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291"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指标2：</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4278"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社会效益</w:t>
            </w:r>
          </w:p>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指标</w:t>
            </w:r>
          </w:p>
        </w:tc>
        <w:tc>
          <w:tcPr>
            <w:tcW w:w="22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指标1：</w:t>
            </w:r>
            <w:r>
              <w:rPr>
                <w:rFonts w:hint="eastAsia" w:ascii="仿宋" w:hAnsi="仿宋" w:eastAsia="仿宋" w:cs="仿宋"/>
                <w:color w:val="auto"/>
                <w:kern w:val="0"/>
                <w:sz w:val="18"/>
                <w:szCs w:val="18"/>
                <w:lang w:val="en-US" w:eastAsia="zh-CN"/>
              </w:rPr>
              <w:t>2022年度永乐店镇人民政府困难群众精准帮扶服务项目</w:t>
            </w:r>
          </w:p>
        </w:tc>
        <w:tc>
          <w:tcPr>
            <w:tcW w:w="9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eastAsia="zh-CN"/>
              </w:rPr>
              <w:t>摸清在册困难群众底数，为完善社会救助政策提供依据，助力困难群众度过当下困境，提升获得感，幸福感，提升社会救助满意率，实现弱有所扶，兜底保障</w:t>
            </w:r>
          </w:p>
        </w:tc>
        <w:tc>
          <w:tcPr>
            <w:tcW w:w="9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摸清在册困难群众底数，为完善社会救助政策提供依据，助力困难群众度过当下困境，提升获得感，幸福感，提升社会救助满意率，实现弱有所扶，兜底保障</w:t>
            </w:r>
          </w:p>
        </w:tc>
        <w:tc>
          <w:tcPr>
            <w:tcW w:w="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30</w:t>
            </w:r>
          </w:p>
        </w:tc>
        <w:tc>
          <w:tcPr>
            <w:tcW w:w="5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21</w:t>
            </w:r>
          </w:p>
        </w:tc>
        <w:tc>
          <w:tcPr>
            <w:tcW w:w="16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精准帮扶工作内容针对性和可持续性需要加强；改进措施：对标不同类型弱势群体组织针对性强的丰富活动。建立跟踪反馈机制，定期回访，保障可持续性</w:t>
            </w:r>
          </w:p>
        </w:tc>
      </w:tr>
      <w:tr>
        <w:tblPrEx>
          <w:tblCellMar>
            <w:top w:w="0" w:type="dxa"/>
            <w:left w:w="108" w:type="dxa"/>
            <w:bottom w:w="0" w:type="dxa"/>
            <w:right w:w="108" w:type="dxa"/>
          </w:tblCellMar>
        </w:tblPrEx>
        <w:trPr>
          <w:trHeight w:val="456"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生态效益</w:t>
            </w:r>
          </w:p>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指标</w:t>
            </w: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指标1：</w:t>
            </w:r>
          </w:p>
        </w:tc>
        <w:tc>
          <w:tcPr>
            <w:tcW w:w="98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9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476" w:hRule="exact"/>
          <w:jc w:val="center"/>
        </w:trPr>
        <w:tc>
          <w:tcPr>
            <w:tcW w:w="610" w:type="dxa"/>
            <w:vMerge w:val="continue"/>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可持续影响指标</w:t>
            </w: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指标1：</w:t>
            </w:r>
          </w:p>
        </w:tc>
        <w:tc>
          <w:tcPr>
            <w:tcW w:w="98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9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291"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满意度</w:t>
            </w:r>
          </w:p>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指标</w:t>
            </w:r>
          </w:p>
        </w:tc>
        <w:tc>
          <w:tcPr>
            <w:tcW w:w="1035"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服务对象满意度指标</w:t>
            </w: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社区活动满意度</w:t>
            </w:r>
          </w:p>
        </w:tc>
        <w:tc>
          <w:tcPr>
            <w:tcW w:w="98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社区活动</w:t>
            </w:r>
          </w:p>
        </w:tc>
        <w:tc>
          <w:tcPr>
            <w:tcW w:w="9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90%</w:t>
            </w:r>
          </w:p>
        </w:tc>
        <w:tc>
          <w:tcPr>
            <w:tcW w:w="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w:t>
            </w:r>
          </w:p>
        </w:tc>
        <w:tc>
          <w:tcPr>
            <w:tcW w:w="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291" w:hRule="exact"/>
          <w:jc w:val="center"/>
        </w:trPr>
        <w:tc>
          <w:tcPr>
            <w:tcW w:w="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小组活动满意度</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小组活动</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90%</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291" w:hRule="exact"/>
          <w:jc w:val="center"/>
        </w:trPr>
        <w:tc>
          <w:tcPr>
            <w:tcW w:w="61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eastAsia="zh-CN"/>
              </w:rPr>
              <w:t>个案满意度</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个案</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90%</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731" w:hRule="exact"/>
          <w:jc w:val="center"/>
        </w:trPr>
        <w:tc>
          <w:tcPr>
            <w:tcW w:w="610" w:type="dxa"/>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eastAsia="zh-CN"/>
              </w:rPr>
              <w:t>社救对象建档系统录入满意度</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社救对象建档系统录入</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100%</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933" w:hRule="exact"/>
          <w:jc w:val="center"/>
        </w:trPr>
        <w:tc>
          <w:tcPr>
            <w:tcW w:w="610" w:type="dxa"/>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23" w:type="dxa"/>
            <w:gridSpan w:val="2"/>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1035" w:type="dxa"/>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c>
          <w:tcPr>
            <w:tcW w:w="222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低保、低收入、特困分散人员回访</w:t>
            </w:r>
            <w:r>
              <w:rPr>
                <w:rFonts w:hint="eastAsia" w:ascii="仿宋" w:hAnsi="仿宋" w:eastAsia="仿宋" w:cs="仿宋"/>
                <w:color w:val="auto"/>
                <w:kern w:val="0"/>
                <w:sz w:val="18"/>
                <w:szCs w:val="18"/>
                <w:lang w:eastAsia="zh-CN"/>
              </w:rPr>
              <w:t>满意度</w:t>
            </w:r>
          </w:p>
        </w:tc>
        <w:tc>
          <w:tcPr>
            <w:tcW w:w="9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低保、低收入、特困分散人员回访</w:t>
            </w:r>
          </w:p>
        </w:tc>
        <w:tc>
          <w:tcPr>
            <w:tcW w:w="99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100%</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r>
        <w:tblPrEx>
          <w:tblCellMar>
            <w:top w:w="0" w:type="dxa"/>
            <w:left w:w="108" w:type="dxa"/>
            <w:bottom w:w="0" w:type="dxa"/>
            <w:right w:w="108" w:type="dxa"/>
          </w:tblCellMar>
        </w:tblPrEx>
        <w:trPr>
          <w:trHeight w:val="426" w:hRule="exact"/>
          <w:jc w:val="center"/>
        </w:trPr>
        <w:tc>
          <w:tcPr>
            <w:tcW w:w="6874"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总分</w:t>
            </w:r>
          </w:p>
        </w:tc>
        <w:tc>
          <w:tcPr>
            <w:tcW w:w="56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w:t>
            </w:r>
          </w:p>
        </w:tc>
        <w:tc>
          <w:tcPr>
            <w:tcW w:w="5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89</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auto"/>
                <w:kern w:val="0"/>
                <w:sz w:val="18"/>
                <w:szCs w:val="18"/>
              </w:rPr>
            </w:pPr>
          </w:p>
        </w:tc>
      </w:tr>
    </w:tbl>
    <w:p>
      <w:pPr>
        <w:keepNext w:val="0"/>
        <w:keepLines w:val="0"/>
        <w:pageBreakBefore w:val="0"/>
        <w:kinsoku/>
        <w:wordWrap/>
        <w:overflowPunct/>
        <w:topLinePunct w:val="0"/>
        <w:autoSpaceDE/>
        <w:autoSpaceDN/>
        <w:bidi w:val="0"/>
        <w:adjustRightInd/>
        <w:snapToGrid/>
        <w:spacing w:line="520" w:lineRule="exact"/>
        <w:jc w:val="both"/>
        <w:rPr>
          <w:rFonts w:hint="eastAsia" w:ascii="仿宋" w:hAnsi="仿宋" w:eastAsia="仿宋" w:cs="仿宋"/>
          <w:sz w:val="18"/>
          <w:szCs w:val="18"/>
        </w:rPr>
      </w:pPr>
    </w:p>
    <w:p/>
    <w:p>
      <w:pPr>
        <w:pStyle w:val="2"/>
      </w:pPr>
    </w:p>
    <w:p/>
    <w:p>
      <w:pPr>
        <w:pStyle w:val="2"/>
        <w:ind w:firstLine="560"/>
      </w:pPr>
    </w:p>
    <w:p/>
    <w:p>
      <w:pPr>
        <w:pStyle w:val="2"/>
      </w:pPr>
    </w:p>
    <w:p/>
    <w:sectPr>
      <w:footerReference r:id="rId10" w:type="default"/>
      <w:footerReference r:id="rId11" w:type="even"/>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hint="default" w:ascii="Times New Roman" w:hAnsi="Times New Roman" w:eastAsia="宋体" w:cs="Times New Roman"/>
        <w:sz w:val="15"/>
        <w:szCs w:val="15"/>
        <w:lang w:val="en-US" w:eastAsia="zh-CN"/>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3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83B47"/>
    <w:multiLevelType w:val="singleLevel"/>
    <w:tmpl w:val="C1F83B47"/>
    <w:lvl w:ilvl="0" w:tentative="0">
      <w:start w:val="3"/>
      <w:numFmt w:val="chineseCounting"/>
      <w:suff w:val="nothing"/>
      <w:lvlText w:val="（%1）"/>
      <w:lvlJc w:val="left"/>
      <w:rPr>
        <w:rFonts w:hint="eastAsia"/>
      </w:rPr>
    </w:lvl>
  </w:abstractNum>
  <w:abstractNum w:abstractNumId="1">
    <w:nsid w:val="28E0D2E8"/>
    <w:multiLevelType w:val="singleLevel"/>
    <w:tmpl w:val="28E0D2E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DBmMGRjNTVjODkwYzk1OGRkMjg1YjVkYzMwMDE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3E4"/>
    <w:rsid w:val="002F17C2"/>
    <w:rsid w:val="002F32EE"/>
    <w:rsid w:val="002F364A"/>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3F63F2"/>
    <w:rsid w:val="00401087"/>
    <w:rsid w:val="00402E26"/>
    <w:rsid w:val="00405701"/>
    <w:rsid w:val="004110BC"/>
    <w:rsid w:val="0041271F"/>
    <w:rsid w:val="00412B14"/>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0955"/>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1F9E"/>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71B"/>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5B30"/>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1FBB"/>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5778"/>
    <w:rsid w:val="00E560CE"/>
    <w:rsid w:val="00E5674E"/>
    <w:rsid w:val="00E63783"/>
    <w:rsid w:val="00E650E2"/>
    <w:rsid w:val="00E75CAD"/>
    <w:rsid w:val="00E76922"/>
    <w:rsid w:val="00E8595B"/>
    <w:rsid w:val="00E87CE7"/>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8EA"/>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79004AC"/>
    <w:rsid w:val="0F8E2C57"/>
    <w:rsid w:val="1059665E"/>
    <w:rsid w:val="10AC13BA"/>
    <w:rsid w:val="1AEC0734"/>
    <w:rsid w:val="1DEF20B0"/>
    <w:rsid w:val="1FBB0FEC"/>
    <w:rsid w:val="214243FA"/>
    <w:rsid w:val="2389655D"/>
    <w:rsid w:val="24D35F8A"/>
    <w:rsid w:val="257A14F5"/>
    <w:rsid w:val="27196C26"/>
    <w:rsid w:val="29EF086F"/>
    <w:rsid w:val="2EDE3706"/>
    <w:rsid w:val="2EFFE297"/>
    <w:rsid w:val="301437CA"/>
    <w:rsid w:val="30616863"/>
    <w:rsid w:val="33046657"/>
    <w:rsid w:val="3F4D340A"/>
    <w:rsid w:val="405A70B6"/>
    <w:rsid w:val="433E495C"/>
    <w:rsid w:val="4AC27CB3"/>
    <w:rsid w:val="4BF72BEF"/>
    <w:rsid w:val="4FF87E0D"/>
    <w:rsid w:val="50774D73"/>
    <w:rsid w:val="51DB3C59"/>
    <w:rsid w:val="55762E42"/>
    <w:rsid w:val="57A7B272"/>
    <w:rsid w:val="58470068"/>
    <w:rsid w:val="5A1720F9"/>
    <w:rsid w:val="5B9C37C2"/>
    <w:rsid w:val="5BA7C654"/>
    <w:rsid w:val="5D4B4604"/>
    <w:rsid w:val="64C0607C"/>
    <w:rsid w:val="676F09E1"/>
    <w:rsid w:val="701B08E6"/>
    <w:rsid w:val="71FC55C2"/>
    <w:rsid w:val="762C427A"/>
    <w:rsid w:val="76DC35C3"/>
    <w:rsid w:val="7A7F1C49"/>
    <w:rsid w:val="7B19611C"/>
    <w:rsid w:val="7B5B7AE6"/>
    <w:rsid w:val="7BA7071E"/>
    <w:rsid w:val="7BDF6DA8"/>
    <w:rsid w:val="7C7EDC1A"/>
    <w:rsid w:val="7CCED98D"/>
    <w:rsid w:val="7D08410F"/>
    <w:rsid w:val="7DB96DED"/>
    <w:rsid w:val="7DD3AD8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paragraph" w:customStyle="1" w:styleId="15">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6">
    <w:name w:val="页脚 字符"/>
    <w:link w:val="8"/>
    <w:qFormat/>
    <w:uiPriority w:val="0"/>
    <w:rPr>
      <w:rFonts w:eastAsia="宋体"/>
      <w:kern w:val="2"/>
      <w:sz w:val="18"/>
      <w:szCs w:val="18"/>
      <w:lang w:val="en-US" w:eastAsia="zh-CN" w:bidi="ar-SA"/>
    </w:rPr>
  </w:style>
  <w:style w:type="character" w:customStyle="1" w:styleId="17">
    <w:name w:val="页眉 字符"/>
    <w:link w:val="9"/>
    <w:qFormat/>
    <w:uiPriority w:val="0"/>
    <w:rPr>
      <w:rFonts w:ascii="Calibri" w:hAnsi="Calibri" w:eastAsia="宋体"/>
      <w:kern w:val="2"/>
      <w:sz w:val="18"/>
      <w:szCs w:val="18"/>
      <w:lang w:val="en-US" w:eastAsia="zh-CN" w:bidi="ar-SA"/>
    </w:rPr>
  </w:style>
  <w:style w:type="paragraph" w:customStyle="1" w:styleId="18">
    <w:name w:val="Char Char Char Char Char Char Char"/>
    <w:basedOn w:val="1"/>
    <w:qFormat/>
    <w:uiPriority w:val="0"/>
    <w:rPr>
      <w:rFonts w:ascii="Tahoma" w:hAnsi="Tahoma"/>
      <w:sz w:val="24"/>
      <w:szCs w:val="20"/>
    </w:rPr>
  </w:style>
  <w:style w:type="paragraph" w:customStyle="1" w:styleId="19">
    <w:name w:val="Char1 Char Char Char"/>
    <w:basedOn w:val="1"/>
    <w:qFormat/>
    <w:uiPriority w:val="0"/>
    <w:pPr>
      <w:widowControl/>
      <w:spacing w:after="160" w:line="240" w:lineRule="exact"/>
      <w:jc w:val="left"/>
    </w:pPr>
    <w:rPr>
      <w:szCs w:val="20"/>
    </w:rPr>
  </w:style>
  <w:style w:type="paragraph" w:customStyle="1" w:styleId="20">
    <w:name w:val="Char"/>
    <w:basedOn w:val="1"/>
    <w:qFormat/>
    <w:uiPriority w:val="0"/>
    <w:rPr>
      <w:rFonts w:ascii="Tahoma" w:hAnsi="Tahoma"/>
      <w:sz w:val="24"/>
      <w:szCs w:val="20"/>
    </w:rPr>
  </w:style>
  <w:style w:type="paragraph" w:customStyle="1" w:styleId="21">
    <w:name w:val="Char Char3 Char Char"/>
    <w:basedOn w:val="1"/>
    <w:qFormat/>
    <w:uiPriority w:val="0"/>
    <w:rPr>
      <w:szCs w:val="21"/>
    </w:rPr>
  </w:style>
  <w:style w:type="paragraph" w:customStyle="1" w:styleId="22">
    <w:name w:val="普通(网站) Char"/>
    <w:basedOn w:val="1"/>
    <w:qFormat/>
    <w:uiPriority w:val="0"/>
    <w:pPr>
      <w:spacing w:beforeAutospacing="1" w:afterAutospacing="1"/>
      <w:jc w:val="left"/>
    </w:pPr>
    <w:rPr>
      <w:rFonts w:hint="eastAsia" w:ascii="宋体" w:hAnsi="宋体"/>
      <w:kern w:val="0"/>
      <w:sz w:val="24"/>
    </w:rPr>
  </w:style>
  <w:style w:type="paragraph" w:customStyle="1" w:styleId="23">
    <w:name w:val="Table Text"/>
    <w:basedOn w:val="1"/>
    <w:semiHidden/>
    <w:qFormat/>
    <w:uiPriority w:val="0"/>
    <w:rPr>
      <w:rFonts w:ascii="Arial" w:hAnsi="Arial" w:eastAsia="Arial" w:cs="Arial"/>
      <w:sz w:val="21"/>
      <w:szCs w:val="21"/>
      <w:lang w:val="en-US" w:eastAsia="en-US" w:bidi="ar-SA"/>
    </w:rPr>
  </w:style>
  <w:style w:type="table" w:customStyle="1" w:styleId="2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收入决算</c:v>
                </c:pt>
              </c:strCache>
            </c:strRef>
          </c:tx>
          <c:explosion val="0"/>
          <c:dPt>
            <c:idx val="0"/>
            <c:bubble3D val="0"/>
          </c:dPt>
          <c:dPt>
            <c:idx val="1"/>
            <c:bubble3D val="0"/>
          </c:dPt>
          <c:dPt>
            <c:idx val="2"/>
            <c:bubble3D val="0"/>
          </c:dPt>
          <c:dPt>
            <c:idx val="3"/>
            <c:bubble3D val="0"/>
          </c:dPt>
          <c:dPt>
            <c:idx val="4"/>
            <c:bubble3D val="0"/>
          </c:dPt>
          <c:dPt>
            <c:idx val="5"/>
            <c:bubble3D val="0"/>
          </c:dPt>
          <c:dLbls>
            <c:delete val="1"/>
          </c:dLbls>
          <c:cat>
            <c:strRef>
              <c:f>Sheet1!$A$2:$A$7</c:f>
              <c:strCache>
                <c:ptCount val="6"/>
                <c:pt idx="0">
                  <c:v>财政拨款收入</c:v>
                </c:pt>
                <c:pt idx="1">
                  <c:v>上级补助收入</c:v>
                </c:pt>
                <c:pt idx="2">
                  <c:v>事业收入</c:v>
                </c:pt>
                <c:pt idx="3">
                  <c:v>经营收入</c:v>
                </c:pt>
                <c:pt idx="4">
                  <c:v>附属单位收入</c:v>
                </c:pt>
                <c:pt idx="5">
                  <c:v>其他收入</c:v>
                </c:pt>
              </c:strCache>
            </c:strRef>
          </c:cat>
          <c:val>
            <c:numRef>
              <c:f>Sheet1!$B$2:$B$7</c:f>
              <c:numCache>
                <c:formatCode>General</c:formatCode>
                <c:ptCount val="6"/>
                <c:pt idx="0">
                  <c:v>1</c:v>
                </c:pt>
                <c:pt idx="1">
                  <c:v>0</c:v>
                </c:pt>
                <c:pt idx="2">
                  <c:v>0</c:v>
                </c:pt>
                <c:pt idx="3">
                  <c:v>0</c:v>
                </c:pt>
                <c:pt idx="4">
                  <c:v>0</c:v>
                </c:pt>
                <c:pt idx="5">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20011</Words>
  <Characters>23023</Characters>
  <Lines>78</Lines>
  <Paragraphs>22</Paragraphs>
  <TotalTime>2</TotalTime>
  <ScaleCrop>false</ScaleCrop>
  <LinksUpToDate>false</LinksUpToDate>
  <CharactersWithSpaces>23233</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Administrator</cp:lastModifiedBy>
  <cp:lastPrinted>2020-08-07T11:39:00Z</cp:lastPrinted>
  <dcterms:modified xsi:type="dcterms:W3CDTF">2025-03-28T07:27:14Z</dcterms:modified>
  <dc:title>北京市财政局关于做好向市人大常委会报送2015年度市级部门决算（草案）</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77E11A6DF496452F99E3E8BFEDA10003_13</vt:lpwstr>
  </property>
  <property fmtid="{D5CDD505-2E9C-101B-9397-08002B2CF9AE}" pid="4" name="KSOTemplateDocerSaveRecord">
    <vt:lpwstr>eyJoZGlkIjoiYmM2NDBmMGRjNTVjODkwYzk1OGRkMjg1YjVkYzMwMDEiLCJ1c2VySWQiOiI5OTA5NTIwNjcifQ==</vt:lpwstr>
  </property>
</Properties>
</file>