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69FB4">
      <w:pPr>
        <w:jc w:val="center"/>
        <w:rPr>
          <w:rFonts w:ascii="仿宋_GB2312" w:eastAsia="仿宋_GB2312"/>
          <w:b/>
          <w:sz w:val="32"/>
          <w:szCs w:val="32"/>
        </w:rPr>
      </w:pPr>
    </w:p>
    <w:p w14:paraId="38ECD951">
      <w:pPr>
        <w:jc w:val="center"/>
        <w:rPr>
          <w:rFonts w:ascii="黑体" w:eastAsia="黑体"/>
          <w:sz w:val="72"/>
          <w:szCs w:val="72"/>
        </w:rPr>
      </w:pPr>
    </w:p>
    <w:p w14:paraId="3929BD10">
      <w:pPr>
        <w:jc w:val="center"/>
        <w:rPr>
          <w:rFonts w:ascii="黑体" w:eastAsia="黑体"/>
          <w:sz w:val="72"/>
          <w:szCs w:val="72"/>
        </w:rPr>
      </w:pPr>
    </w:p>
    <w:p w14:paraId="610AAA89">
      <w:pPr>
        <w:jc w:val="center"/>
        <w:rPr>
          <w:rFonts w:ascii="黑体" w:eastAsia="黑体"/>
          <w:sz w:val="72"/>
          <w:szCs w:val="72"/>
        </w:rPr>
      </w:pPr>
    </w:p>
    <w:p w14:paraId="21025E57">
      <w:pPr>
        <w:jc w:val="center"/>
        <w:rPr>
          <w:rFonts w:ascii="黑体" w:eastAsia="黑体"/>
          <w:sz w:val="72"/>
          <w:szCs w:val="72"/>
        </w:rPr>
      </w:pPr>
    </w:p>
    <w:p w14:paraId="6F65ACFF">
      <w:pPr>
        <w:jc w:val="center"/>
        <w:rPr>
          <w:rFonts w:ascii="黑体" w:eastAsia="黑体"/>
          <w:sz w:val="72"/>
          <w:szCs w:val="72"/>
        </w:rPr>
      </w:pPr>
      <w:r>
        <w:rPr>
          <w:rFonts w:hint="eastAsia" w:ascii="黑体" w:eastAsia="黑体"/>
          <w:sz w:val="72"/>
          <w:szCs w:val="72"/>
        </w:rPr>
        <w:t>2023年度部门决算（草案</w:t>
      </w:r>
      <w:r>
        <w:rPr>
          <w:rFonts w:ascii="黑体" w:eastAsia="黑体"/>
          <w:sz w:val="72"/>
          <w:szCs w:val="72"/>
        </w:rPr>
        <w:t>）</w:t>
      </w:r>
    </w:p>
    <w:p w14:paraId="76645BB0">
      <w:pPr>
        <w:jc w:val="center"/>
        <w:rPr>
          <w:rFonts w:ascii="黑体" w:eastAsia="黑体"/>
          <w:sz w:val="52"/>
          <w:szCs w:val="52"/>
        </w:rPr>
      </w:pPr>
    </w:p>
    <w:p w14:paraId="50F987FF">
      <w:pPr>
        <w:jc w:val="center"/>
        <w:rPr>
          <w:rFonts w:ascii="黑体" w:eastAsia="黑体"/>
          <w:sz w:val="52"/>
          <w:szCs w:val="52"/>
        </w:rPr>
      </w:pPr>
    </w:p>
    <w:p w14:paraId="027B3E05">
      <w:pPr>
        <w:jc w:val="center"/>
        <w:rPr>
          <w:rFonts w:ascii="黑体" w:eastAsia="黑体"/>
          <w:sz w:val="52"/>
          <w:szCs w:val="52"/>
        </w:rPr>
      </w:pPr>
    </w:p>
    <w:p w14:paraId="48FCA9AD">
      <w:pPr>
        <w:jc w:val="center"/>
        <w:rPr>
          <w:rFonts w:ascii="黑体" w:eastAsia="黑体"/>
          <w:sz w:val="52"/>
          <w:szCs w:val="52"/>
        </w:rPr>
      </w:pPr>
    </w:p>
    <w:p w14:paraId="6DC94B7A">
      <w:pPr>
        <w:jc w:val="center"/>
        <w:rPr>
          <w:rFonts w:ascii="黑体" w:eastAsia="黑体"/>
          <w:sz w:val="32"/>
          <w:szCs w:val="32"/>
        </w:rPr>
      </w:pPr>
    </w:p>
    <w:p w14:paraId="4C6ABB55">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14:paraId="4F0D45E7">
      <w:pPr>
        <w:spacing w:line="500" w:lineRule="exact"/>
        <w:ind w:firstLine="645"/>
        <w:jc w:val="center"/>
        <w:rPr>
          <w:rFonts w:ascii="宋体" w:hAnsi="宋体" w:cs="宋体"/>
          <w:b/>
          <w:bCs/>
          <w:kern w:val="0"/>
          <w:sz w:val="36"/>
          <w:szCs w:val="36"/>
        </w:rPr>
      </w:pPr>
    </w:p>
    <w:p w14:paraId="4627E1A0">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2023年度部门决算报表</w:t>
      </w:r>
    </w:p>
    <w:p w14:paraId="7176A768">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466CF3DC">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63760573">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4C95B295">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6E6C3EB9">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14:paraId="3CA2204F">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14:paraId="43283B32">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14:paraId="10E3FB8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36CAB2CF">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53591CF5">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14:paraId="3687324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14:paraId="0CFB229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14:paraId="6270A6C7">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14:paraId="4290A51A">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2023年度部门决算说明</w:t>
      </w:r>
    </w:p>
    <w:p w14:paraId="3E675088">
      <w:pPr>
        <w:tabs>
          <w:tab w:val="center" w:pos="6979"/>
        </w:tabs>
        <w:spacing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2023年度</w:t>
      </w:r>
      <w:r>
        <w:rPr>
          <w:rFonts w:hint="eastAsia" w:ascii="宋体" w:hAnsi="宋体" w:cs="宋体"/>
          <w:spacing w:val="40"/>
          <w:kern w:val="0"/>
          <w:sz w:val="32"/>
          <w:szCs w:val="32"/>
        </w:rPr>
        <w:t>其他重要事项的情况说明</w:t>
      </w:r>
    </w:p>
    <w:p w14:paraId="4D64E52A">
      <w:pPr>
        <w:tabs>
          <w:tab w:val="center" w:pos="6979"/>
        </w:tabs>
        <w:spacing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第四部分 2023年度部门绩效评价情况</w:t>
      </w:r>
    </w:p>
    <w:p w14:paraId="01D7D5E3">
      <w:pPr>
        <w:tabs>
          <w:tab w:val="center" w:pos="6979"/>
        </w:tabs>
        <w:spacing w:before="156" w:beforeLines="50" w:after="156" w:afterLines="50"/>
        <w:jc w:val="center"/>
        <w:rPr>
          <w:rFonts w:ascii="宋体" w:hAnsi="宋体" w:cs="宋体"/>
          <w:b/>
          <w:bCs/>
          <w:spacing w:val="40"/>
          <w:kern w:val="0"/>
          <w:sz w:val="32"/>
          <w:szCs w:val="32"/>
        </w:rPr>
      </w:pPr>
    </w:p>
    <w:p w14:paraId="4514F477">
      <w:pPr>
        <w:tabs>
          <w:tab w:val="center" w:pos="6979"/>
        </w:tabs>
        <w:spacing w:before="156" w:beforeLines="50" w:after="156" w:afterLines="50"/>
        <w:jc w:val="center"/>
        <w:rPr>
          <w:rFonts w:ascii="宋体" w:hAnsi="宋体" w:cs="宋体"/>
          <w:b/>
          <w:bCs/>
          <w:spacing w:val="40"/>
          <w:kern w:val="0"/>
          <w:sz w:val="32"/>
          <w:szCs w:val="32"/>
        </w:rPr>
      </w:pPr>
    </w:p>
    <w:p w14:paraId="6DFCF74E">
      <w:pPr>
        <w:tabs>
          <w:tab w:val="center" w:pos="6979"/>
        </w:tabs>
        <w:spacing w:before="156" w:beforeLines="50" w:after="156" w:afterLines="50"/>
        <w:jc w:val="center"/>
        <w:rPr>
          <w:rFonts w:ascii="宋体" w:hAnsi="宋体" w:cs="宋体"/>
          <w:b/>
          <w:bCs/>
          <w:spacing w:val="40"/>
          <w:kern w:val="0"/>
          <w:sz w:val="32"/>
          <w:szCs w:val="32"/>
        </w:rPr>
      </w:pPr>
    </w:p>
    <w:p w14:paraId="2D30547C">
      <w:pPr>
        <w:tabs>
          <w:tab w:val="center" w:pos="6979"/>
        </w:tabs>
        <w:spacing w:before="156" w:beforeLines="50" w:after="156" w:afterLines="50"/>
        <w:jc w:val="center"/>
        <w:rPr>
          <w:rFonts w:ascii="宋体" w:hAnsi="宋体" w:cs="宋体"/>
          <w:b/>
          <w:bCs/>
          <w:spacing w:val="40"/>
          <w:kern w:val="0"/>
          <w:sz w:val="32"/>
          <w:szCs w:val="32"/>
        </w:rPr>
      </w:pPr>
    </w:p>
    <w:p w14:paraId="364A3C44">
      <w:pPr>
        <w:tabs>
          <w:tab w:val="center" w:pos="6979"/>
        </w:tabs>
        <w:spacing w:before="156" w:beforeLines="50" w:after="156" w:afterLines="50"/>
        <w:jc w:val="center"/>
        <w:rPr>
          <w:rFonts w:ascii="宋体" w:hAnsi="宋体" w:cs="宋体"/>
          <w:b/>
          <w:bCs/>
          <w:spacing w:val="40"/>
          <w:kern w:val="0"/>
          <w:sz w:val="32"/>
          <w:szCs w:val="32"/>
        </w:rPr>
      </w:pPr>
    </w:p>
    <w:p w14:paraId="1363BADB">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第一部分 2023年度部门决算报表</w:t>
      </w:r>
    </w:p>
    <w:p w14:paraId="79CC8F6A">
      <w:pPr>
        <w:pStyle w:val="3"/>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14:paraId="66EE2E9A">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2023年度部门决算说明</w:t>
      </w:r>
    </w:p>
    <w:p w14:paraId="6608FA7D">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一、部门/单位基本情况</w:t>
      </w:r>
    </w:p>
    <w:p w14:paraId="70367075">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14:paraId="3954C2AC">
      <w:pPr>
        <w:ind w:firstLine="560" w:firstLineChars="200"/>
        <w:rPr>
          <w:rFonts w:hint="eastAsia" w:ascii="　 宋体" w:hAnsi="　 宋体" w:eastAsia="　 宋体" w:cs="　 宋体"/>
          <w:color w:val="222222"/>
          <w:sz w:val="28"/>
          <w:szCs w:val="28"/>
        </w:rPr>
      </w:pPr>
      <w:r>
        <w:rPr>
          <w:rFonts w:hint="eastAsia"/>
          <w:bCs/>
          <w:sz w:val="28"/>
          <w:szCs w:val="28"/>
        </w:rPr>
        <w:t>北京市通州区投资促进服务中心</w:t>
      </w:r>
      <w:r>
        <w:rPr>
          <w:rFonts w:hint="eastAsia"/>
          <w:sz w:val="28"/>
          <w:szCs w:val="28"/>
        </w:rPr>
        <w:t>是北京市通州区人民政府直属的正处级事业单位，没有下级单位。内设置一部两室三科，包括：产业促进部、研究室、办公室、招商科、指导培训科、宣传推广科</w:t>
      </w:r>
      <w:r>
        <w:rPr>
          <w:rFonts w:hint="eastAsia"/>
          <w:sz w:val="28"/>
          <w:szCs w:val="28"/>
          <w:lang w:eastAsia="zh-CN"/>
        </w:rPr>
        <w:t>，与上年相比无变动。</w:t>
      </w:r>
      <w:r>
        <w:rPr>
          <w:rFonts w:hint="eastAsia"/>
          <w:sz w:val="28"/>
          <w:szCs w:val="28"/>
        </w:rPr>
        <w:t xml:space="preserve"> 通州区投资促进服务中心的主要职责有：1、贯彻落实本市、本区投资促进方面的政策和规定；依据本区功能定位和发展规划，拟订本区投资促进发展规划并组织实施；会同相关部门研究本区投资促进和招商引资政策；根据功能定位和发展布局，提出招商重点。2、负责宣传本区投资环境，建立与客户沟通、联系机制；受区政府委托，在具有影响力的各种活动中推介通州及有关项目。</w:t>
      </w:r>
      <w:r>
        <w:rPr>
          <w:rFonts w:hint="eastAsia" w:ascii="　 宋体" w:hAnsi="　 宋体" w:eastAsia="　 宋体" w:cs="　 宋体"/>
          <w:color w:val="222222"/>
          <w:sz w:val="28"/>
          <w:szCs w:val="28"/>
        </w:rPr>
        <w:t>3、统筹、协调、指导全区投资促进工作。具体负责本区招商的统筹、协调工作，配合有关部门做好中、后期服务工作。4、承担区政府交办的其他有关境内外投资促进方面的工作。</w:t>
      </w:r>
    </w:p>
    <w:p w14:paraId="48E69369">
      <w:pPr>
        <w:ind w:firstLine="560" w:firstLineChars="200"/>
        <w:rPr>
          <w:rFonts w:hint="eastAsia" w:ascii="仿宋_GB2312" w:eastAsia="仿宋_GB2312"/>
          <w:sz w:val="28"/>
          <w:szCs w:val="28"/>
        </w:rPr>
      </w:pPr>
      <w:r>
        <w:rPr>
          <w:rFonts w:hint="eastAsia" w:ascii="　 宋体" w:hAnsi="　 宋体" w:eastAsia="　 宋体" w:cs="　 宋体"/>
          <w:color w:val="222222"/>
          <w:sz w:val="28"/>
          <w:szCs w:val="28"/>
          <w:lang w:val="en-US" w:eastAsia="zh-CN"/>
        </w:rPr>
        <w:t>本单位无下属单位。</w:t>
      </w:r>
    </w:p>
    <w:p w14:paraId="332177AE">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14:paraId="475CE031">
      <w:pPr>
        <w:spacing w:line="600" w:lineRule="exact"/>
        <w:ind w:firstLine="555"/>
        <w:rPr>
          <w:rFonts w:ascii="　 宋体" w:hAnsi="　 宋体" w:eastAsia="　 宋体" w:cs="　 宋体"/>
          <w:color w:val="222222"/>
          <w:sz w:val="28"/>
          <w:szCs w:val="28"/>
        </w:rPr>
      </w:pPr>
      <w:r>
        <w:rPr>
          <w:rFonts w:hint="eastAsia" w:ascii="　 宋体" w:hAnsi="　 宋体" w:eastAsia="　 宋体" w:cs="　 宋体"/>
          <w:color w:val="222222"/>
          <w:sz w:val="28"/>
          <w:szCs w:val="28"/>
        </w:rPr>
        <w:t>202</w:t>
      </w:r>
      <w:r>
        <w:rPr>
          <w:rFonts w:hint="eastAsia" w:ascii="　 宋体" w:hAnsi="　 宋体" w:eastAsia="　 宋体" w:cs="　 宋体"/>
          <w:color w:val="222222"/>
          <w:sz w:val="28"/>
          <w:szCs w:val="28"/>
          <w:lang w:val="en-US" w:eastAsia="zh-CN"/>
        </w:rPr>
        <w:t>3</w:t>
      </w:r>
      <w:r>
        <w:rPr>
          <w:rFonts w:hint="eastAsia" w:ascii="　 宋体" w:hAnsi="　 宋体" w:eastAsia="　 宋体" w:cs="　 宋体"/>
          <w:color w:val="222222"/>
          <w:sz w:val="28"/>
          <w:szCs w:val="28"/>
        </w:rPr>
        <w:t xml:space="preserve">年本部门行政编制  0  人，实际 0  人；事业编制   30人，实际  </w:t>
      </w:r>
      <w:r>
        <w:rPr>
          <w:rFonts w:hint="eastAsia" w:ascii="　 宋体" w:hAnsi="　 宋体" w:eastAsia="　 宋体" w:cs="　 宋体"/>
          <w:color w:val="222222"/>
          <w:sz w:val="28"/>
          <w:szCs w:val="28"/>
          <w:lang w:val="en-US" w:eastAsia="zh-CN"/>
        </w:rPr>
        <w:t>29</w:t>
      </w:r>
      <w:r>
        <w:rPr>
          <w:rFonts w:hint="eastAsia" w:ascii="　 宋体" w:hAnsi="　 宋体" w:eastAsia="　 宋体" w:cs="　 宋体"/>
          <w:color w:val="222222"/>
          <w:sz w:val="28"/>
          <w:szCs w:val="28"/>
        </w:rPr>
        <w:t>人</w:t>
      </w:r>
      <w:r>
        <w:rPr>
          <w:rFonts w:hint="eastAsia" w:ascii="　 宋体" w:hAnsi="　 宋体" w:eastAsia="　 宋体" w:cs="　 宋体"/>
          <w:color w:val="222222"/>
          <w:sz w:val="28"/>
          <w:szCs w:val="28"/>
          <w:lang w:eastAsia="zh-CN"/>
        </w:rPr>
        <w:t>，比上年减少</w:t>
      </w:r>
      <w:r>
        <w:rPr>
          <w:rFonts w:hint="eastAsia" w:ascii="　 宋体" w:hAnsi="　 宋体" w:eastAsia="　 宋体" w:cs="　 宋体"/>
          <w:color w:val="222222"/>
          <w:sz w:val="28"/>
          <w:szCs w:val="28"/>
          <w:lang w:val="en-US" w:eastAsia="zh-CN"/>
        </w:rPr>
        <w:t>1人；</w:t>
      </w:r>
      <w:r>
        <w:rPr>
          <w:rFonts w:hint="eastAsia" w:ascii="　 宋体" w:hAnsi="　 宋体" w:eastAsia="　 宋体" w:cs="　 宋体"/>
          <w:color w:val="222222"/>
          <w:sz w:val="28"/>
          <w:szCs w:val="28"/>
        </w:rPr>
        <w:t>聘用人员10人</w:t>
      </w:r>
      <w:r>
        <w:rPr>
          <w:rFonts w:hint="eastAsia" w:ascii="　 宋体" w:hAnsi="　 宋体" w:eastAsia="　 宋体" w:cs="　 宋体"/>
          <w:color w:val="222222"/>
          <w:sz w:val="28"/>
          <w:szCs w:val="28"/>
          <w:lang w:eastAsia="zh-CN"/>
        </w:rPr>
        <w:t>，与上年相比无变化</w:t>
      </w:r>
      <w:r>
        <w:rPr>
          <w:rFonts w:hint="eastAsia" w:ascii="　 宋体" w:hAnsi="　 宋体" w:eastAsia="　 宋体" w:cs="　 宋体"/>
          <w:color w:val="222222"/>
          <w:sz w:val="28"/>
          <w:szCs w:val="28"/>
        </w:rPr>
        <w:t xml:space="preserve">；离退休人员 </w:t>
      </w:r>
      <w:r>
        <w:rPr>
          <w:rFonts w:hint="eastAsia" w:ascii="　 宋体" w:hAnsi="　 宋体" w:eastAsia="　 宋体" w:cs="　 宋体"/>
          <w:color w:val="222222"/>
          <w:sz w:val="28"/>
          <w:szCs w:val="28"/>
          <w:lang w:val="en-US" w:eastAsia="zh-CN"/>
        </w:rPr>
        <w:t>3</w:t>
      </w:r>
      <w:r>
        <w:rPr>
          <w:rFonts w:hint="eastAsia" w:ascii="　 宋体" w:hAnsi="　 宋体" w:eastAsia="　 宋体" w:cs="　 宋体"/>
          <w:color w:val="222222"/>
          <w:sz w:val="28"/>
          <w:szCs w:val="28"/>
        </w:rPr>
        <w:t>人，其中：离休 0人，退休</w:t>
      </w:r>
      <w:r>
        <w:rPr>
          <w:rFonts w:hint="eastAsia" w:ascii="　 宋体" w:hAnsi="　 宋体" w:eastAsia="　 宋体" w:cs="　 宋体"/>
          <w:color w:val="222222"/>
          <w:sz w:val="28"/>
          <w:szCs w:val="28"/>
          <w:lang w:val="en-US" w:eastAsia="zh-CN"/>
        </w:rPr>
        <w:t>3</w:t>
      </w:r>
      <w:r>
        <w:rPr>
          <w:rFonts w:hint="eastAsia" w:ascii="　 宋体" w:hAnsi="　 宋体" w:eastAsia="　 宋体" w:cs="　 宋体"/>
          <w:color w:val="222222"/>
          <w:sz w:val="28"/>
          <w:szCs w:val="28"/>
        </w:rPr>
        <w:t>人</w:t>
      </w:r>
      <w:r>
        <w:rPr>
          <w:rFonts w:hint="eastAsia" w:ascii="　 宋体" w:hAnsi="　 宋体" w:eastAsia="　 宋体" w:cs="　 宋体"/>
          <w:color w:val="222222"/>
          <w:sz w:val="28"/>
          <w:szCs w:val="28"/>
          <w:lang w:eastAsia="zh-CN"/>
        </w:rPr>
        <w:t>，比上年增加</w:t>
      </w:r>
      <w:r>
        <w:rPr>
          <w:rFonts w:hint="eastAsia" w:ascii="　 宋体" w:hAnsi="　 宋体" w:eastAsia="　 宋体" w:cs="　 宋体"/>
          <w:color w:val="222222"/>
          <w:sz w:val="28"/>
          <w:szCs w:val="28"/>
          <w:lang w:val="en-US" w:eastAsia="zh-CN"/>
        </w:rPr>
        <w:t>1人</w:t>
      </w:r>
      <w:r>
        <w:rPr>
          <w:rFonts w:hint="eastAsia" w:ascii="　 宋体" w:hAnsi="　 宋体" w:eastAsia="　 宋体" w:cs="　 宋体"/>
          <w:color w:val="222222"/>
          <w:sz w:val="28"/>
          <w:szCs w:val="28"/>
        </w:rPr>
        <w:t>。</w:t>
      </w:r>
    </w:p>
    <w:p w14:paraId="58690D53">
      <w:pPr>
        <w:tabs>
          <w:tab w:val="center" w:pos="6979"/>
        </w:tabs>
        <w:spacing w:line="580" w:lineRule="exact"/>
        <w:rPr>
          <w:rFonts w:hint="eastAsia" w:ascii="仿宋_GB2312" w:eastAsia="仿宋_GB2312"/>
          <w:b/>
          <w:sz w:val="32"/>
          <w:szCs w:val="32"/>
        </w:rPr>
      </w:pPr>
    </w:p>
    <w:p w14:paraId="6784842E">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14:paraId="0D74DB1D">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21713.39</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5,889.4</w:t>
      </w:r>
      <w:r>
        <w:rPr>
          <w:rFonts w:ascii="仿宋_GB2312" w:eastAsia="仿宋_GB2312"/>
          <w:sz w:val="28"/>
          <w:szCs w:val="28"/>
        </w:rPr>
        <w:t>9</w:t>
      </w:r>
      <w:r>
        <w:rPr>
          <w:rFonts w:hint="eastAsia" w:ascii="仿宋_GB2312" w:eastAsia="仿宋_GB2312"/>
          <w:sz w:val="28"/>
          <w:szCs w:val="28"/>
        </w:rPr>
        <w:t>万元</w:t>
      </w:r>
      <w:r>
        <w:rPr>
          <w:rFonts w:ascii="仿宋_GB2312" w:eastAsia="仿宋_GB2312"/>
          <w:sz w:val="28"/>
          <w:szCs w:val="28"/>
        </w:rPr>
        <w:t>增加</w:t>
      </w:r>
      <w:r>
        <w:rPr>
          <w:rFonts w:hint="eastAsia" w:ascii="仿宋_GB2312" w:eastAsia="仿宋_GB2312"/>
          <w:sz w:val="28"/>
          <w:szCs w:val="28"/>
          <w:lang w:val="en-US" w:eastAsia="zh-CN"/>
        </w:rPr>
        <w:t>15823.9</w:t>
      </w:r>
      <w:r>
        <w:rPr>
          <w:rFonts w:hint="eastAsia" w:ascii="仿宋_GB2312" w:eastAsia="仿宋_GB2312"/>
          <w:sz w:val="28"/>
          <w:szCs w:val="28"/>
        </w:rPr>
        <w:t>万元，增长</w:t>
      </w:r>
      <w:r>
        <w:rPr>
          <w:rFonts w:hint="eastAsia" w:ascii="仿宋_GB2312" w:eastAsia="仿宋_GB2312"/>
          <w:sz w:val="28"/>
          <w:szCs w:val="28"/>
          <w:lang w:val="en-US" w:eastAsia="zh-CN"/>
        </w:rPr>
        <w:t>268.68</w:t>
      </w:r>
      <w:r>
        <w:rPr>
          <w:rFonts w:hint="eastAsia" w:ascii="仿宋_GB2312" w:eastAsia="仿宋_GB2312"/>
          <w:sz w:val="28"/>
          <w:szCs w:val="28"/>
        </w:rPr>
        <w:t>%。</w:t>
      </w:r>
    </w:p>
    <w:p w14:paraId="2A930076">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14:paraId="4DA23BE3">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2023年度本年收入合计</w:t>
      </w:r>
      <w:r>
        <w:rPr>
          <w:rFonts w:ascii="仿宋_GB2312" w:eastAsia="仿宋_GB2312"/>
          <w:sz w:val="28"/>
          <w:szCs w:val="28"/>
        </w:rPr>
        <w:t>21378.83</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5,800.56万元</w:t>
      </w:r>
      <w:r>
        <w:rPr>
          <w:rFonts w:ascii="仿宋_GB2312" w:eastAsia="仿宋_GB2312"/>
          <w:sz w:val="28"/>
          <w:szCs w:val="28"/>
        </w:rPr>
        <w:t>增加</w:t>
      </w:r>
      <w:r>
        <w:rPr>
          <w:rFonts w:hint="eastAsia" w:ascii="仿宋_GB2312" w:eastAsia="仿宋_GB2312"/>
          <w:sz w:val="28"/>
          <w:szCs w:val="28"/>
          <w:lang w:val="en-US" w:eastAsia="zh-CN"/>
        </w:rPr>
        <w:t>15578.27</w:t>
      </w:r>
      <w:r>
        <w:rPr>
          <w:rFonts w:hint="eastAsia" w:ascii="仿宋_GB2312" w:eastAsia="仿宋_GB2312"/>
          <w:sz w:val="28"/>
          <w:szCs w:val="28"/>
        </w:rPr>
        <w:t>万元，增长</w:t>
      </w:r>
      <w:r>
        <w:rPr>
          <w:rFonts w:hint="eastAsia" w:ascii="仿宋_GB2312" w:eastAsia="仿宋_GB2312"/>
          <w:sz w:val="28"/>
          <w:szCs w:val="28"/>
          <w:lang w:val="en-US" w:eastAsia="zh-CN"/>
        </w:rPr>
        <w:t>268.56</w:t>
      </w:r>
      <w:r>
        <w:rPr>
          <w:rFonts w:hint="eastAsia" w:ascii="仿宋_GB2312" w:eastAsia="仿宋_GB2312"/>
          <w:sz w:val="28"/>
          <w:szCs w:val="28"/>
        </w:rPr>
        <w:t>%。</w:t>
      </w:r>
    </w:p>
    <w:p w14:paraId="4EB6CAC2">
      <w:pPr>
        <w:tabs>
          <w:tab w:val="center" w:pos="6979"/>
        </w:tabs>
        <w:spacing w:line="580" w:lineRule="exact"/>
        <w:ind w:firstLine="560" w:firstLineChars="200"/>
      </w:pPr>
      <w:r>
        <w:rPr>
          <w:rFonts w:hint="eastAsia" w:ascii="仿宋_GB2312" w:eastAsia="仿宋_GB2312"/>
          <w:sz w:val="28"/>
          <w:szCs w:val="28"/>
        </w:rPr>
        <w:t>1.财政拨款收入</w:t>
      </w:r>
      <w:r>
        <w:rPr>
          <w:rFonts w:ascii="仿宋_GB2312" w:eastAsia="仿宋_GB2312"/>
          <w:sz w:val="28"/>
          <w:szCs w:val="28"/>
        </w:rPr>
        <w:t>21378.83</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%。其中：一般公共预算财政拨款收入</w:t>
      </w:r>
      <w:r>
        <w:rPr>
          <w:rFonts w:ascii="仿宋_GB2312" w:eastAsia="仿宋_GB2312"/>
          <w:sz w:val="28"/>
          <w:szCs w:val="28"/>
        </w:rPr>
        <w:t>21378.83</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282ABF00">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7F411431">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588FF9F5">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1CC24069">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70C7EAA7">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10A0FE95">
      <w:pPr>
        <w:tabs>
          <w:tab w:val="center" w:pos="6979"/>
        </w:tabs>
        <w:spacing w:line="580" w:lineRule="exact"/>
        <w:ind w:firstLine="420" w:firstLineChars="200"/>
      </w:pPr>
    </w:p>
    <w:p w14:paraId="40919747">
      <w:pPr>
        <w:tabs>
          <w:tab w:val="center" w:pos="6979"/>
        </w:tabs>
        <w:spacing w:line="580" w:lineRule="exact"/>
        <w:ind w:firstLine="420" w:firstLineChars="200"/>
      </w:pPr>
    </w:p>
    <w:p w14:paraId="01878399">
      <w:pPr>
        <w:tabs>
          <w:tab w:val="center" w:pos="6979"/>
        </w:tabs>
        <w:spacing w:line="580" w:lineRule="exact"/>
        <w:ind w:firstLine="420" w:firstLineChars="200"/>
      </w:pPr>
    </w:p>
    <w:p w14:paraId="1F2ED9EE">
      <w:pPr>
        <w:tabs>
          <w:tab w:val="center" w:pos="6979"/>
        </w:tabs>
        <w:spacing w:line="580" w:lineRule="exact"/>
        <w:ind w:firstLine="420" w:firstLineChars="200"/>
      </w:pPr>
    </w:p>
    <w:p w14:paraId="684EC4F1">
      <w:pPr>
        <w:tabs>
          <w:tab w:val="center" w:pos="6979"/>
        </w:tabs>
        <w:spacing w:line="580" w:lineRule="exact"/>
        <w:ind w:firstLine="420" w:firstLineChars="200"/>
      </w:pPr>
    </w:p>
    <w:p w14:paraId="3CB66DF1">
      <w:pPr>
        <w:tabs>
          <w:tab w:val="center" w:pos="6979"/>
        </w:tabs>
        <w:spacing w:line="580" w:lineRule="exact"/>
        <w:ind w:firstLine="420" w:firstLineChars="200"/>
      </w:pPr>
      <w:bookmarkStart w:id="0" w:name="_GoBack"/>
      <w:r>
        <w:drawing>
          <wp:anchor distT="0" distB="0" distL="0" distR="0" simplePos="0" relativeHeight="251659264" behindDoc="1" locked="0" layoutInCell="1" allowOverlap="1">
            <wp:simplePos x="0" y="0"/>
            <wp:positionH relativeFrom="column">
              <wp:posOffset>2652395</wp:posOffset>
            </wp:positionH>
            <wp:positionV relativeFrom="paragraph">
              <wp:posOffset>184785</wp:posOffset>
            </wp:positionV>
            <wp:extent cx="4036695" cy="2328545"/>
            <wp:effectExtent l="4445" t="4445" r="16510" b="10160"/>
            <wp:wrapTight wrapText="bothSides">
              <wp:wrapPolygon>
                <wp:start x="-24" y="-41"/>
                <wp:lineTo x="-24" y="21518"/>
                <wp:lineTo x="21484" y="21518"/>
                <wp:lineTo x="21484" y="-41"/>
                <wp:lineTo x="-24" y="-41"/>
              </wp:wrapPolygon>
            </wp:wrapTight>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End w:id="0"/>
    </w:p>
    <w:p w14:paraId="44249A9F">
      <w:pPr>
        <w:tabs>
          <w:tab w:val="center" w:pos="6979"/>
        </w:tabs>
        <w:spacing w:line="580" w:lineRule="exact"/>
        <w:ind w:firstLine="420" w:firstLineChars="200"/>
      </w:pPr>
    </w:p>
    <w:p w14:paraId="59973CDE">
      <w:pPr>
        <w:tabs>
          <w:tab w:val="center" w:pos="6979"/>
        </w:tabs>
        <w:spacing w:line="580" w:lineRule="exact"/>
        <w:ind w:firstLine="420" w:firstLineChars="200"/>
      </w:pPr>
    </w:p>
    <w:p w14:paraId="62B5A321">
      <w:pPr>
        <w:tabs>
          <w:tab w:val="center" w:pos="6979"/>
        </w:tabs>
        <w:spacing w:line="580" w:lineRule="exact"/>
        <w:ind w:firstLine="420" w:firstLineChars="200"/>
      </w:pPr>
    </w:p>
    <w:p w14:paraId="086400B4">
      <w:pPr>
        <w:tabs>
          <w:tab w:val="center" w:pos="6979"/>
        </w:tabs>
        <w:spacing w:line="580" w:lineRule="exact"/>
        <w:ind w:firstLine="420" w:firstLineChars="200"/>
      </w:pPr>
    </w:p>
    <w:p w14:paraId="4C24714B">
      <w:pPr>
        <w:tabs>
          <w:tab w:val="center" w:pos="6979"/>
        </w:tabs>
        <w:spacing w:line="580" w:lineRule="exact"/>
        <w:ind w:firstLine="420" w:firstLineChars="200"/>
      </w:pPr>
    </w:p>
    <w:p w14:paraId="444C1F9D">
      <w:pPr>
        <w:tabs>
          <w:tab w:val="center" w:pos="6979"/>
        </w:tabs>
        <w:spacing w:line="580" w:lineRule="exact"/>
        <w:ind w:firstLine="560" w:firstLineChars="200"/>
        <w:rPr>
          <w:rFonts w:hint="eastAsia" w:ascii="仿宋_GB2312" w:eastAsia="仿宋_GB2312"/>
          <w:sz w:val="28"/>
          <w:szCs w:val="28"/>
        </w:rPr>
      </w:pPr>
    </w:p>
    <w:p w14:paraId="12F4839F">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650159E2">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2023年度本年支出合计</w:t>
      </w:r>
      <w:r>
        <w:rPr>
          <w:rFonts w:ascii="仿宋_GB2312" w:eastAsia="仿宋_GB2312"/>
          <w:sz w:val="28"/>
          <w:szCs w:val="28"/>
        </w:rPr>
        <w:t>21691.34</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5,867.93万元</w:t>
      </w:r>
      <w:r>
        <w:rPr>
          <w:rFonts w:ascii="仿宋_GB2312" w:eastAsia="仿宋_GB2312"/>
          <w:sz w:val="28"/>
          <w:szCs w:val="28"/>
        </w:rPr>
        <w:t>增加</w:t>
      </w:r>
      <w:r>
        <w:rPr>
          <w:rFonts w:hint="eastAsia" w:ascii="仿宋_GB2312" w:eastAsia="仿宋_GB2312"/>
          <w:sz w:val="28"/>
          <w:szCs w:val="28"/>
          <w:lang w:val="en-US" w:eastAsia="zh-CN"/>
        </w:rPr>
        <w:t>15823.41</w:t>
      </w:r>
      <w:r>
        <w:rPr>
          <w:rFonts w:hint="eastAsia" w:ascii="仿宋_GB2312" w:eastAsia="仿宋_GB2312"/>
          <w:sz w:val="28"/>
          <w:szCs w:val="28"/>
        </w:rPr>
        <w:t>万元，增长</w:t>
      </w:r>
      <w:r>
        <w:rPr>
          <w:rFonts w:hint="eastAsia" w:ascii="仿宋_GB2312" w:eastAsia="仿宋_GB2312"/>
          <w:sz w:val="28"/>
          <w:szCs w:val="28"/>
          <w:lang w:val="en-US" w:eastAsia="zh-CN"/>
        </w:rPr>
        <w:t>269.66</w:t>
      </w:r>
      <w:r>
        <w:rPr>
          <w:rFonts w:hint="eastAsia" w:ascii="仿宋_GB2312" w:eastAsia="仿宋_GB2312"/>
          <w:sz w:val="28"/>
          <w:szCs w:val="28"/>
        </w:rPr>
        <w:t>%，其中：基本支出</w:t>
      </w:r>
      <w:r>
        <w:rPr>
          <w:rFonts w:ascii="仿宋_GB2312" w:eastAsia="仿宋_GB2312"/>
          <w:sz w:val="28"/>
          <w:szCs w:val="28"/>
        </w:rPr>
        <w:t>1058.58</w:t>
      </w:r>
      <w:r>
        <w:rPr>
          <w:rFonts w:hint="eastAsia" w:ascii="仿宋_GB2312" w:eastAsia="仿宋_GB2312"/>
          <w:sz w:val="28"/>
          <w:szCs w:val="28"/>
        </w:rPr>
        <w:t>万元，占支出合计的</w:t>
      </w:r>
      <w:r>
        <w:rPr>
          <w:rFonts w:ascii="仿宋_GB2312" w:eastAsia="仿宋_GB2312"/>
          <w:sz w:val="28"/>
          <w:szCs w:val="28"/>
        </w:rPr>
        <w:t>4.88</w:t>
      </w:r>
      <w:r>
        <w:rPr>
          <w:rFonts w:hint="eastAsia" w:ascii="仿宋_GB2312" w:eastAsia="仿宋_GB2312"/>
          <w:sz w:val="28"/>
          <w:szCs w:val="28"/>
        </w:rPr>
        <w:t>%；项目支出</w:t>
      </w:r>
      <w:r>
        <w:rPr>
          <w:rFonts w:ascii="仿宋_GB2312" w:eastAsia="仿宋_GB2312"/>
          <w:sz w:val="28"/>
          <w:szCs w:val="28"/>
        </w:rPr>
        <w:t>20632.76</w:t>
      </w:r>
      <w:r>
        <w:rPr>
          <w:rFonts w:hint="eastAsia" w:ascii="仿宋_GB2312" w:eastAsia="仿宋_GB2312"/>
          <w:sz w:val="28"/>
          <w:szCs w:val="28"/>
        </w:rPr>
        <w:t>万元，占支出合计的</w:t>
      </w:r>
      <w:r>
        <w:rPr>
          <w:rFonts w:ascii="仿宋_GB2312" w:eastAsia="仿宋_GB2312"/>
          <w:sz w:val="28"/>
          <w:szCs w:val="28"/>
        </w:rPr>
        <w:t>95.11</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14:paraId="1B7EC6DF">
      <w:pPr>
        <w:pStyle w:val="2"/>
        <w:ind w:firstLine="420"/>
        <w:jc w:val="center"/>
      </w:pPr>
    </w:p>
    <w:p w14:paraId="3FA2732D">
      <w:pPr>
        <w:pStyle w:val="3"/>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14:paraId="3C24F6FD">
      <w:pPr>
        <w:jc w:val="center"/>
        <w:rPr>
          <w:rFonts w:ascii="黑体" w:eastAsia="黑体"/>
          <w:b/>
          <w:sz w:val="28"/>
          <w:szCs w:val="28"/>
        </w:rPr>
      </w:pPr>
      <w:r>
        <w:rPr>
          <w:rFonts w:hint="eastAsia" w:eastAsia="宋体"/>
          <w:lang w:eastAsia="zh-CN"/>
        </w:rPr>
        <w:drawing>
          <wp:inline distT="0" distB="0" distL="114300" distR="114300">
            <wp:extent cx="5256530" cy="2988310"/>
            <wp:effectExtent l="5080" t="4445" r="15240" b="55245"/>
            <wp:docPr id="2" name="图表 2"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012C58">
      <w:pPr>
        <w:jc w:val="center"/>
        <w:rPr>
          <w:rFonts w:ascii="黑体" w:eastAsia="黑体"/>
          <w:b/>
          <w:sz w:val="28"/>
          <w:szCs w:val="28"/>
        </w:rPr>
      </w:pPr>
    </w:p>
    <w:p w14:paraId="6FBFDC3E">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14:paraId="2071B2D4">
      <w:pPr>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2023年度财政拨款收、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21400.39</w:t>
      </w:r>
      <w:r>
        <w:rPr>
          <w:rFonts w:hint="eastAsia" w:ascii="仿宋_GB2312" w:eastAsia="仿宋_GB2312"/>
          <w:sz w:val="28"/>
          <w:szCs w:val="28"/>
        </w:rPr>
        <w:t>万元，比上年5,842.47万元</w:t>
      </w:r>
      <w:r>
        <w:rPr>
          <w:rFonts w:ascii="仿宋_GB2312" w:eastAsia="仿宋_GB2312"/>
          <w:sz w:val="28"/>
          <w:szCs w:val="28"/>
        </w:rPr>
        <w:t>增加</w:t>
      </w:r>
      <w:r>
        <w:rPr>
          <w:rFonts w:hint="eastAsia" w:ascii="仿宋_GB2312" w:eastAsia="仿宋_GB2312"/>
          <w:sz w:val="28"/>
          <w:szCs w:val="28"/>
          <w:lang w:val="en-US" w:eastAsia="zh-CN"/>
        </w:rPr>
        <w:t>15557.92</w:t>
      </w:r>
      <w:r>
        <w:rPr>
          <w:rFonts w:hint="eastAsia" w:ascii="仿宋_GB2312" w:eastAsia="仿宋_GB2312"/>
          <w:sz w:val="28"/>
          <w:szCs w:val="28"/>
        </w:rPr>
        <w:t>万元，增长</w:t>
      </w:r>
      <w:r>
        <w:rPr>
          <w:rFonts w:hint="eastAsia" w:ascii="仿宋_GB2312" w:eastAsia="仿宋_GB2312"/>
          <w:sz w:val="28"/>
          <w:szCs w:val="28"/>
          <w:lang w:val="en-US" w:eastAsia="zh-CN"/>
        </w:rPr>
        <w:t>266.29</w:t>
      </w:r>
      <w:r>
        <w:rPr>
          <w:rFonts w:hint="eastAsia" w:ascii="仿宋_GB2312" w:eastAsia="仿宋_GB2312"/>
          <w:sz w:val="28"/>
          <w:szCs w:val="28"/>
        </w:rPr>
        <w:t>%。主要原因：一是因为2023年追加并执行政策扶持资金201,69.24万元，共计兑现企业146家，主要包括：①北京假日阳光环球旅行社有限公司政策奖励资金96.76万元； ②“通八条“”政策扶持资金—北京北投投资管理有限公司40.02万元；③云宙时代科技有限公司入驻奖励资金90万元；④大新华运通（北京）国际商务旅游有限公司政策扶持资金2,00万元；⑤新源劲吾（北京）科技有限公司奖励补贴资金3,13万元；⑥北京中岩大地科技股份有限公司迁入奖励资金2,50.32万元；⑦招商引资中介奖励资金56.44万元；⑧通八条达标企业扶持资金19122.7万元。二是因为本年度追加执行</w:t>
      </w:r>
      <w:r>
        <w:rPr>
          <w:rFonts w:ascii="仿宋_GB2312" w:eastAsia="仿宋_GB2312"/>
          <w:sz w:val="28"/>
          <w:szCs w:val="28"/>
        </w:rPr>
        <w:t>投资促进系统关于服务企业的培训活动</w:t>
      </w:r>
      <w:r>
        <w:rPr>
          <w:rFonts w:hint="eastAsia" w:ascii="仿宋_GB2312" w:eastAsia="仿宋_GB2312"/>
          <w:sz w:val="28"/>
          <w:szCs w:val="28"/>
        </w:rPr>
        <w:t>29.6420万元。</w:t>
      </w:r>
    </w:p>
    <w:p w14:paraId="63883599">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14:paraId="3ED57FF5">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14:paraId="037449F9">
      <w:p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2023年度一般公共预算财政拨款支出21378.34万元，主要用于以下方面（按大类）：</w:t>
      </w:r>
    </w:p>
    <w:p w14:paraId="3FA3D7C0">
      <w:p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1、一般公共服务支出1206.30万元，占本年财政拨款支出5.64%；</w:t>
      </w:r>
    </w:p>
    <w:p w14:paraId="5B60A49D">
      <w:p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2、社会保障和就业支出103.67万元，占本年财政拨款支出0.49%； </w:t>
      </w:r>
    </w:p>
    <w:p w14:paraId="01DEB57B">
      <w:p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3、卫生健康支出71.30万元，占本年财政拨款支出0.33%；</w:t>
      </w:r>
    </w:p>
    <w:p w14:paraId="68B4A6F1">
      <w:p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4、资源勘探工业信息等支出19856.24万元，占本年财政拨款支出92.88%； </w:t>
      </w:r>
    </w:p>
    <w:p w14:paraId="059AAD7D">
      <w:pPr>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 xml:space="preserve">5、住房保障支出140.83万元，占本年财政拨款支出0.66%； </w:t>
      </w:r>
    </w:p>
    <w:p w14:paraId="08C64455">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14:paraId="1C4C4B2E">
      <w:p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 “一般公共服务支出”（类）2023年度决算1206.30万元，比2023年年初预算1103.64万元增加102.66万元，增长9.3%。其中：</w:t>
      </w:r>
    </w:p>
    <w:p w14:paraId="0084B09D">
      <w:p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商贸事务”（款，下同）2023年度决算1206.30万元，比2023年年初预算1103.64万元增加102.66万元，增长9.3%。主要原因：1.基本支出差异：本年度工资晋级晋档，社保及公积金相应增加，以及本单位新增人才京郊行挂职干部1名，第一书记1名，内蒙挂职干部1名；2、2023年度失业保险、工伤保险改为此项列支；3、追加投资促进系统关于服务企业的培训活动29.6420万元。</w:t>
      </w:r>
    </w:p>
    <w:p w14:paraId="1E9B6E08">
      <w:p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2、“社会保障和就业支出”（类）2023年度决算103.67万元，比2023年年初预算94.21万元增加9.46万元，增长10.04%。其中：</w:t>
      </w:r>
    </w:p>
    <w:p w14:paraId="4647F4CA">
      <w:p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“行政事业单位养老支出”（款，下同）2023年度决算101.93万元，比2023年年初预算增加7.8万元，增长9.14%。主要原因：工资年度晋级晋档导致保险基数增加。</w:t>
      </w:r>
    </w:p>
    <w:p w14:paraId="23A25AF5">
      <w:p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财政对其他社会保险基金的补助”（款，下同）2023年度决算1.74万元，比2023年年初预算增加1.74万元，增长100%。主要原因：2023年度失业保险、工伤保险在“一般公共服务支出”（类）“商贸事务”（款）下列支，此项支出为消耗上年结转支出。</w:t>
      </w:r>
    </w:p>
    <w:p w14:paraId="71F6853A">
      <w:p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3、“卫生健康支出”（类）2023年度决算71.30万元，比2023年年初预算61.55万元增加9.75万元，增长15.8%。其中：</w:t>
      </w:r>
    </w:p>
    <w:p w14:paraId="3B4E54ED">
      <w:pPr>
        <w:snapToGrid w:val="0"/>
        <w:spacing w:line="520" w:lineRule="exact"/>
        <w:ind w:firstLine="840" w:firstLineChars="300"/>
        <w:rPr>
          <w:rFonts w:hint="eastAsia" w:ascii="仿宋_GB2312" w:eastAsia="仿宋_GB2312"/>
          <w:sz w:val="28"/>
          <w:szCs w:val="28"/>
          <w:lang w:val="en-US" w:eastAsia="zh-CN"/>
        </w:rPr>
      </w:pPr>
      <w:r>
        <w:rPr>
          <w:rFonts w:hint="eastAsia" w:ascii="仿宋_GB2312" w:eastAsia="仿宋_GB2312"/>
          <w:sz w:val="28"/>
          <w:szCs w:val="28"/>
          <w:lang w:val="en-US" w:eastAsia="zh-CN"/>
        </w:rPr>
        <w:t>“行政事业单位医疗”（款，下同）2023年度决算71.30万元，比2023年年初预算61.55万元增加2.76万元，增长15.8%。主要原因：工资年度晋级晋档导致保险基数增加。</w:t>
      </w:r>
    </w:p>
    <w:p w14:paraId="51B297A7">
      <w:p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4、“资源勘探工业信息等支出”（类）2023年度决算20169.24万元，比2023年年初预算增加20169.24万元，增长100.00%。其中：</w:t>
      </w:r>
    </w:p>
    <w:p w14:paraId="13C8163B">
      <w:p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支持中小企业发展和管理支出”（款，下同）2023年度决算20169.24万元，比2023年年初预算增加20169.24万元，增长100.00%。主要原因：本单位2023年追加并执行政策扶持资金201,69.24万元，共计兑现企业146家，主要包括：1、北京假日阳光环球旅行社有限公司政策奖励资金96.76万元；2、“通八条“”政策扶持资金—北京北投投资管理有限公司</w:t>
      </w:r>
      <w:r>
        <w:rPr>
          <w:rFonts w:hint="eastAsia" w:ascii="仿宋_GB2312" w:eastAsia="仿宋_GB2312"/>
          <w:sz w:val="28"/>
          <w:szCs w:val="28"/>
        </w:rPr>
        <w:t>40.02万元</w:t>
      </w:r>
      <w:r>
        <w:rPr>
          <w:rFonts w:hint="eastAsia" w:ascii="仿宋_GB2312" w:eastAsia="仿宋_GB2312"/>
          <w:sz w:val="28"/>
          <w:szCs w:val="28"/>
          <w:lang w:val="en-US" w:eastAsia="zh-CN"/>
        </w:rPr>
        <w:t>；3、云宙时代科技有限公司入驻奖励资金</w:t>
      </w:r>
      <w:r>
        <w:rPr>
          <w:rFonts w:hint="eastAsia" w:ascii="仿宋_GB2312" w:eastAsia="仿宋_GB2312"/>
          <w:sz w:val="28"/>
          <w:szCs w:val="28"/>
        </w:rPr>
        <w:t>90万元</w:t>
      </w:r>
      <w:r>
        <w:rPr>
          <w:rFonts w:hint="eastAsia" w:ascii="仿宋_GB2312" w:eastAsia="仿宋_GB2312"/>
          <w:sz w:val="28"/>
          <w:szCs w:val="28"/>
          <w:lang w:val="en-US" w:eastAsia="zh-CN"/>
        </w:rPr>
        <w:t>；4、大新华运通（北京）国际商务旅游有限公司政策扶持资金</w:t>
      </w:r>
      <w:r>
        <w:rPr>
          <w:rFonts w:hint="eastAsia" w:ascii="仿宋_GB2312" w:eastAsia="仿宋_GB2312"/>
          <w:sz w:val="28"/>
          <w:szCs w:val="28"/>
        </w:rPr>
        <w:t>200万元</w:t>
      </w:r>
      <w:r>
        <w:rPr>
          <w:rFonts w:hint="eastAsia" w:ascii="仿宋_GB2312" w:eastAsia="仿宋_GB2312"/>
          <w:sz w:val="28"/>
          <w:szCs w:val="28"/>
          <w:lang w:val="en-US" w:eastAsia="zh-CN"/>
        </w:rPr>
        <w:t>；5、新源劲吾（北京）科技有限公司奖励补贴资金</w:t>
      </w:r>
      <w:r>
        <w:rPr>
          <w:rFonts w:hint="eastAsia" w:ascii="仿宋_GB2312" w:eastAsia="仿宋_GB2312"/>
          <w:sz w:val="28"/>
          <w:szCs w:val="28"/>
        </w:rPr>
        <w:t>313万元</w:t>
      </w:r>
      <w:r>
        <w:rPr>
          <w:rFonts w:hint="eastAsia" w:ascii="仿宋_GB2312" w:eastAsia="仿宋_GB2312"/>
          <w:sz w:val="28"/>
          <w:szCs w:val="28"/>
          <w:lang w:val="en-US" w:eastAsia="zh-CN"/>
        </w:rPr>
        <w:t>；6、北京中岩大地科技股份有限公司迁入奖励资金</w:t>
      </w:r>
      <w:r>
        <w:rPr>
          <w:rFonts w:hint="eastAsia" w:ascii="仿宋_GB2312" w:eastAsia="仿宋_GB2312"/>
          <w:sz w:val="28"/>
          <w:szCs w:val="28"/>
        </w:rPr>
        <w:t>250.32</w:t>
      </w:r>
      <w:r>
        <w:rPr>
          <w:rFonts w:hint="eastAsia" w:ascii="仿宋_GB2312" w:eastAsia="仿宋_GB2312"/>
          <w:sz w:val="28"/>
          <w:szCs w:val="28"/>
          <w:lang w:eastAsia="zh-CN"/>
        </w:rPr>
        <w:t>万元</w:t>
      </w:r>
      <w:r>
        <w:rPr>
          <w:rFonts w:hint="eastAsia" w:ascii="仿宋_GB2312" w:eastAsia="仿宋_GB2312"/>
          <w:sz w:val="28"/>
          <w:szCs w:val="28"/>
          <w:lang w:val="en-US" w:eastAsia="zh-CN"/>
        </w:rPr>
        <w:t>；7、招商引资中介奖励资金</w:t>
      </w:r>
      <w:r>
        <w:rPr>
          <w:rFonts w:hint="eastAsia" w:ascii="仿宋_GB2312" w:eastAsia="仿宋_GB2312"/>
          <w:sz w:val="28"/>
          <w:szCs w:val="28"/>
        </w:rPr>
        <w:t>56.44万元</w:t>
      </w:r>
      <w:r>
        <w:rPr>
          <w:rFonts w:hint="eastAsia" w:ascii="仿宋_GB2312" w:eastAsia="仿宋_GB2312"/>
          <w:sz w:val="28"/>
          <w:szCs w:val="28"/>
          <w:lang w:val="en-US" w:eastAsia="zh-CN"/>
        </w:rPr>
        <w:t>；8、通八条达标企业扶持资金</w:t>
      </w:r>
      <w:r>
        <w:rPr>
          <w:rFonts w:hint="eastAsia" w:ascii="仿宋_GB2312" w:eastAsia="仿宋_GB2312"/>
          <w:sz w:val="28"/>
          <w:szCs w:val="28"/>
        </w:rPr>
        <w:t>19122.7万元</w:t>
      </w:r>
      <w:r>
        <w:rPr>
          <w:rFonts w:hint="eastAsia" w:ascii="仿宋_GB2312" w:eastAsia="仿宋_GB2312"/>
          <w:sz w:val="28"/>
          <w:szCs w:val="28"/>
          <w:lang w:eastAsia="zh-CN"/>
        </w:rPr>
        <w:t>。</w:t>
      </w:r>
    </w:p>
    <w:p w14:paraId="64DE4AAD">
      <w:p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5、“住房保障支出”（类）2023年度决算140.83万元，比2023年年初预算136.99万元增加3.84万元，增长2.8%。其中：</w:t>
      </w:r>
    </w:p>
    <w:p w14:paraId="6EAB2A99">
      <w:p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“住房改革支出”（款，下同）2023年度决算140.83万元，比2023年年初预算136.99万元增加3.84万元，增长2.8%。主要原因：工资年度晋级晋档导致缴费基数增加。</w:t>
      </w:r>
    </w:p>
    <w:p w14:paraId="63ADC15C">
      <w:pPr>
        <w:spacing w:line="580" w:lineRule="exact"/>
        <w:ind w:firstLine="560" w:firstLineChars="200"/>
        <w:rPr>
          <w:rFonts w:hint="eastAsia" w:ascii="黑体" w:eastAsia="黑体"/>
          <w:b/>
          <w:sz w:val="28"/>
          <w:szCs w:val="28"/>
        </w:rPr>
      </w:pPr>
    </w:p>
    <w:p w14:paraId="2EA74AA8">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14:paraId="05EE0BCD">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14:paraId="1F6458BD">
      <w:pPr>
        <w:snapToGrid w:val="0"/>
        <w:spacing w:line="520" w:lineRule="exact"/>
        <w:ind w:firstLine="1400" w:firstLineChars="500"/>
        <w:rPr>
          <w:rFonts w:hint="eastAsia" w:ascii="仿宋_GB2312" w:eastAsia="仿宋_GB2312"/>
          <w:sz w:val="28"/>
          <w:szCs w:val="28"/>
        </w:rPr>
      </w:pPr>
      <w:r>
        <w:rPr>
          <w:rFonts w:hint="eastAsia" w:ascii="仿宋_GB2312" w:eastAsia="仿宋_GB2312"/>
          <w:sz w:val="28"/>
          <w:szCs w:val="28"/>
        </w:rPr>
        <w:t>本年度无此项支出</w:t>
      </w:r>
    </w:p>
    <w:p w14:paraId="2DED4D08">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14:paraId="2802C54E">
      <w:pPr>
        <w:snapToGrid w:val="0"/>
        <w:spacing w:line="520" w:lineRule="exact"/>
        <w:ind w:firstLine="1400" w:firstLineChars="500"/>
        <w:rPr>
          <w:rFonts w:hint="eastAsia" w:ascii="仿宋_GB2312" w:eastAsia="仿宋_GB2312"/>
          <w:sz w:val="28"/>
          <w:szCs w:val="28"/>
        </w:rPr>
      </w:pPr>
      <w:r>
        <w:rPr>
          <w:rFonts w:hint="eastAsia" w:ascii="仿宋_GB2312" w:eastAsia="仿宋_GB2312"/>
          <w:sz w:val="28"/>
          <w:szCs w:val="28"/>
        </w:rPr>
        <w:t>本年度无此项支出</w:t>
      </w:r>
    </w:p>
    <w:p w14:paraId="27C357C4">
      <w:pPr>
        <w:spacing w:line="580" w:lineRule="exact"/>
        <w:ind w:firstLine="560" w:firstLineChars="200"/>
        <w:rPr>
          <w:rFonts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14:paraId="04D6ADBA">
      <w:pPr>
        <w:ind w:firstLine="537" w:firstLineChars="192"/>
        <w:rPr>
          <w:rFonts w:ascii="仿宋_GB2312" w:eastAsia="仿宋_GB2312"/>
          <w:sz w:val="28"/>
          <w:szCs w:val="28"/>
        </w:rPr>
      </w:pPr>
      <w:r>
        <w:rPr>
          <w:rFonts w:hint="eastAsia" w:ascii="仿宋_GB2312" w:eastAsia="仿宋_GB2312"/>
          <w:sz w:val="28"/>
          <w:szCs w:val="28"/>
        </w:rPr>
        <w:t>2023年度国有资本经营预算财政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14:paraId="7D31A3EA">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14:paraId="600E1E6D">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rPr>
        <w:t>2023年度使用一般公共预算财政拨款安排基本支出</w:t>
      </w:r>
      <w:r>
        <w:rPr>
          <w:rFonts w:ascii="仿宋_GB2312" w:eastAsia="仿宋_GB2312"/>
          <w:sz w:val="28"/>
          <w:szCs w:val="28"/>
        </w:rPr>
        <w:t>1058.58</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14:paraId="54666C83">
      <w:pPr>
        <w:autoSpaceDE w:val="0"/>
        <w:autoSpaceDN w:val="0"/>
        <w:adjustRightInd w:val="0"/>
        <w:spacing w:line="580" w:lineRule="exact"/>
        <w:jc w:val="center"/>
        <w:rPr>
          <w:rFonts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2023年度</w:t>
      </w:r>
      <w:r>
        <w:rPr>
          <w:rFonts w:hint="eastAsia" w:ascii="宋体" w:hAnsi="宋体" w:cs="宋体"/>
          <w:b/>
          <w:spacing w:val="40"/>
          <w:kern w:val="0"/>
          <w:sz w:val="32"/>
          <w:szCs w:val="32"/>
        </w:rPr>
        <w:t>其他重要事项的情况说明</w:t>
      </w:r>
    </w:p>
    <w:p w14:paraId="47932993">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14:paraId="1A1023F6">
      <w:pPr>
        <w:spacing w:line="560" w:lineRule="exact"/>
        <w:ind w:firstLine="600"/>
        <w:rPr>
          <w:rFonts w:ascii="仿宋_GB2312" w:eastAsia="仿宋_GB2312"/>
          <w:sz w:val="28"/>
          <w:szCs w:val="28"/>
        </w:rPr>
      </w:pPr>
      <w:r>
        <w:rPr>
          <w:rFonts w:hint="eastAsia" w:ascii="仿宋_GB2312" w:eastAsia="仿宋_GB2312"/>
          <w:sz w:val="28"/>
          <w:szCs w:val="28"/>
        </w:rPr>
        <w:t>“三公”经费包括单位所属</w:t>
      </w:r>
      <w:r>
        <w:rPr>
          <w:rFonts w:hint="eastAsia" w:ascii="仿宋_GB2312" w:eastAsia="仿宋_GB2312"/>
          <w:bCs/>
          <w:sz w:val="28"/>
          <w:szCs w:val="28"/>
          <w:lang w:val="en-US" w:eastAsia="zh-CN"/>
        </w:rPr>
        <w:t>0</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1</w:t>
      </w:r>
      <w:r>
        <w:rPr>
          <w:rFonts w:hint="eastAsia" w:ascii="仿宋_GB2312" w:eastAsia="仿宋_GB2312"/>
          <w:bCs/>
          <w:sz w:val="28"/>
          <w:szCs w:val="28"/>
        </w:rPr>
        <w:t>个</w:t>
      </w:r>
      <w:r>
        <w:rPr>
          <w:rFonts w:hint="eastAsia" w:ascii="仿宋_GB2312" w:eastAsia="仿宋_GB2312"/>
          <w:sz w:val="28"/>
          <w:szCs w:val="28"/>
        </w:rPr>
        <w:t>事业单位。2023年度“三公”经费财政拨款决算数</w:t>
      </w:r>
      <w:r>
        <w:rPr>
          <w:rFonts w:ascii="仿宋_GB2312" w:eastAsia="仿宋_GB2312"/>
          <w:sz w:val="28"/>
          <w:szCs w:val="28"/>
        </w:rPr>
        <w:t>1.16</w:t>
      </w:r>
      <w:r>
        <w:rPr>
          <w:rFonts w:hint="eastAsia" w:ascii="仿宋_GB2312" w:eastAsia="仿宋_GB2312"/>
          <w:sz w:val="28"/>
          <w:szCs w:val="28"/>
        </w:rPr>
        <w:t>万元，比2023年度“三公”经费财政拨款年初预算</w:t>
      </w:r>
      <w:r>
        <w:rPr>
          <w:rFonts w:ascii="仿宋_GB2312" w:eastAsia="仿宋_GB2312"/>
          <w:sz w:val="28"/>
          <w:szCs w:val="28"/>
        </w:rPr>
        <w:t>3.7</w:t>
      </w:r>
      <w:r>
        <w:rPr>
          <w:rFonts w:hint="eastAsia" w:ascii="仿宋_GB2312" w:eastAsia="仿宋_GB2312"/>
          <w:sz w:val="28"/>
          <w:szCs w:val="28"/>
        </w:rPr>
        <w:t>万元减少</w:t>
      </w:r>
      <w:r>
        <w:rPr>
          <w:rFonts w:ascii="仿宋_GB2312" w:eastAsia="仿宋_GB2312"/>
          <w:sz w:val="28"/>
          <w:szCs w:val="28"/>
        </w:rPr>
        <w:t>2.53</w:t>
      </w:r>
      <w:r>
        <w:rPr>
          <w:rFonts w:hint="eastAsia" w:ascii="仿宋_GB2312" w:eastAsia="仿宋_GB2312"/>
          <w:sz w:val="28"/>
          <w:szCs w:val="28"/>
        </w:rPr>
        <w:t>万元。其中：</w:t>
      </w:r>
    </w:p>
    <w:p w14:paraId="06C12E87">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1.因公出国（境）费用。2023年度决算数</w:t>
      </w:r>
      <w:r>
        <w:rPr>
          <w:rFonts w:ascii="仿宋_GB2312" w:eastAsia="仿宋_GB2312"/>
          <w:sz w:val="28"/>
          <w:szCs w:val="28"/>
        </w:rPr>
        <w:t>0</w:t>
      </w:r>
      <w:r>
        <w:rPr>
          <w:rFonts w:hint="eastAsia" w:ascii="仿宋_GB2312" w:eastAsia="仿宋_GB2312"/>
          <w:sz w:val="28"/>
          <w:szCs w:val="28"/>
        </w:rPr>
        <w:t>万元，比2023年度年初预算数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14:paraId="3E252EEA">
      <w:pPr>
        <w:spacing w:line="560" w:lineRule="exact"/>
        <w:ind w:firstLine="600"/>
        <w:rPr>
          <w:rFonts w:ascii="仿宋_GB2312" w:eastAsia="仿宋_GB2312"/>
          <w:sz w:val="28"/>
          <w:szCs w:val="28"/>
        </w:rPr>
      </w:pPr>
      <w:r>
        <w:rPr>
          <w:rFonts w:hint="eastAsia" w:ascii="仿宋_GB2312" w:eastAsia="仿宋_GB2312"/>
          <w:sz w:val="28"/>
          <w:szCs w:val="28"/>
        </w:rPr>
        <w:t>2.公务接待费。2023年度决算数</w:t>
      </w:r>
      <w:r>
        <w:rPr>
          <w:rFonts w:ascii="仿宋_GB2312" w:eastAsia="仿宋_GB2312"/>
          <w:sz w:val="28"/>
          <w:szCs w:val="28"/>
        </w:rPr>
        <w:t>0</w:t>
      </w:r>
      <w:r>
        <w:rPr>
          <w:rFonts w:hint="eastAsia" w:ascii="仿宋_GB2312" w:eastAsia="仿宋_GB2312"/>
          <w:sz w:val="28"/>
          <w:szCs w:val="28"/>
        </w:rPr>
        <w:t>万元，比2023年度年初预算数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14:paraId="7AFCBC08">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3.公务用车购置及运行维护费。2023年度决算数</w:t>
      </w:r>
      <w:r>
        <w:rPr>
          <w:rFonts w:hint="eastAsia" w:ascii="仿宋_GB2312" w:eastAsia="仿宋_GB2312"/>
          <w:sz w:val="28"/>
          <w:szCs w:val="28"/>
          <w:lang w:val="en-US" w:eastAsia="zh-CN"/>
        </w:rPr>
        <w:t>1.16</w:t>
      </w:r>
      <w:r>
        <w:rPr>
          <w:rFonts w:hint="eastAsia" w:ascii="仿宋_GB2312" w:eastAsia="仿宋_GB2312"/>
          <w:sz w:val="28"/>
          <w:szCs w:val="28"/>
        </w:rPr>
        <w:t>万元，比2023年度年初预算数</w:t>
      </w:r>
      <w:r>
        <w:rPr>
          <w:rFonts w:hint="eastAsia" w:ascii="仿宋_GB2312" w:eastAsia="仿宋_GB2312"/>
          <w:sz w:val="28"/>
          <w:szCs w:val="28"/>
          <w:lang w:val="en-US" w:eastAsia="zh-CN"/>
        </w:rPr>
        <w:t>3.7</w:t>
      </w:r>
      <w:r>
        <w:rPr>
          <w:rFonts w:hint="eastAsia" w:ascii="仿宋_GB2312" w:eastAsia="仿宋_GB2312"/>
          <w:sz w:val="28"/>
          <w:szCs w:val="28"/>
        </w:rPr>
        <w:t>万元减少</w:t>
      </w:r>
      <w:r>
        <w:rPr>
          <w:rFonts w:ascii="仿宋_GB2312" w:eastAsia="仿宋_GB2312"/>
          <w:sz w:val="28"/>
          <w:szCs w:val="28"/>
        </w:rPr>
        <w:t>2.53</w:t>
      </w:r>
      <w:r>
        <w:rPr>
          <w:rFonts w:hint="eastAsia" w:ascii="仿宋_GB2312" w:eastAsia="仿宋_GB2312"/>
          <w:sz w:val="28"/>
          <w:szCs w:val="28"/>
        </w:rPr>
        <w:t>万元。</w:t>
      </w:r>
    </w:p>
    <w:p w14:paraId="0E5B1798">
      <w:pPr>
        <w:spacing w:line="560" w:lineRule="exact"/>
        <w:ind w:firstLine="560" w:firstLineChars="200"/>
        <w:rPr>
          <w:rFonts w:ascii="仿宋_GB2312" w:eastAsia="仿宋_GB2312"/>
          <w:sz w:val="28"/>
          <w:szCs w:val="28"/>
        </w:rPr>
      </w:pPr>
      <w:r>
        <w:rPr>
          <w:rFonts w:hint="eastAsia" w:ascii="仿宋_GB2312" w:eastAsia="仿宋_GB2312"/>
          <w:sz w:val="28"/>
          <w:szCs w:val="28"/>
        </w:rPr>
        <w:t>其中，公务用车购置费2023年度决算数</w:t>
      </w:r>
      <w:r>
        <w:rPr>
          <w:rFonts w:ascii="仿宋_GB2312" w:eastAsia="仿宋_GB2312"/>
          <w:sz w:val="28"/>
          <w:szCs w:val="28"/>
        </w:rPr>
        <w:t>0</w:t>
      </w:r>
      <w:r>
        <w:rPr>
          <w:rFonts w:hint="eastAsia" w:ascii="仿宋_GB2312" w:eastAsia="仿宋_GB2312"/>
          <w:sz w:val="28"/>
          <w:szCs w:val="28"/>
        </w:rPr>
        <w:t>万元，比2023年度年初预算数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万元。公务用车运行维护费2023年度决算数</w:t>
      </w:r>
      <w:r>
        <w:rPr>
          <w:rFonts w:ascii="仿宋_GB2312" w:eastAsia="仿宋_GB2312"/>
          <w:sz w:val="28"/>
          <w:szCs w:val="28"/>
        </w:rPr>
        <w:t>1.16</w:t>
      </w:r>
      <w:r>
        <w:rPr>
          <w:rFonts w:hint="eastAsia" w:ascii="仿宋_GB2312" w:eastAsia="仿宋_GB2312"/>
          <w:sz w:val="28"/>
          <w:szCs w:val="28"/>
        </w:rPr>
        <w:t>万元，比2023年度年初预算数</w:t>
      </w:r>
      <w:r>
        <w:rPr>
          <w:rFonts w:ascii="仿宋_GB2312" w:eastAsia="仿宋_GB2312"/>
          <w:sz w:val="28"/>
          <w:szCs w:val="28"/>
        </w:rPr>
        <w:t>3.7</w:t>
      </w:r>
      <w:r>
        <w:rPr>
          <w:rFonts w:hint="eastAsia" w:ascii="仿宋_GB2312" w:eastAsia="仿宋_GB2312"/>
          <w:sz w:val="28"/>
          <w:szCs w:val="28"/>
        </w:rPr>
        <w:t>万元减少</w:t>
      </w:r>
      <w:r>
        <w:rPr>
          <w:rFonts w:ascii="仿宋_GB2312" w:eastAsia="仿宋_GB2312"/>
          <w:sz w:val="28"/>
          <w:szCs w:val="28"/>
        </w:rPr>
        <w:t>2.53</w:t>
      </w:r>
      <w:r>
        <w:rPr>
          <w:rFonts w:hint="eastAsia" w:ascii="仿宋_GB2312" w:eastAsia="仿宋_GB2312"/>
          <w:sz w:val="28"/>
          <w:szCs w:val="28"/>
        </w:rPr>
        <w:t>万元，主要原因：我单位坚持贯彻党风廉政建设责任制，推进党风廉政建设和反腐败工作，落实政府过紧日子、厉行勤俭节约的要求，严格控制“三公经费”开支过大。2023年度公务用车运行维护费中，公务用车加油</w:t>
      </w:r>
      <w:r>
        <w:rPr>
          <w:rFonts w:hint="eastAsia" w:ascii="仿宋_GB2312" w:eastAsia="仿宋_GB2312"/>
          <w:sz w:val="28"/>
          <w:szCs w:val="28"/>
          <w:lang w:val="en-US" w:eastAsia="zh-CN"/>
        </w:rPr>
        <w:t>0.5</w:t>
      </w:r>
      <w:r>
        <w:rPr>
          <w:rFonts w:hint="eastAsia" w:ascii="仿宋_GB2312" w:eastAsia="仿宋_GB2312"/>
          <w:sz w:val="28"/>
          <w:szCs w:val="28"/>
        </w:rPr>
        <w:t>万元，公务用车维修</w:t>
      </w:r>
      <w:r>
        <w:rPr>
          <w:rFonts w:hint="eastAsia" w:ascii="仿宋_GB2312" w:eastAsia="仿宋_GB2312"/>
          <w:sz w:val="28"/>
          <w:szCs w:val="28"/>
          <w:lang w:val="en-US" w:eastAsia="zh-CN"/>
        </w:rPr>
        <w:t>0.37</w:t>
      </w:r>
      <w:r>
        <w:rPr>
          <w:rFonts w:hint="eastAsia" w:ascii="仿宋_GB2312" w:eastAsia="仿宋_GB2312"/>
          <w:sz w:val="28"/>
          <w:szCs w:val="28"/>
        </w:rPr>
        <w:t>万元，公务用车保险</w:t>
      </w:r>
      <w:r>
        <w:rPr>
          <w:rFonts w:ascii="仿宋_GB2312" w:eastAsia="仿宋_GB2312"/>
          <w:sz w:val="28"/>
          <w:szCs w:val="28"/>
        </w:rPr>
        <w:t>0</w:t>
      </w:r>
      <w:r>
        <w:rPr>
          <w:rFonts w:hint="eastAsia" w:ascii="仿宋_GB2312" w:eastAsia="仿宋_GB2312"/>
          <w:sz w:val="28"/>
          <w:szCs w:val="28"/>
          <w:lang w:val="en-US" w:eastAsia="zh-CN"/>
        </w:rPr>
        <w:t>.29</w:t>
      </w:r>
      <w:r>
        <w:rPr>
          <w:rFonts w:hint="eastAsia" w:ascii="仿宋_GB2312" w:eastAsia="仿宋_GB2312"/>
          <w:sz w:val="28"/>
          <w:szCs w:val="28"/>
        </w:rPr>
        <w:t>万元，公务用车其他支出</w:t>
      </w:r>
      <w:r>
        <w:rPr>
          <w:rFonts w:ascii="仿宋_GB2312" w:eastAsia="仿宋_GB2312"/>
          <w:sz w:val="28"/>
          <w:szCs w:val="28"/>
        </w:rPr>
        <w:t>0</w:t>
      </w:r>
      <w:r>
        <w:rPr>
          <w:rFonts w:hint="eastAsia" w:ascii="仿宋_GB2312" w:eastAsia="仿宋_GB2312"/>
          <w:sz w:val="28"/>
          <w:szCs w:val="28"/>
        </w:rPr>
        <w:t>万元。2023年度公务用车保有量</w:t>
      </w:r>
      <w:r>
        <w:rPr>
          <w:rFonts w:hint="eastAsia" w:ascii="仿宋_GB2312" w:eastAsia="仿宋_GB2312"/>
          <w:sz w:val="28"/>
          <w:szCs w:val="28"/>
          <w:lang w:val="en-US" w:eastAsia="zh-CN"/>
        </w:rPr>
        <w:t>2</w:t>
      </w:r>
      <w:r>
        <w:rPr>
          <w:rFonts w:hint="eastAsia" w:ascii="仿宋_GB2312" w:eastAsia="仿宋_GB2312"/>
          <w:sz w:val="28"/>
          <w:szCs w:val="28"/>
        </w:rPr>
        <w:t>辆，车均运行维护费</w:t>
      </w:r>
      <w:r>
        <w:rPr>
          <w:rFonts w:hint="eastAsia" w:ascii="仿宋_GB2312" w:eastAsia="仿宋_GB2312"/>
          <w:sz w:val="28"/>
          <w:szCs w:val="28"/>
          <w:lang w:val="en-US" w:eastAsia="zh-CN"/>
        </w:rPr>
        <w:t>0.58</w:t>
      </w:r>
      <w:r>
        <w:rPr>
          <w:rFonts w:hint="eastAsia" w:ascii="仿宋_GB2312" w:eastAsia="仿宋_GB2312"/>
          <w:sz w:val="28"/>
          <w:szCs w:val="28"/>
        </w:rPr>
        <w:t>万元。</w:t>
      </w:r>
    </w:p>
    <w:p w14:paraId="66D0600C">
      <w:pPr>
        <w:tabs>
          <w:tab w:val="center" w:pos="6979"/>
        </w:tabs>
        <w:ind w:firstLine="554" w:firstLineChars="198"/>
        <w:rPr>
          <w:rFonts w:hint="eastAsia" w:ascii="黑体" w:eastAsia="黑体"/>
          <w:sz w:val="28"/>
          <w:szCs w:val="28"/>
        </w:rPr>
      </w:pPr>
    </w:p>
    <w:p w14:paraId="7855447B">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14:paraId="2955484A">
      <w:pPr>
        <w:ind w:left="54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我单位</w:t>
      </w:r>
      <w:r>
        <w:rPr>
          <w:rFonts w:hint="eastAsia" w:ascii="仿宋_GB2312" w:eastAsia="仿宋_GB2312" w:cs="Times New Roman"/>
          <w:b w:val="0"/>
          <w:kern w:val="2"/>
          <w:sz w:val="28"/>
          <w:szCs w:val="28"/>
          <w:lang w:val="en-US" w:eastAsia="zh-CN" w:bidi="ar-SA"/>
        </w:rPr>
        <w:t>为公益一类事业单位，无机关运行经费支出，</w:t>
      </w:r>
      <w:r>
        <w:rPr>
          <w:rFonts w:hint="eastAsia" w:ascii="仿宋_GB2312" w:hAnsi="Times New Roman" w:eastAsia="仿宋_GB2312" w:cs="Times New Roman"/>
          <w:b w:val="0"/>
          <w:kern w:val="2"/>
          <w:sz w:val="28"/>
          <w:szCs w:val="28"/>
          <w:lang w:val="en-US" w:eastAsia="zh-CN" w:bidi="ar-SA"/>
        </w:rPr>
        <w:t>不在机关运行经费统计范围之内。</w:t>
      </w:r>
    </w:p>
    <w:p w14:paraId="3B8403E0">
      <w:pPr>
        <w:ind w:left="540"/>
        <w:rPr>
          <w:rFonts w:hint="eastAsia" w:ascii="黑体" w:eastAsia="黑体"/>
          <w:sz w:val="28"/>
          <w:szCs w:val="28"/>
        </w:rPr>
      </w:pPr>
    </w:p>
    <w:p w14:paraId="6E35CCE0">
      <w:pPr>
        <w:ind w:left="540"/>
        <w:rPr>
          <w:rFonts w:ascii="黑体" w:eastAsia="黑体"/>
          <w:sz w:val="28"/>
          <w:szCs w:val="28"/>
        </w:rPr>
      </w:pPr>
      <w:r>
        <w:rPr>
          <w:rFonts w:hint="eastAsia" w:ascii="黑体" w:eastAsia="黑体"/>
          <w:sz w:val="28"/>
          <w:szCs w:val="28"/>
        </w:rPr>
        <w:t>三、政府采购支出情况</w:t>
      </w:r>
    </w:p>
    <w:p w14:paraId="74539EEE">
      <w:pPr>
        <w:ind w:firstLine="537" w:firstLineChars="192"/>
        <w:rPr>
          <w:rFonts w:ascii="仿宋_GB2312" w:eastAsia="仿宋_GB2312"/>
          <w:sz w:val="28"/>
          <w:szCs w:val="28"/>
        </w:rPr>
      </w:pPr>
      <w:r>
        <w:rPr>
          <w:rFonts w:hint="eastAsia" w:ascii="仿宋_GB2312" w:eastAsia="仿宋_GB2312"/>
          <w:sz w:val="28"/>
          <w:szCs w:val="28"/>
        </w:rPr>
        <w:t>2023年度政府采购支出总额</w:t>
      </w:r>
      <w:r>
        <w:rPr>
          <w:rFonts w:ascii="仿宋_GB2312" w:eastAsia="仿宋_GB2312"/>
          <w:sz w:val="28"/>
          <w:szCs w:val="28"/>
        </w:rPr>
        <w:t>10.96</w:t>
      </w:r>
      <w:r>
        <w:rPr>
          <w:rFonts w:hint="eastAsia" w:ascii="仿宋_GB2312" w:eastAsia="仿宋_GB2312"/>
          <w:sz w:val="28"/>
          <w:szCs w:val="28"/>
        </w:rPr>
        <w:t>万元，其中：政府采购货物支出</w:t>
      </w:r>
      <w:r>
        <w:rPr>
          <w:rFonts w:ascii="仿宋_GB2312" w:eastAsia="仿宋_GB2312"/>
          <w:sz w:val="28"/>
          <w:szCs w:val="28"/>
        </w:rPr>
        <w:t>1.98</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8.98</w:t>
      </w:r>
      <w:r>
        <w:rPr>
          <w:rFonts w:hint="eastAsia" w:ascii="仿宋_GB2312" w:eastAsia="仿宋_GB2312"/>
          <w:sz w:val="28"/>
          <w:szCs w:val="28"/>
        </w:rPr>
        <w:t>万元。授予中小企业合同金额</w:t>
      </w:r>
      <w:r>
        <w:rPr>
          <w:rFonts w:ascii="仿宋_GB2312" w:eastAsia="仿宋_GB2312"/>
          <w:sz w:val="28"/>
          <w:szCs w:val="28"/>
        </w:rPr>
        <w:t>10.24</w:t>
      </w:r>
      <w:r>
        <w:rPr>
          <w:rFonts w:hint="eastAsia" w:ascii="仿宋_GB2312" w:eastAsia="仿宋_GB2312"/>
          <w:sz w:val="28"/>
          <w:szCs w:val="28"/>
        </w:rPr>
        <w:t>万元，占政府采购支出总额的</w:t>
      </w:r>
      <w:r>
        <w:rPr>
          <w:rFonts w:ascii="仿宋_GB2312" w:eastAsia="仿宋_GB2312"/>
          <w:sz w:val="28"/>
          <w:szCs w:val="28"/>
        </w:rPr>
        <w:t>93.45</w:t>
      </w:r>
      <w:r>
        <w:rPr>
          <w:rFonts w:hint="eastAsia" w:ascii="仿宋_GB2312" w:eastAsia="仿宋_GB2312"/>
          <w:sz w:val="28"/>
          <w:szCs w:val="28"/>
        </w:rPr>
        <w:t>%，其中：授予小微企业合同金额</w:t>
      </w:r>
      <w:r>
        <w:rPr>
          <w:rFonts w:ascii="仿宋_GB2312" w:eastAsia="仿宋_GB2312"/>
          <w:sz w:val="28"/>
          <w:szCs w:val="28"/>
        </w:rPr>
        <w:t>10.24</w:t>
      </w:r>
      <w:r>
        <w:rPr>
          <w:rFonts w:hint="eastAsia" w:ascii="仿宋_GB2312" w:eastAsia="仿宋_GB2312"/>
          <w:sz w:val="28"/>
          <w:szCs w:val="28"/>
        </w:rPr>
        <w:t>万元，占政府采购支出总额的</w:t>
      </w:r>
      <w:r>
        <w:rPr>
          <w:rFonts w:ascii="仿宋_GB2312" w:eastAsia="仿宋_GB2312"/>
          <w:sz w:val="28"/>
          <w:szCs w:val="28"/>
        </w:rPr>
        <w:t>93.45</w:t>
      </w:r>
      <w:r>
        <w:rPr>
          <w:rFonts w:hint="eastAsia" w:ascii="仿宋_GB2312" w:eastAsia="仿宋_GB2312"/>
          <w:sz w:val="28"/>
          <w:szCs w:val="28"/>
        </w:rPr>
        <w:t>%。</w:t>
      </w:r>
    </w:p>
    <w:p w14:paraId="40559335">
      <w:pPr>
        <w:ind w:firstLine="560" w:firstLineChars="200"/>
        <w:rPr>
          <w:rFonts w:ascii="黑体" w:eastAsia="黑体"/>
          <w:sz w:val="28"/>
          <w:szCs w:val="28"/>
          <w:highlight w:val="yellow"/>
        </w:rPr>
      </w:pPr>
      <w:r>
        <w:rPr>
          <w:rFonts w:hint="eastAsia" w:ascii="黑体" w:eastAsia="黑体"/>
          <w:sz w:val="28"/>
          <w:szCs w:val="28"/>
        </w:rPr>
        <w:t>四、国有资产占用情况</w:t>
      </w:r>
    </w:p>
    <w:p w14:paraId="7952A3B2">
      <w:pPr>
        <w:ind w:firstLine="560" w:firstLineChars="200"/>
        <w:rPr>
          <w:rFonts w:ascii="仿宋_GB2312" w:eastAsia="仿宋_GB2312"/>
          <w:sz w:val="32"/>
          <w:szCs w:val="32"/>
        </w:rPr>
      </w:pPr>
      <w:r>
        <w:rPr>
          <w:rFonts w:hint="eastAsia" w:ascii="仿宋_GB2312" w:eastAsia="仿宋_GB2312"/>
          <w:sz w:val="28"/>
          <w:szCs w:val="28"/>
        </w:rPr>
        <w:t>2023年度新购置车辆</w:t>
      </w:r>
      <w:r>
        <w:rPr>
          <w:rFonts w:hint="eastAsia" w:ascii="仿宋_GB2312" w:eastAsia="仿宋_GB2312"/>
          <w:sz w:val="28"/>
          <w:szCs w:val="28"/>
          <w:lang w:val="en-US" w:eastAsia="zh-CN"/>
        </w:rPr>
        <w:t>0</w:t>
      </w:r>
      <w:r>
        <w:rPr>
          <w:rFonts w:hint="eastAsia" w:ascii="仿宋_GB2312" w:eastAsia="仿宋_GB2312"/>
          <w:sz w:val="28"/>
          <w:szCs w:val="28"/>
        </w:rPr>
        <w:t>台，共计</w:t>
      </w:r>
      <w:r>
        <w:rPr>
          <w:rFonts w:hint="eastAsia" w:ascii="仿宋_GB2312" w:eastAsia="仿宋_GB2312"/>
          <w:sz w:val="28"/>
          <w:szCs w:val="28"/>
          <w:lang w:val="en-US" w:eastAsia="zh-CN"/>
        </w:rPr>
        <w:t>0</w:t>
      </w:r>
      <w:r>
        <w:rPr>
          <w:rFonts w:hint="eastAsia" w:ascii="仿宋_GB2312" w:eastAsia="仿宋_GB2312"/>
          <w:sz w:val="28"/>
          <w:szCs w:val="28"/>
        </w:rPr>
        <w:t>万元；新购置单位价值100万元（含）以上的设备</w:t>
      </w:r>
      <w:r>
        <w:rPr>
          <w:rFonts w:hint="eastAsia" w:ascii="仿宋_GB2312" w:eastAsia="仿宋_GB2312"/>
          <w:sz w:val="28"/>
          <w:szCs w:val="28"/>
          <w:lang w:val="en-US" w:eastAsia="zh-CN"/>
        </w:rPr>
        <w:t>0</w:t>
      </w:r>
      <w:r>
        <w:rPr>
          <w:rFonts w:hint="eastAsia" w:ascii="仿宋_GB2312" w:eastAsia="仿宋_GB2312"/>
          <w:sz w:val="28"/>
          <w:szCs w:val="28"/>
        </w:rPr>
        <w:t>台（套），共计</w:t>
      </w:r>
      <w:r>
        <w:rPr>
          <w:rFonts w:hint="eastAsia" w:ascii="仿宋_GB2312" w:eastAsia="仿宋_GB2312"/>
          <w:sz w:val="28"/>
          <w:szCs w:val="28"/>
          <w:lang w:val="en-US" w:eastAsia="zh-CN"/>
        </w:rPr>
        <w:t>0</w:t>
      </w:r>
      <w:r>
        <w:rPr>
          <w:rFonts w:hint="eastAsia" w:ascii="仿宋_GB2312" w:eastAsia="仿宋_GB2312"/>
          <w:sz w:val="28"/>
          <w:szCs w:val="28"/>
        </w:rPr>
        <w:t>万元。截至12月31日，</w:t>
      </w:r>
      <w:r>
        <w:rPr>
          <w:rFonts w:hint="eastAsia" w:ascii="仿宋_GB2312" w:eastAsia="仿宋_GB2312"/>
          <w:sz w:val="28"/>
          <w:szCs w:val="28"/>
          <w:lang w:eastAsia="zh-CN"/>
        </w:rPr>
        <w:t>我单位</w:t>
      </w:r>
      <w:r>
        <w:rPr>
          <w:rFonts w:hint="eastAsia" w:ascii="仿宋_GB2312" w:eastAsia="仿宋_GB2312"/>
          <w:sz w:val="28"/>
          <w:szCs w:val="28"/>
        </w:rPr>
        <w:t>共有车辆</w:t>
      </w:r>
      <w:r>
        <w:rPr>
          <w:rFonts w:hint="eastAsia" w:ascii="仿宋_GB2312" w:eastAsia="仿宋_GB2312"/>
          <w:sz w:val="28"/>
          <w:szCs w:val="28"/>
          <w:lang w:val="en-US" w:eastAsia="zh-CN"/>
        </w:rPr>
        <w:t>2</w:t>
      </w:r>
      <w:r>
        <w:rPr>
          <w:rFonts w:hint="eastAsia" w:ascii="仿宋_GB2312" w:eastAsia="仿宋_GB2312"/>
          <w:sz w:val="28"/>
          <w:szCs w:val="28"/>
        </w:rPr>
        <w:t>台，共计27.18万元；单位价值100万元（含）以上的设备</w:t>
      </w:r>
      <w:r>
        <w:rPr>
          <w:rFonts w:hint="eastAsia" w:ascii="仿宋_GB2312" w:eastAsia="仿宋_GB2312"/>
          <w:sz w:val="28"/>
          <w:szCs w:val="28"/>
          <w:lang w:val="en-US" w:eastAsia="zh-CN"/>
        </w:rPr>
        <w:t>0</w:t>
      </w:r>
      <w:r>
        <w:rPr>
          <w:rFonts w:hint="eastAsia" w:ascii="仿宋_GB2312" w:eastAsia="仿宋_GB2312"/>
          <w:sz w:val="28"/>
          <w:szCs w:val="28"/>
        </w:rPr>
        <w:t>台（套），共计</w:t>
      </w:r>
      <w:r>
        <w:rPr>
          <w:rFonts w:hint="eastAsia" w:ascii="仿宋_GB2312" w:eastAsia="仿宋_GB2312"/>
          <w:sz w:val="28"/>
          <w:szCs w:val="28"/>
          <w:lang w:val="en-US" w:eastAsia="zh-CN"/>
        </w:rPr>
        <w:t>0</w:t>
      </w:r>
      <w:r>
        <w:rPr>
          <w:rFonts w:hint="eastAsia" w:ascii="仿宋_GB2312" w:eastAsia="仿宋_GB2312"/>
          <w:sz w:val="28"/>
          <w:szCs w:val="28"/>
        </w:rPr>
        <w:t>万元。</w:t>
      </w:r>
    </w:p>
    <w:p w14:paraId="69AF41FB">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14:paraId="603C1AAD">
      <w:pPr>
        <w:ind w:firstLine="537" w:firstLineChars="192"/>
        <w:rPr>
          <w:rFonts w:ascii="仿宋_GB2312" w:eastAsia="仿宋_GB2312"/>
          <w:sz w:val="28"/>
          <w:szCs w:val="28"/>
        </w:rPr>
      </w:pPr>
      <w:r>
        <w:rPr>
          <w:rFonts w:hint="eastAsia" w:ascii="仿宋_GB2312" w:eastAsia="仿宋_GB2312"/>
          <w:sz w:val="28"/>
          <w:szCs w:val="28"/>
          <w:lang w:eastAsia="zh-CN"/>
        </w:rPr>
        <w:t>本单位为公益一类事业单位，</w:t>
      </w:r>
      <w:r>
        <w:rPr>
          <w:rFonts w:hint="eastAsia" w:ascii="仿宋_GB2312" w:eastAsia="仿宋_GB2312"/>
          <w:sz w:val="28"/>
          <w:szCs w:val="28"/>
        </w:rPr>
        <w:t>2023年度</w:t>
      </w:r>
      <w:r>
        <w:rPr>
          <w:rFonts w:ascii="仿宋_GB2312" w:eastAsia="仿宋_GB2312"/>
          <w:sz w:val="28"/>
          <w:szCs w:val="28"/>
        </w:rPr>
        <w:t>政府购买服务决算0</w:t>
      </w:r>
      <w:r>
        <w:rPr>
          <w:rFonts w:hint="eastAsia" w:ascii="仿宋_GB2312" w:eastAsia="仿宋_GB2312"/>
          <w:sz w:val="28"/>
          <w:szCs w:val="28"/>
        </w:rPr>
        <w:t>万元。</w:t>
      </w:r>
    </w:p>
    <w:p w14:paraId="717B67C6">
      <w:pPr>
        <w:ind w:firstLine="560" w:firstLineChars="200"/>
        <w:jc w:val="left"/>
        <w:rPr>
          <w:rFonts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14:paraId="323CD6DF">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14:paraId="07E0F584">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14:paraId="4FC7DF26">
      <w:pPr>
        <w:ind w:firstLine="560" w:firstLineChars="200"/>
        <w:rPr>
          <w:rFonts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1B50EC63">
      <w:pPr>
        <w:ind w:firstLine="560" w:firstLineChars="200"/>
        <w:rPr>
          <w:rFonts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14:paraId="42A2AFD4">
      <w:pPr>
        <w:ind w:firstLine="420" w:firstLineChars="15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14:paraId="4ED11809">
      <w:pPr>
        <w:ind w:firstLine="420" w:firstLineChars="15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15EFFAFB">
      <w:pPr>
        <w:ind w:firstLine="420" w:firstLineChars="150"/>
        <w:rPr>
          <w:rFonts w:hint="eastAsia" w:ascii="仿宋_GB2312" w:eastAsia="仿宋_GB2312"/>
          <w:sz w:val="28"/>
          <w:szCs w:val="28"/>
          <w:lang w:eastAsia="zh-CN"/>
        </w:rPr>
      </w:pPr>
      <w:r>
        <w:rPr>
          <w:rFonts w:hint="eastAsia" w:ascii="仿宋_GB2312" w:eastAsia="仿宋_GB2312"/>
          <w:sz w:val="28"/>
          <w:szCs w:val="28"/>
        </w:rPr>
        <w:t>7.一般公共服务支出（类）</w:t>
      </w:r>
      <w:r>
        <w:rPr>
          <w:rFonts w:hint="eastAsia" w:ascii="仿宋_GB2312" w:eastAsia="仿宋_GB2312"/>
          <w:sz w:val="28"/>
          <w:szCs w:val="28"/>
          <w:lang w:eastAsia="zh-CN"/>
        </w:rPr>
        <w:t>商贸事务</w:t>
      </w:r>
      <w:r>
        <w:rPr>
          <w:rFonts w:hint="eastAsia" w:ascii="仿宋_GB2312" w:eastAsia="仿宋_GB2312"/>
          <w:sz w:val="28"/>
          <w:szCs w:val="28"/>
        </w:rPr>
        <w:t>（款）</w:t>
      </w:r>
      <w:r>
        <w:rPr>
          <w:rFonts w:hint="eastAsia" w:ascii="仿宋_GB2312" w:eastAsia="仿宋_GB2312"/>
          <w:sz w:val="28"/>
          <w:szCs w:val="28"/>
          <w:lang w:eastAsia="zh-CN"/>
        </w:rPr>
        <w:t>招商引资</w:t>
      </w:r>
      <w:r>
        <w:rPr>
          <w:rFonts w:hint="eastAsia" w:ascii="仿宋_GB2312" w:eastAsia="仿宋_GB2312"/>
          <w:sz w:val="28"/>
          <w:szCs w:val="28"/>
        </w:rPr>
        <w:t>（项）：</w:t>
      </w:r>
      <w:r>
        <w:rPr>
          <w:rFonts w:hint="eastAsia" w:ascii="仿宋_GB2312" w:eastAsia="仿宋_GB2312"/>
          <w:sz w:val="28"/>
          <w:szCs w:val="28"/>
          <w:lang w:eastAsia="zh-CN"/>
        </w:rPr>
        <w:t>反映用于招商引资、优化经济环境等方面的支出。</w:t>
      </w:r>
    </w:p>
    <w:p w14:paraId="171204BB">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8</w:t>
      </w:r>
      <w:r>
        <w:rPr>
          <w:rFonts w:hint="eastAsia" w:ascii="仿宋_GB2312" w:eastAsia="仿宋_GB2312"/>
          <w:sz w:val="28"/>
          <w:szCs w:val="28"/>
        </w:rPr>
        <w:t>.一般公共服务支出（类）</w:t>
      </w:r>
      <w:r>
        <w:rPr>
          <w:rFonts w:hint="eastAsia" w:ascii="仿宋_GB2312" w:eastAsia="仿宋_GB2312"/>
          <w:sz w:val="28"/>
          <w:szCs w:val="28"/>
          <w:lang w:eastAsia="zh-CN"/>
        </w:rPr>
        <w:t>商贸事务</w:t>
      </w:r>
      <w:r>
        <w:rPr>
          <w:rFonts w:hint="eastAsia" w:ascii="仿宋_GB2312" w:eastAsia="仿宋_GB2312"/>
          <w:sz w:val="28"/>
          <w:szCs w:val="28"/>
        </w:rPr>
        <w:t>（款）</w:t>
      </w:r>
      <w:r>
        <w:rPr>
          <w:rFonts w:hint="eastAsia" w:ascii="仿宋_GB2312" w:eastAsia="仿宋_GB2312"/>
          <w:sz w:val="28"/>
          <w:szCs w:val="28"/>
          <w:lang w:eastAsia="zh-CN"/>
        </w:rPr>
        <w:t>事业运行</w:t>
      </w:r>
      <w:r>
        <w:rPr>
          <w:rFonts w:hint="eastAsia" w:ascii="仿宋_GB2312" w:eastAsia="仿宋_GB2312"/>
          <w:sz w:val="28"/>
          <w:szCs w:val="28"/>
        </w:rPr>
        <w:t>（项）：</w:t>
      </w:r>
      <w:r>
        <w:rPr>
          <w:rFonts w:hint="eastAsia" w:ascii="仿宋_GB2312" w:eastAsia="仿宋_GB2312"/>
          <w:sz w:val="28"/>
          <w:szCs w:val="28"/>
          <w:lang w:eastAsia="zh-CN"/>
        </w:rPr>
        <w:t>反映事业单位的支出。</w:t>
      </w:r>
    </w:p>
    <w:p w14:paraId="7DF2D217">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9</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rPr>
        <w:t>（类）</w:t>
      </w:r>
      <w:r>
        <w:rPr>
          <w:rFonts w:hint="eastAsia" w:ascii="仿宋_GB2312" w:eastAsia="仿宋_GB2312"/>
          <w:sz w:val="28"/>
          <w:szCs w:val="28"/>
          <w:lang w:eastAsia="zh-CN"/>
        </w:rPr>
        <w:t>行政事业单位养老支出</w:t>
      </w:r>
      <w:r>
        <w:rPr>
          <w:rFonts w:hint="eastAsia" w:ascii="仿宋_GB2312" w:eastAsia="仿宋_GB2312"/>
          <w:sz w:val="28"/>
          <w:szCs w:val="28"/>
        </w:rPr>
        <w:t>（款）</w:t>
      </w:r>
      <w:r>
        <w:rPr>
          <w:rFonts w:hint="eastAsia" w:ascii="仿宋_GB2312" w:eastAsia="仿宋_GB2312"/>
          <w:sz w:val="28"/>
          <w:szCs w:val="28"/>
          <w:lang w:eastAsia="zh-CN"/>
        </w:rPr>
        <w:t>机关事业单位基本养老保险缴费支出</w:t>
      </w:r>
      <w:r>
        <w:rPr>
          <w:rFonts w:hint="eastAsia" w:ascii="仿宋_GB2312" w:eastAsia="仿宋_GB2312"/>
          <w:sz w:val="28"/>
          <w:szCs w:val="28"/>
        </w:rPr>
        <w:t>（项）：</w:t>
      </w:r>
      <w:r>
        <w:rPr>
          <w:rFonts w:hint="eastAsia" w:ascii="仿宋_GB2312" w:eastAsia="仿宋_GB2312"/>
          <w:sz w:val="28"/>
          <w:szCs w:val="28"/>
          <w:lang w:eastAsia="zh-CN"/>
        </w:rPr>
        <w:t>反映机关事业单位实施养老保险制度由单位缴纳的基本医疗保险费支出。</w:t>
      </w:r>
    </w:p>
    <w:p w14:paraId="4C594F4C">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10</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rPr>
        <w:t>（类）</w:t>
      </w:r>
      <w:r>
        <w:rPr>
          <w:rFonts w:hint="eastAsia" w:ascii="仿宋_GB2312" w:eastAsia="仿宋_GB2312"/>
          <w:sz w:val="28"/>
          <w:szCs w:val="28"/>
          <w:lang w:eastAsia="zh-CN"/>
        </w:rPr>
        <w:t>行政事业单位养老支出</w:t>
      </w:r>
      <w:r>
        <w:rPr>
          <w:rFonts w:hint="eastAsia" w:ascii="仿宋_GB2312" w:eastAsia="仿宋_GB2312"/>
          <w:sz w:val="28"/>
          <w:szCs w:val="28"/>
        </w:rPr>
        <w:t>（款）</w:t>
      </w:r>
      <w:r>
        <w:rPr>
          <w:rFonts w:hint="eastAsia" w:ascii="仿宋_GB2312" w:eastAsia="仿宋_GB2312"/>
          <w:sz w:val="28"/>
          <w:szCs w:val="28"/>
          <w:lang w:eastAsia="zh-CN"/>
        </w:rPr>
        <w:t>机关事业单位职业年金缴费支出</w:t>
      </w:r>
      <w:r>
        <w:rPr>
          <w:rFonts w:hint="eastAsia" w:ascii="仿宋_GB2312" w:eastAsia="仿宋_GB2312"/>
          <w:sz w:val="28"/>
          <w:szCs w:val="28"/>
        </w:rPr>
        <w:t>（项）：</w:t>
      </w:r>
      <w:r>
        <w:rPr>
          <w:rFonts w:hint="eastAsia" w:ascii="仿宋_GB2312" w:eastAsia="仿宋_GB2312"/>
          <w:sz w:val="28"/>
          <w:szCs w:val="28"/>
          <w:lang w:eastAsia="zh-CN"/>
        </w:rPr>
        <w:t>反映机关事业单位实施养老保险制度由单位实际缴纳的职业年金支出。</w:t>
      </w:r>
    </w:p>
    <w:p w14:paraId="2569CE6F">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11</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rPr>
        <w:t>（类）</w:t>
      </w:r>
      <w:r>
        <w:rPr>
          <w:rFonts w:hint="eastAsia" w:ascii="仿宋_GB2312" w:eastAsia="仿宋_GB2312"/>
          <w:sz w:val="28"/>
          <w:szCs w:val="28"/>
          <w:lang w:eastAsia="zh-CN"/>
        </w:rPr>
        <w:t>财政对其他社会保险基金的补助</w:t>
      </w:r>
      <w:r>
        <w:rPr>
          <w:rFonts w:hint="eastAsia" w:ascii="仿宋_GB2312" w:eastAsia="仿宋_GB2312"/>
          <w:sz w:val="28"/>
          <w:szCs w:val="28"/>
        </w:rPr>
        <w:t>（款）</w:t>
      </w:r>
      <w:r>
        <w:rPr>
          <w:rFonts w:hint="eastAsia" w:ascii="仿宋_GB2312" w:eastAsia="仿宋_GB2312"/>
          <w:sz w:val="28"/>
          <w:szCs w:val="28"/>
          <w:lang w:eastAsia="zh-CN"/>
        </w:rPr>
        <w:t>财政对失业保险基金的补助</w:t>
      </w:r>
      <w:r>
        <w:rPr>
          <w:rFonts w:hint="eastAsia" w:ascii="仿宋_GB2312" w:eastAsia="仿宋_GB2312"/>
          <w:sz w:val="28"/>
          <w:szCs w:val="28"/>
        </w:rPr>
        <w:t>（项）：</w:t>
      </w:r>
      <w:r>
        <w:rPr>
          <w:rFonts w:hint="eastAsia" w:ascii="仿宋_GB2312" w:eastAsia="仿宋_GB2312"/>
          <w:sz w:val="28"/>
          <w:szCs w:val="28"/>
          <w:lang w:eastAsia="zh-CN"/>
        </w:rPr>
        <w:t>反映财政对失业保险基金的补助支出。</w:t>
      </w:r>
    </w:p>
    <w:p w14:paraId="44CB9670">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12</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rPr>
        <w:t>（类）</w:t>
      </w:r>
      <w:r>
        <w:rPr>
          <w:rFonts w:hint="eastAsia" w:ascii="仿宋_GB2312" w:eastAsia="仿宋_GB2312"/>
          <w:sz w:val="28"/>
          <w:szCs w:val="28"/>
          <w:lang w:eastAsia="zh-CN"/>
        </w:rPr>
        <w:t>财政对其他社会保险基金的补助</w:t>
      </w:r>
      <w:r>
        <w:rPr>
          <w:rFonts w:hint="eastAsia" w:ascii="仿宋_GB2312" w:eastAsia="仿宋_GB2312"/>
          <w:sz w:val="28"/>
          <w:szCs w:val="28"/>
        </w:rPr>
        <w:t>（款）</w:t>
      </w:r>
      <w:r>
        <w:rPr>
          <w:rFonts w:hint="eastAsia" w:ascii="仿宋_GB2312" w:eastAsia="仿宋_GB2312"/>
          <w:sz w:val="28"/>
          <w:szCs w:val="28"/>
          <w:lang w:eastAsia="zh-CN"/>
        </w:rPr>
        <w:t>财政对工伤保险基金的补助</w:t>
      </w:r>
      <w:r>
        <w:rPr>
          <w:rFonts w:hint="eastAsia" w:ascii="仿宋_GB2312" w:eastAsia="仿宋_GB2312"/>
          <w:sz w:val="28"/>
          <w:szCs w:val="28"/>
        </w:rPr>
        <w:t>（项）：</w:t>
      </w:r>
      <w:r>
        <w:rPr>
          <w:rFonts w:hint="eastAsia" w:ascii="仿宋_GB2312" w:eastAsia="仿宋_GB2312"/>
          <w:sz w:val="28"/>
          <w:szCs w:val="28"/>
          <w:lang w:eastAsia="zh-CN"/>
        </w:rPr>
        <w:t>反映财政对工伤保险基金的补助支出。</w:t>
      </w:r>
    </w:p>
    <w:p w14:paraId="654BD4D8">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13.</w:t>
      </w:r>
      <w:r>
        <w:rPr>
          <w:rFonts w:hint="eastAsia" w:ascii="仿宋_GB2312" w:eastAsia="仿宋_GB2312"/>
          <w:sz w:val="28"/>
          <w:szCs w:val="28"/>
          <w:lang w:eastAsia="zh-CN"/>
        </w:rPr>
        <w:t>卫生健康支出</w:t>
      </w:r>
      <w:r>
        <w:rPr>
          <w:rFonts w:hint="eastAsia" w:ascii="仿宋_GB2312" w:eastAsia="仿宋_GB2312"/>
          <w:sz w:val="28"/>
          <w:szCs w:val="28"/>
        </w:rPr>
        <w:t>（类）</w:t>
      </w:r>
      <w:r>
        <w:rPr>
          <w:rFonts w:hint="eastAsia" w:ascii="仿宋_GB2312" w:eastAsia="仿宋_GB2312"/>
          <w:sz w:val="28"/>
          <w:szCs w:val="28"/>
          <w:lang w:eastAsia="zh-CN"/>
        </w:rPr>
        <w:t>行政事业单位医疗</w:t>
      </w:r>
      <w:r>
        <w:rPr>
          <w:rFonts w:hint="eastAsia" w:ascii="仿宋_GB2312" w:eastAsia="仿宋_GB2312"/>
          <w:sz w:val="28"/>
          <w:szCs w:val="28"/>
        </w:rPr>
        <w:t>（款）</w:t>
      </w:r>
      <w:r>
        <w:rPr>
          <w:rFonts w:hint="eastAsia" w:ascii="仿宋_GB2312" w:eastAsia="仿宋_GB2312"/>
          <w:sz w:val="28"/>
          <w:szCs w:val="28"/>
          <w:lang w:eastAsia="zh-CN"/>
        </w:rPr>
        <w:t>事业单位医疗</w:t>
      </w:r>
      <w:r>
        <w:rPr>
          <w:rFonts w:hint="eastAsia" w:ascii="仿宋_GB2312" w:eastAsia="仿宋_GB2312"/>
          <w:sz w:val="28"/>
          <w:szCs w:val="28"/>
        </w:rPr>
        <w:t>（项）：</w:t>
      </w:r>
      <w:r>
        <w:rPr>
          <w:rFonts w:hint="eastAsia" w:ascii="仿宋_GB2312" w:eastAsia="仿宋_GB2312"/>
          <w:sz w:val="28"/>
          <w:szCs w:val="28"/>
          <w:lang w:eastAsia="zh-CN"/>
        </w:rPr>
        <w:t>反映财政安排的事业单位基本医疗保险缴费经费，未参加医疗保险的事业单位的公费医疗经费，按国家规定享受离休人员待遇的医疗经费。</w:t>
      </w:r>
    </w:p>
    <w:p w14:paraId="2D179D0C">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14.资源勘探工业信息等支出</w:t>
      </w:r>
      <w:r>
        <w:rPr>
          <w:rFonts w:hint="eastAsia" w:ascii="仿宋_GB2312" w:eastAsia="仿宋_GB2312"/>
          <w:sz w:val="28"/>
          <w:szCs w:val="28"/>
        </w:rPr>
        <w:t>（类）</w:t>
      </w:r>
      <w:r>
        <w:rPr>
          <w:rFonts w:hint="eastAsia" w:ascii="仿宋_GB2312" w:eastAsia="仿宋_GB2312"/>
          <w:sz w:val="28"/>
          <w:szCs w:val="28"/>
          <w:lang w:eastAsia="zh-CN"/>
        </w:rPr>
        <w:t>支持中小企业发展和管理支出</w:t>
      </w:r>
      <w:r>
        <w:rPr>
          <w:rFonts w:hint="eastAsia" w:ascii="仿宋_GB2312" w:eastAsia="仿宋_GB2312"/>
          <w:sz w:val="28"/>
          <w:szCs w:val="28"/>
        </w:rPr>
        <w:t>（款）</w:t>
      </w:r>
      <w:r>
        <w:rPr>
          <w:rFonts w:hint="eastAsia" w:ascii="仿宋_GB2312" w:eastAsia="仿宋_GB2312"/>
          <w:sz w:val="28"/>
          <w:szCs w:val="28"/>
          <w:lang w:eastAsia="zh-CN"/>
        </w:rPr>
        <w:t>其他支持中小企业发展和管理支出</w:t>
      </w:r>
      <w:r>
        <w:rPr>
          <w:rFonts w:hint="eastAsia" w:ascii="仿宋_GB2312" w:eastAsia="仿宋_GB2312"/>
          <w:sz w:val="28"/>
          <w:szCs w:val="28"/>
        </w:rPr>
        <w:t>（项）：</w:t>
      </w:r>
      <w:r>
        <w:rPr>
          <w:rFonts w:hint="eastAsia" w:ascii="仿宋_GB2312" w:eastAsia="仿宋_GB2312"/>
          <w:sz w:val="28"/>
          <w:szCs w:val="28"/>
          <w:lang w:eastAsia="zh-CN"/>
        </w:rPr>
        <w:t>反映其他用于支持中小企业发展和管理方面的支出。</w:t>
      </w:r>
    </w:p>
    <w:p w14:paraId="64927BF1">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15.住房保障支出</w:t>
      </w:r>
      <w:r>
        <w:rPr>
          <w:rFonts w:hint="eastAsia" w:ascii="仿宋_GB2312" w:eastAsia="仿宋_GB2312"/>
          <w:sz w:val="28"/>
          <w:szCs w:val="28"/>
        </w:rPr>
        <w:t>（类）</w:t>
      </w:r>
      <w:r>
        <w:rPr>
          <w:rFonts w:hint="eastAsia" w:ascii="仿宋_GB2312" w:eastAsia="仿宋_GB2312"/>
          <w:sz w:val="28"/>
          <w:szCs w:val="28"/>
          <w:lang w:eastAsia="zh-CN"/>
        </w:rPr>
        <w:t>住房改革支出</w:t>
      </w:r>
      <w:r>
        <w:rPr>
          <w:rFonts w:hint="eastAsia" w:ascii="仿宋_GB2312" w:eastAsia="仿宋_GB2312"/>
          <w:sz w:val="28"/>
          <w:szCs w:val="28"/>
        </w:rPr>
        <w:t>（款）</w:t>
      </w:r>
      <w:r>
        <w:rPr>
          <w:rFonts w:hint="eastAsia" w:ascii="仿宋_GB2312" w:eastAsia="仿宋_GB2312"/>
          <w:sz w:val="28"/>
          <w:szCs w:val="28"/>
          <w:lang w:eastAsia="zh-CN"/>
        </w:rPr>
        <w:t>住房公积金</w:t>
      </w:r>
      <w:r>
        <w:rPr>
          <w:rFonts w:hint="eastAsia" w:ascii="仿宋_GB2312" w:eastAsia="仿宋_GB2312"/>
          <w:sz w:val="28"/>
          <w:szCs w:val="28"/>
        </w:rPr>
        <w:t>（项）：</w:t>
      </w:r>
      <w:r>
        <w:rPr>
          <w:rFonts w:hint="eastAsia" w:ascii="仿宋_GB2312" w:eastAsia="仿宋_GB2312"/>
          <w:sz w:val="28"/>
          <w:szCs w:val="28"/>
          <w:lang w:eastAsia="zh-CN"/>
        </w:rPr>
        <w:t>反映行政事业单位按人力资源和社会保障部、财政部规定的基本工资和津贴补贴以及规定比例为职工缴纳的住房公积金。</w:t>
      </w:r>
    </w:p>
    <w:p w14:paraId="27A9662F">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16.住房保障支出</w:t>
      </w:r>
      <w:r>
        <w:rPr>
          <w:rFonts w:hint="eastAsia" w:ascii="仿宋_GB2312" w:eastAsia="仿宋_GB2312"/>
          <w:sz w:val="28"/>
          <w:szCs w:val="28"/>
        </w:rPr>
        <w:t>（类）</w:t>
      </w:r>
      <w:r>
        <w:rPr>
          <w:rFonts w:hint="eastAsia" w:ascii="仿宋_GB2312" w:eastAsia="仿宋_GB2312"/>
          <w:sz w:val="28"/>
          <w:szCs w:val="28"/>
          <w:lang w:eastAsia="zh-CN"/>
        </w:rPr>
        <w:t>住房改革支出</w:t>
      </w:r>
      <w:r>
        <w:rPr>
          <w:rFonts w:hint="eastAsia" w:ascii="仿宋_GB2312" w:eastAsia="仿宋_GB2312"/>
          <w:sz w:val="28"/>
          <w:szCs w:val="28"/>
        </w:rPr>
        <w:t>（款）</w:t>
      </w:r>
      <w:r>
        <w:rPr>
          <w:rFonts w:hint="eastAsia" w:ascii="仿宋_GB2312" w:eastAsia="仿宋_GB2312"/>
          <w:sz w:val="28"/>
          <w:szCs w:val="28"/>
          <w:lang w:eastAsia="zh-CN"/>
        </w:rPr>
        <w:t>购房补贴</w:t>
      </w:r>
      <w:r>
        <w:rPr>
          <w:rFonts w:hint="eastAsia" w:ascii="仿宋_GB2312" w:eastAsia="仿宋_GB2312"/>
          <w:sz w:val="28"/>
          <w:szCs w:val="28"/>
        </w:rPr>
        <w:t>（项）：</w:t>
      </w:r>
      <w:r>
        <w:rPr>
          <w:rFonts w:hint="eastAsia" w:ascii="仿宋_GB2312" w:eastAsia="仿宋_GB2312"/>
          <w:sz w:val="28"/>
          <w:szCs w:val="28"/>
          <w:lang w:eastAsia="zh-CN"/>
        </w:rPr>
        <w:t>反映按房改政策规定，行政事业单位向符合条件的职工（含离退休人员）发放的用于购买住房的补贴。</w:t>
      </w:r>
    </w:p>
    <w:p w14:paraId="0B7EB44B">
      <w:pPr>
        <w:rPr>
          <w:rFonts w:ascii="仿宋_GB2312" w:eastAsia="仿宋_GB2312"/>
          <w:sz w:val="28"/>
          <w:szCs w:val="28"/>
        </w:rPr>
      </w:pPr>
    </w:p>
    <w:p w14:paraId="37175EAE">
      <w:pPr>
        <w:ind w:firstLine="632" w:firstLineChars="200"/>
        <w:rPr>
          <w:rFonts w:ascii="仿宋_GB2312" w:eastAsia="仿宋_GB2312"/>
          <w:b/>
          <w:color w:val="000000"/>
          <w:spacing w:val="-2"/>
          <w:sz w:val="32"/>
          <w:szCs w:val="32"/>
        </w:rPr>
      </w:pPr>
    </w:p>
    <w:p w14:paraId="2758E789">
      <w:pPr>
        <w:ind w:firstLine="640" w:firstLineChars="200"/>
        <w:jc w:val="center"/>
        <w:rPr>
          <w:rFonts w:ascii="黑体" w:eastAsia="黑体"/>
          <w:sz w:val="32"/>
          <w:szCs w:val="32"/>
        </w:rPr>
      </w:pPr>
    </w:p>
    <w:p w14:paraId="3F13D723">
      <w:pPr>
        <w:ind w:firstLine="640" w:firstLineChars="200"/>
        <w:jc w:val="center"/>
        <w:rPr>
          <w:rFonts w:ascii="黑体" w:eastAsia="黑体"/>
          <w:sz w:val="32"/>
          <w:szCs w:val="32"/>
        </w:rPr>
      </w:pPr>
    </w:p>
    <w:p w14:paraId="44022790">
      <w:pPr>
        <w:ind w:firstLine="640" w:firstLineChars="200"/>
        <w:jc w:val="center"/>
        <w:rPr>
          <w:rFonts w:hint="eastAsia"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w:t>
      </w:r>
      <w:r>
        <w:rPr>
          <w:rFonts w:hint="eastAsia" w:ascii="黑体" w:eastAsia="黑体"/>
          <w:sz w:val="32"/>
          <w:szCs w:val="32"/>
          <w:lang w:val="en-US" w:eastAsia="zh-CN"/>
        </w:rPr>
        <w:t>3</w:t>
      </w:r>
      <w:r>
        <w:rPr>
          <w:rFonts w:hint="eastAsia" w:ascii="黑体" w:eastAsia="黑体"/>
          <w:sz w:val="32"/>
          <w:szCs w:val="32"/>
          <w:lang w:eastAsia="zh-CN"/>
        </w:rPr>
        <w:t>年度</w:t>
      </w:r>
      <w:r>
        <w:rPr>
          <w:rFonts w:hint="eastAsia" w:ascii="黑体" w:eastAsia="黑体"/>
          <w:sz w:val="32"/>
          <w:szCs w:val="32"/>
        </w:rPr>
        <w:t>部门绩效评价情况</w:t>
      </w:r>
    </w:p>
    <w:p w14:paraId="111D966D">
      <w:pPr>
        <w:ind w:firstLine="560" w:firstLineChars="200"/>
        <w:rPr>
          <w:rFonts w:hint="eastAsia" w:ascii="黑体" w:eastAsia="黑体"/>
          <w:sz w:val="28"/>
          <w:szCs w:val="28"/>
          <w:highlight w:val="yellow"/>
        </w:rPr>
      </w:pPr>
    </w:p>
    <w:p w14:paraId="5F1A33E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lang w:eastAsia="zh-CN"/>
        </w:rPr>
      </w:pPr>
      <w:r>
        <w:rPr>
          <w:rFonts w:hint="eastAsia" w:ascii="黑体" w:eastAsia="黑体"/>
          <w:sz w:val="28"/>
          <w:szCs w:val="28"/>
          <w:highlight w:val="none"/>
          <w:lang w:eastAsia="zh-CN"/>
        </w:rPr>
        <w:t>一</w:t>
      </w:r>
      <w:r>
        <w:rPr>
          <w:rFonts w:hint="eastAsia" w:ascii="黑体" w:eastAsia="黑体"/>
          <w:sz w:val="28"/>
          <w:szCs w:val="28"/>
          <w:highlight w:val="none"/>
        </w:rPr>
        <w:t>、</w:t>
      </w:r>
      <w:r>
        <w:rPr>
          <w:rFonts w:hint="eastAsia" w:ascii="黑体" w:eastAsia="黑体"/>
          <w:sz w:val="28"/>
          <w:szCs w:val="28"/>
          <w:highlight w:val="none"/>
          <w:lang w:eastAsia="zh-CN"/>
        </w:rPr>
        <w:t>重点</w:t>
      </w:r>
      <w:r>
        <w:rPr>
          <w:rFonts w:hint="eastAsia" w:ascii="黑体" w:eastAsia="黑体"/>
          <w:sz w:val="28"/>
          <w:szCs w:val="28"/>
          <w:highlight w:val="none"/>
        </w:rPr>
        <w:t>项目</w:t>
      </w:r>
      <w:r>
        <w:rPr>
          <w:rFonts w:hint="eastAsia" w:ascii="黑体" w:eastAsia="黑体"/>
          <w:sz w:val="28"/>
          <w:szCs w:val="28"/>
          <w:highlight w:val="none"/>
          <w:lang w:eastAsia="zh-CN"/>
        </w:rPr>
        <w:t>支出</w:t>
      </w:r>
      <w:r>
        <w:rPr>
          <w:rFonts w:hint="eastAsia" w:ascii="黑体" w:eastAsia="黑体"/>
          <w:sz w:val="28"/>
          <w:szCs w:val="28"/>
          <w:highlight w:val="none"/>
        </w:rPr>
        <w:t>绩效评价报告</w:t>
      </w:r>
    </w:p>
    <w:p w14:paraId="75F0FF3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基本情况</w:t>
      </w:r>
    </w:p>
    <w:p w14:paraId="50A5E9B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项目概况</w:t>
      </w:r>
    </w:p>
    <w:p w14:paraId="79530B01">
      <w:pPr>
        <w:ind w:firstLine="560" w:firstLineChars="200"/>
        <w:rPr>
          <w:rFonts w:hint="eastAsia"/>
        </w:rPr>
      </w:pPr>
      <w:r>
        <w:rPr>
          <w:rFonts w:hint="eastAsia" w:ascii="仿宋_GB2312" w:eastAsia="仿宋_GB2312"/>
          <w:sz w:val="28"/>
          <w:szCs w:val="28"/>
          <w:lang w:eastAsia="zh-CN"/>
        </w:rPr>
        <w:t>本单位2023年实行绩效考核的项目10个，项目金额296.88万元，主要包括：（1）服务企业培训活动25万；（2）走进通州系列活动20万；（3）招商平台建设经费50万；（4）海外推介及全球路演17万；（5）宣传资料及媒体宣传经费27.95万；（6）营商环境专项宣传20万；（7）聚焦通州系列活动16.93万；（8）产业促进服务经费60万；（9）“四个一”招商工作机制绩效评价体系建立及季度绩效评价工作40万；（10）《通州区产业高质量发展指标体系》及专报工作经费20 万； 全部按进度支出完毕，执行率100%</w:t>
      </w:r>
    </w:p>
    <w:p w14:paraId="19CEE8B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280" w:firstLineChars="100"/>
        <w:textAlignment w:val="auto"/>
        <w:rPr>
          <w:rFonts w:hint="eastAsia"/>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项目绩效目标。包括总体目标和阶段性目标。</w:t>
      </w:r>
    </w:p>
    <w:p w14:paraId="61FED92C">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区投促中心根据202</w:t>
      </w:r>
      <w:r>
        <w:rPr>
          <w:rFonts w:hint="eastAsia" w:ascii="仿宋_GB2312" w:eastAsia="仿宋_GB2312" w:cs="Times New Roman"/>
          <w:kern w:val="2"/>
          <w:sz w:val="28"/>
          <w:szCs w:val="28"/>
          <w:lang w:val="en-US" w:eastAsia="zh-CN" w:bidi="ar-SA"/>
        </w:rPr>
        <w:t>3</w:t>
      </w:r>
      <w:r>
        <w:rPr>
          <w:rFonts w:hint="eastAsia" w:ascii="仿宋_GB2312" w:hAnsi="Times New Roman" w:eastAsia="仿宋_GB2312" w:cs="Times New Roman"/>
          <w:kern w:val="2"/>
          <w:sz w:val="28"/>
          <w:szCs w:val="28"/>
          <w:lang w:val="en-US" w:eastAsia="zh-CN" w:bidi="ar-SA"/>
        </w:rPr>
        <w:t>年度部门重点工作任务分解和部门年度工作计划制定了部门年度绩效目标，包括总体目标和具体目标。</w:t>
      </w:r>
    </w:p>
    <w:p w14:paraId="07A35B3C">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总体绩效目标</w:t>
      </w:r>
      <w:r>
        <w:rPr>
          <w:rFonts w:hint="eastAsia" w:ascii="仿宋_GB2312" w:eastAsia="仿宋_GB2312" w:cs="Times New Roman"/>
          <w:kern w:val="2"/>
          <w:sz w:val="28"/>
          <w:szCs w:val="28"/>
          <w:lang w:val="en-US" w:eastAsia="zh-CN" w:bidi="ar-SA"/>
        </w:rPr>
        <w:t>：</w:t>
      </w:r>
    </w:p>
    <w:p w14:paraId="65D633C5">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围绕副中心功能定位，着力引进“高精尖”项目。聚焦行政办公、商务服务、文化旅游、科技创新“3+1”主导功能，围绕行政办公、商务服务、文化旅游、科技创新四大产业板块，以重点项目引进为突破口，加速优质企业落户发展。</w:t>
      </w:r>
    </w:p>
    <w:p w14:paraId="22349E72">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加强政策集成创新，优化营商环境。利用新一轮服务业扩大开放先导区政策优势，把试点政策用足用好，引进总部经济、商务服务等优质项目。继续设计完善《关于加快推进北京城市副中心高精尖产业发展若干措施》（简称“通八条”）申报程序和流程，建立通州区产业政策与资金管理平台，加速政策兑现，提高办事效率，进一步优化营商环境。</w:t>
      </w:r>
    </w:p>
    <w:p w14:paraId="0A92EFB6">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（3）进一步统筹招商中介机构力量，开展市场化招商。充分激发中介机构的招商、渠道、研究、平台等优势，全方位多领域的参与全区招商引资和投资促进工作。</w:t>
      </w:r>
    </w:p>
    <w:p w14:paraId="73C52AD4">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依托产促会办公室职能，强化招商工作统筹。全区产业发展促进委员会办公室设在本中心。鉴于此项工作职责，依托产促会议事机构和机制，进一步健全“一口进一口出”全流程服务体系，通过召开全会和专题会、研究改革事项、制定专项政策等方式，统筹全区招商力量，理顺招商服务流程，优化项目引进、落地与清退机制，助推“高精尖”产业项目高效落地、尽快形成产出效益。</w:t>
      </w:r>
    </w:p>
    <w:p w14:paraId="685B586C">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5）利用活动平台,强化宣传推介。一是“请进来”，与中介机构、商协会等组织策划“走进副中心”主题系列活动，邀请符合功能定位的企业实地考察、座谈交流，促进企业项目对接落地。二是“走出去”，借助“京交会”、“京港会”、“京澳会”、“厦洽会”等投资性展会与高端活动平台，强化副中心经济形象宣传，大力推介投资环境和重点区域项目，引资优质资源要素集聚。</w:t>
      </w:r>
    </w:p>
    <w:p w14:paraId="636D2D9C">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6）多级联动，做好企业服务。进一步完善企业服务机制，强化重点高精尖企业服务统筹，落实重点企业服务专班工作，加强多部门联动，提高服务质量；切实发挥区产业促进委员会作用，对重点企业进行一对一全生命周期的服务；搭设服务平台，加强政企沟通交流，做好政策解读、企业协调、服务工作；落实“项目专员制”，为企业在“资金”、“人才、“就学”、“就医”、“保障房”等方面提供服务，做好企业的“保姆式”管家。</w:t>
      </w:r>
    </w:p>
    <w:p w14:paraId="30B37E26">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具体阶段目标主要包括</w:t>
      </w:r>
      <w:r>
        <w:rPr>
          <w:rFonts w:hint="eastAsia" w:ascii="仿宋_GB2312" w:eastAsia="仿宋_GB2312" w:cs="Times New Roman"/>
          <w:kern w:val="2"/>
          <w:sz w:val="28"/>
          <w:szCs w:val="28"/>
          <w:lang w:val="en-US" w:eastAsia="zh-CN" w:bidi="ar-SA"/>
        </w:rPr>
        <w:t>：</w:t>
      </w:r>
    </w:p>
    <w:p w14:paraId="659A745D">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（1）开展投资促进相关培训</w:t>
      </w:r>
      <w:r>
        <w:rPr>
          <w:rFonts w:hint="eastAsia" w:ascii="仿宋_GB2312" w:eastAsia="仿宋_GB2312" w:cs="Times New Roman"/>
          <w:kern w:val="2"/>
          <w:sz w:val="28"/>
          <w:szCs w:val="28"/>
          <w:lang w:val="en-US" w:eastAsia="zh-CN" w:bidi="ar-SA"/>
        </w:rPr>
        <w:t>及企业家沙龙</w:t>
      </w:r>
      <w:r>
        <w:rPr>
          <w:rFonts w:hint="eastAsia" w:ascii="仿宋_GB2312" w:hAnsi="Times New Roman" w:eastAsia="仿宋_GB2312" w:cs="Times New Roman"/>
          <w:kern w:val="2"/>
          <w:sz w:val="28"/>
          <w:szCs w:val="28"/>
          <w:lang w:val="en-US" w:eastAsia="zh-CN" w:bidi="ar-SA"/>
        </w:rPr>
        <w:t>不少6场；</w:t>
      </w:r>
    </w:p>
    <w:p w14:paraId="506BD9E5">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（2）开展走进通州系列活动，全年不少于</w:t>
      </w:r>
      <w:r>
        <w:rPr>
          <w:rFonts w:hint="eastAsia" w:ascii="仿宋_GB2312" w:eastAsia="仿宋_GB2312" w:cs="Times New Roman"/>
          <w:kern w:val="2"/>
          <w:sz w:val="28"/>
          <w:szCs w:val="28"/>
          <w:lang w:val="en-US" w:eastAsia="zh-CN" w:bidi="ar-SA"/>
        </w:rPr>
        <w:t>8</w:t>
      </w:r>
      <w:r>
        <w:rPr>
          <w:rFonts w:hint="eastAsia" w:ascii="仿宋_GB2312" w:hAnsi="Times New Roman" w:eastAsia="仿宋_GB2312" w:cs="Times New Roman"/>
          <w:kern w:val="2"/>
          <w:sz w:val="28"/>
          <w:szCs w:val="28"/>
          <w:lang w:val="en-US" w:eastAsia="zh-CN" w:bidi="ar-SA"/>
        </w:rPr>
        <w:t>场；</w:t>
      </w:r>
    </w:p>
    <w:p w14:paraId="32E39BA1">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（3）打造“高精尖”产业招商平台，对接高端项目和企业，形成高端集聚，形成在谈项目20个；</w:t>
      </w:r>
    </w:p>
    <w:p w14:paraId="3EC02D08">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（4）参与北京市投资促进局海外推介宣传活动</w:t>
      </w:r>
      <w:r>
        <w:rPr>
          <w:rFonts w:hint="eastAsia" w:ascii="仿宋_GB2312" w:eastAsia="仿宋_GB2312" w:cs="Times New Roman"/>
          <w:kern w:val="2"/>
          <w:sz w:val="28"/>
          <w:szCs w:val="28"/>
          <w:lang w:val="en-US" w:eastAsia="zh-CN" w:bidi="ar-SA"/>
        </w:rPr>
        <w:t>全年不少于1次</w:t>
      </w:r>
      <w:r>
        <w:rPr>
          <w:rFonts w:hint="eastAsia" w:ascii="仿宋_GB2312" w:hAnsi="Times New Roman" w:eastAsia="仿宋_GB2312" w:cs="Times New Roman"/>
          <w:kern w:val="2"/>
          <w:sz w:val="28"/>
          <w:szCs w:val="28"/>
          <w:lang w:val="en-US" w:eastAsia="zh-CN" w:bidi="ar-SA"/>
        </w:rPr>
        <w:t>，开展重点产业项目实地对接</w:t>
      </w:r>
      <w:r>
        <w:rPr>
          <w:rFonts w:hint="eastAsia" w:ascii="仿宋_GB2312" w:eastAsia="仿宋_GB2312" w:cs="Times New Roman"/>
          <w:kern w:val="2"/>
          <w:sz w:val="28"/>
          <w:szCs w:val="28"/>
          <w:lang w:val="en-US" w:eastAsia="zh-CN" w:bidi="ar-SA"/>
        </w:rPr>
        <w:t>每年不少于1次</w:t>
      </w:r>
      <w:r>
        <w:rPr>
          <w:rFonts w:hint="eastAsia" w:ascii="仿宋_GB2312" w:hAnsi="Times New Roman" w:eastAsia="仿宋_GB2312" w:cs="Times New Roman"/>
          <w:kern w:val="2"/>
          <w:sz w:val="28"/>
          <w:szCs w:val="28"/>
          <w:lang w:val="en-US" w:eastAsia="zh-CN" w:bidi="ar-SA"/>
        </w:rPr>
        <w:t>；</w:t>
      </w:r>
    </w:p>
    <w:p w14:paraId="1F8994B7">
      <w:pPr>
        <w:pStyle w:val="2"/>
        <w:ind w:left="1398" w:leftChars="266" w:hanging="840" w:hangingChars="3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（5）聚焦通州系列活动，参加北京香港经济合作研讨洽谈会、中国国际投资贸易洽谈会、中国国际服务贸易交易会、中国国际进口博览会；</w:t>
      </w:r>
    </w:p>
    <w:p w14:paraId="4B3BFEBE">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（6）微信公众号信息发布，每周2次，每次</w:t>
      </w:r>
      <w:r>
        <w:rPr>
          <w:rFonts w:hint="eastAsia" w:ascii="仿宋_GB2312" w:eastAsia="仿宋_GB2312" w:cs="Times New Roman"/>
          <w:kern w:val="2"/>
          <w:sz w:val="28"/>
          <w:szCs w:val="28"/>
          <w:lang w:val="en-US" w:eastAsia="zh-CN" w:bidi="ar-SA"/>
        </w:rPr>
        <w:t>2-3</w:t>
      </w:r>
      <w:r>
        <w:rPr>
          <w:rFonts w:hint="eastAsia" w:ascii="仿宋_GB2312" w:hAnsi="Times New Roman" w:eastAsia="仿宋_GB2312" w:cs="Times New Roman"/>
          <w:kern w:val="2"/>
          <w:sz w:val="28"/>
          <w:szCs w:val="28"/>
          <w:lang w:val="en-US" w:eastAsia="zh-CN" w:bidi="ar-SA"/>
        </w:rPr>
        <w:t>条；</w:t>
      </w:r>
    </w:p>
    <w:p w14:paraId="0BD026AA">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（7）开展媒体宣传工作，制作宣传资料，杂志宣传推广</w:t>
      </w:r>
      <w:r>
        <w:rPr>
          <w:rFonts w:hint="eastAsia" w:ascii="仿宋_GB2312" w:eastAsia="仿宋_GB2312" w:cs="Times New Roman"/>
          <w:kern w:val="2"/>
          <w:sz w:val="28"/>
          <w:szCs w:val="28"/>
          <w:lang w:val="en-US" w:eastAsia="zh-CN" w:bidi="ar-SA"/>
        </w:rPr>
        <w:t>（每月1次），抖音号运营，每年发布不少于96条视频</w:t>
      </w:r>
      <w:r>
        <w:rPr>
          <w:rFonts w:hint="eastAsia" w:ascii="仿宋_GB2312" w:hAnsi="Times New Roman" w:eastAsia="仿宋_GB2312" w:cs="Times New Roman"/>
          <w:kern w:val="2"/>
          <w:sz w:val="28"/>
          <w:szCs w:val="28"/>
          <w:lang w:val="en-US" w:eastAsia="zh-CN" w:bidi="ar-SA"/>
        </w:rPr>
        <w:t>；</w:t>
      </w:r>
    </w:p>
    <w:p w14:paraId="3E8262D4">
      <w:pPr>
        <w:pStyle w:val="2"/>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（8）</w:t>
      </w:r>
      <w:r>
        <w:rPr>
          <w:rFonts w:hint="eastAsia" w:ascii="仿宋_GB2312" w:hAnsi="Times New Roman" w:eastAsia="仿宋_GB2312" w:cs="Times New Roman"/>
          <w:kern w:val="2"/>
          <w:sz w:val="28"/>
          <w:szCs w:val="28"/>
          <w:lang w:val="en-US" w:eastAsia="zh-CN" w:bidi="ar-SA"/>
        </w:rPr>
        <w:t>完善后的《通州区产业高质量发展指标体系》及编制专报梳理不少于1篇；</w:t>
      </w:r>
    </w:p>
    <w:p w14:paraId="4047AC20">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（9）开展“四个一”招商工作机制绩效评价体系建立及每季度绩效评价工作全年不少于4次；</w:t>
      </w:r>
    </w:p>
    <w:p w14:paraId="14B51305">
      <w:pPr>
        <w:pStyle w:val="2"/>
        <w:ind w:left="1398" w:leftChars="266" w:hanging="840" w:hangingChars="300"/>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（10）开展“关于加快推进北京城市副中心高精尖产业发展若干措施”系列奖励资金风险控制，对企业真实性调查，全年不少于1次；</w:t>
      </w:r>
    </w:p>
    <w:p w14:paraId="58045B9F">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仿宋_GB2312" w:eastAsia="仿宋_GB2312" w:cs="Times New Roman"/>
          <w:kern w:val="2"/>
          <w:sz w:val="28"/>
          <w:szCs w:val="28"/>
          <w:lang w:val="en-US" w:eastAsia="zh-CN" w:bidi="ar-SA"/>
        </w:rPr>
        <w:t>11</w:t>
      </w:r>
      <w:r>
        <w:rPr>
          <w:rFonts w:hint="eastAsia" w:ascii="仿宋_GB2312" w:hAnsi="Times New Roman" w:eastAsia="仿宋_GB2312" w:cs="Times New Roman"/>
          <w:kern w:val="2"/>
          <w:sz w:val="28"/>
          <w:szCs w:val="28"/>
          <w:lang w:val="en-US" w:eastAsia="zh-CN" w:bidi="ar-SA"/>
        </w:rPr>
        <w:t>）按照区财政局绩效考核要求，做好绩效跟踪工作，做好信息公开；</w:t>
      </w:r>
    </w:p>
    <w:p w14:paraId="132D6885">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仿宋_GB2312" w:eastAsia="仿宋_GB2312" w:cs="Times New Roman"/>
          <w:kern w:val="2"/>
          <w:sz w:val="28"/>
          <w:szCs w:val="28"/>
          <w:lang w:val="en-US" w:eastAsia="zh-CN" w:bidi="ar-SA"/>
        </w:rPr>
        <w:t>12</w:t>
      </w:r>
      <w:r>
        <w:rPr>
          <w:rFonts w:hint="eastAsia" w:ascii="仿宋_GB2312" w:hAnsi="Times New Roman" w:eastAsia="仿宋_GB2312" w:cs="Times New Roman"/>
          <w:kern w:val="2"/>
          <w:sz w:val="28"/>
          <w:szCs w:val="28"/>
          <w:lang w:val="en-US" w:eastAsia="zh-CN" w:bidi="ar-SA"/>
        </w:rPr>
        <w:t>）落实全面从严治党、开展理论学习，接诉即办任务响应100%。</w:t>
      </w:r>
    </w:p>
    <w:p w14:paraId="4344097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绩效评价工作开展情况</w:t>
      </w:r>
    </w:p>
    <w:p w14:paraId="7A288DE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绩效评价目的、对象和范围。</w:t>
      </w:r>
    </w:p>
    <w:p w14:paraId="1A68EDEF">
      <w:pPr>
        <w:pStyle w:val="11"/>
        <w:ind w:firstLine="560" w:firstLineChars="200"/>
        <w:rPr>
          <w:rFonts w:hint="eastAsia" w:ascii="仿宋_GB2312" w:hAnsi="仿宋_GB2312" w:eastAsia="仿宋_GB2312" w:cs="仿宋_GB2312"/>
          <w:sz w:val="28"/>
          <w:szCs w:val="28"/>
        </w:rPr>
      </w:pPr>
      <w:r>
        <w:rPr>
          <w:rFonts w:hint="eastAsia" w:ascii="仿宋_GB2312" w:hAnsi="Times New Roman" w:eastAsia="仿宋_GB2312" w:cs="Times New Roman"/>
          <w:b w:val="0"/>
          <w:kern w:val="2"/>
          <w:sz w:val="28"/>
          <w:szCs w:val="28"/>
          <w:lang w:val="en-US" w:eastAsia="zh-CN" w:bidi="ar-SA"/>
        </w:rPr>
        <w:t>通过绩效评价，衡量和考核区投促中心使用财政资金的绩效实现情况，了解、分析和检验资金使用是否达到预期目标，资金管理是否规范，资金使用是否有效。绩效评价工作组通过对区投促中心所实施的部门决策、部门管理、部门绩效三方面进行评价，通过评价发现问题，提出改进意见和建议，促进预算资金分配的规范化、资源配置的合理性，采取切实措施进一步改进和加强财政支出管理，从而有效提高财政资金的使用效益。</w:t>
      </w:r>
    </w:p>
    <w:p w14:paraId="30AD024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绩效评价原则、评价指标体系（附表说明）、评价方法、评价标准等。</w:t>
      </w:r>
    </w:p>
    <w:p w14:paraId="760FE9CF">
      <w:pPr>
        <w:pStyle w:val="11"/>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1）评价原则</w:t>
      </w:r>
    </w:p>
    <w:p w14:paraId="15D48F68">
      <w:pPr>
        <w:pStyle w:val="11"/>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评价工作遵循“客观、公正、科学、规范”的原则对财政支出预算进行绩效评价，主要内容包括部门整体绩效目标设定情况、部门决策情况、部门资金投入和使用情况、部门实施与管理情况、部门绩效目标的实现程度和财政支出的效果情况。同时，也关注部门资产管理、制度建设、部门履职以及预算绩效管理情况。</w:t>
      </w:r>
    </w:p>
    <w:p w14:paraId="43FDB607">
      <w:pPr>
        <w:pStyle w:val="11"/>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2）评价方法</w:t>
      </w:r>
    </w:p>
    <w:p w14:paraId="3F4F1D2C">
      <w:pPr>
        <w:pStyle w:val="11"/>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根据《通州区财政支出绩效评价管理暂行办法》的具体要求，结合区投促中心部门特点，针对部门决策、部门管理和部门绩效三个评价维度，依据部门绩效评价指标体系，以定性和定量相结合的方式进行全方位评价。主要采用方法：</w:t>
      </w:r>
    </w:p>
    <w:p w14:paraId="13C9E1BC">
      <w:pPr>
        <w:pStyle w:val="11"/>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1）专家评价法。主要是依靠业务专家、财务专家、财政专家、绩效管理专家以问题为导向，以提供的部门资料为基础，从不同的角度提出存在的问题，并以专家会的形式与项区投促中心进行沟通，充分听取区投促中心的解释或对问题的澄清，在此基础上由专家进行综合评价；</w:t>
      </w:r>
    </w:p>
    <w:p w14:paraId="0E65C9BC">
      <w:pPr>
        <w:pStyle w:val="11"/>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（2）公众评判法。主要是通过对区投促中心提供的公众满意度调查问卷的科学性、有效性进行评价；</w:t>
      </w:r>
    </w:p>
    <w:p w14:paraId="7298B794">
      <w:pPr>
        <w:pStyle w:val="11"/>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（3）成本效益分析法。坚持成本效益原则，依据财政预算管理的要求，对预算编制合理性性、项目成本构成的合理性等关键环节进行深入分析，分析是否实现了以最小的投入获取效益最大化；</w:t>
      </w:r>
    </w:p>
    <w:p w14:paraId="711F3991">
      <w:pPr>
        <w:pStyle w:val="11"/>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（4）比较法。主要针对历史性数据比较，与预期绩效目标申报表有关目标和指标值的比较，检验绩效目标实现程度，评价部门绩效及成果价值。</w:t>
      </w:r>
    </w:p>
    <w:p w14:paraId="3A9E015F">
      <w:pPr>
        <w:pStyle w:val="11"/>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3）指标体系与评分标准</w:t>
      </w:r>
    </w:p>
    <w:p w14:paraId="01C213B7">
      <w:pPr>
        <w:pStyle w:val="11"/>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根据北京市通州区财政支出绩效评价体系框架，围绕部门决策、部门管理、部门绩效三个维度分解制定“2023年度区投促中心部门整体支出项目”绩效评价指标体系，并根据指标的重要性与相关性确定权重，参考历史数据及部门绩效评价等级要求确定评分标准。</w:t>
      </w:r>
    </w:p>
    <w:p w14:paraId="01F1548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绩效评价工作过程。</w:t>
      </w:r>
    </w:p>
    <w:p w14:paraId="04DA861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Times New Roman" w:eastAsia="仿宋_GB2312" w:cs="Times New Roman"/>
          <w:sz w:val="28"/>
          <w:szCs w:val="28"/>
          <w:lang w:eastAsia="zh-CN"/>
        </w:rPr>
        <w:t>我单位202</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lang w:eastAsia="zh-CN"/>
        </w:rPr>
        <w:t>上半年和下半年各开展一次部门绩效跟踪工作。</w:t>
      </w:r>
      <w:r>
        <w:rPr>
          <w:rFonts w:hint="eastAsia" w:ascii="仿宋_GB2312" w:eastAsia="仿宋_GB2312"/>
          <w:sz w:val="28"/>
          <w:szCs w:val="28"/>
          <w:lang w:eastAsia="zh-CN"/>
        </w:rPr>
        <w:t xml:space="preserve">本单位2023年实行绩效考核的项目10个，项目金额296.88万元，主要包括：（1）服务企业培训活动25万；（2）走进通州系列活动20万；（3）招商平台建设经费50万；（4）海外推介及全球路演17万；（5）宣传资料及媒体宣传经费27.95万；（6）营商环境专项宣传20万；（7）聚焦通州系列活动16.93万；（8）产业促进服务经费60万；（9）“四个一”招商工作机制绩效评价体系建立及季度绩效评价工作40万；（10）《通州区产业高质量发展指标体系》及专报工作经费20 万； </w:t>
      </w:r>
    </w:p>
    <w:p w14:paraId="002BF1A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综合评价情况及评价结论（附相关评分表）</w:t>
      </w:r>
    </w:p>
    <w:p w14:paraId="542941C8">
      <w:pPr>
        <w:keepNext w:val="0"/>
        <w:keepLines w:val="0"/>
        <w:pageBreakBefore w:val="0"/>
        <w:widowControl w:val="0"/>
        <w:kinsoku/>
        <w:wordWrap/>
        <w:overflowPunct/>
        <w:topLinePunct w:val="0"/>
        <w:autoSpaceDE/>
        <w:autoSpaceDN/>
        <w:bidi w:val="0"/>
        <w:adjustRightInd/>
        <w:snapToGrid/>
        <w:spacing w:line="580" w:lineRule="exact"/>
        <w:ind w:firstLine="1400" w:firstLineChars="500"/>
        <w:textAlignment w:val="auto"/>
        <w:rPr>
          <w:rFonts w:hint="eastAsia" w:ascii="仿宋_GB2312" w:hAnsi="仿宋_GB2312" w:eastAsia="仿宋_GB2312" w:cs="仿宋_GB2312"/>
          <w:sz w:val="28"/>
          <w:szCs w:val="28"/>
          <w:lang w:eastAsia="zh-CN"/>
        </w:rPr>
      </w:pPr>
      <w:r>
        <w:rPr>
          <w:rFonts w:hint="eastAsia" w:ascii="仿宋_GB2312" w:hAnsi="Times New Roman" w:eastAsia="仿宋_GB2312" w:cs="Times New Roman"/>
          <w:sz w:val="28"/>
          <w:szCs w:val="28"/>
          <w:lang w:eastAsia="zh-CN"/>
        </w:rPr>
        <w:t>详见项目支出绩效自评表</w:t>
      </w:r>
    </w:p>
    <w:p w14:paraId="3C4285A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绩效评价指标分析</w:t>
      </w:r>
    </w:p>
    <w:p w14:paraId="63281E6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项目决策情况。</w:t>
      </w:r>
    </w:p>
    <w:p w14:paraId="0C20522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区投促中心为实现部门目标，针对重点工作任务、重大事项、重要人事安排和大额资金的使用，按照集体决策程序进行研究审批，并经过党组会审议和审批。在部门决策方面，履行了预算编制过程中决策程序，但决策内容不够完整，绩效目标的填报内容及规范性缺少审核流程，项目决策程序有待规范。</w:t>
      </w:r>
    </w:p>
    <w:p w14:paraId="44F866D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项目过程情况。</w:t>
      </w:r>
    </w:p>
    <w:tbl>
      <w:tblPr>
        <w:tblStyle w:val="14"/>
        <w:tblW w:w="14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4"/>
        <w:gridCol w:w="1854"/>
        <w:gridCol w:w="1890"/>
        <w:gridCol w:w="1131"/>
        <w:gridCol w:w="1860"/>
        <w:gridCol w:w="2475"/>
      </w:tblGrid>
      <w:tr w14:paraId="66B5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shd w:val="clear" w:color="auto" w:fill="auto"/>
            <w:vAlign w:val="center"/>
          </w:tcPr>
          <w:p w14:paraId="52605FB5">
            <w:pPr>
              <w:snapToGrid w:val="0"/>
              <w:jc w:val="center"/>
              <w:rPr>
                <w:rFonts w:hint="eastAsia" w:ascii="仿宋" w:hAnsi="仿宋" w:eastAsia="仿宋" w:cs="Times New Roman"/>
                <w:b/>
                <w:kern w:val="2"/>
                <w:sz w:val="24"/>
                <w:szCs w:val="24"/>
                <w:lang w:val="en-US" w:eastAsia="zh-CN" w:bidi="ar-SA"/>
              </w:rPr>
            </w:pPr>
            <w:r>
              <w:rPr>
                <w:rFonts w:hint="eastAsia" w:ascii="仿宋" w:hAnsi="仿宋" w:eastAsia="仿宋"/>
                <w:b/>
                <w:sz w:val="24"/>
                <w:szCs w:val="24"/>
              </w:rPr>
              <w:t>序号</w:t>
            </w:r>
          </w:p>
        </w:tc>
        <w:tc>
          <w:tcPr>
            <w:tcW w:w="4674" w:type="dxa"/>
            <w:shd w:val="clear" w:color="auto" w:fill="auto"/>
            <w:vAlign w:val="center"/>
          </w:tcPr>
          <w:p w14:paraId="67365F2A">
            <w:pPr>
              <w:snapToGrid w:val="0"/>
              <w:jc w:val="center"/>
              <w:rPr>
                <w:rFonts w:hint="eastAsia" w:ascii="仿宋" w:hAnsi="仿宋" w:eastAsia="仿宋" w:cs="Times New Roman"/>
                <w:b/>
                <w:kern w:val="2"/>
                <w:sz w:val="24"/>
                <w:szCs w:val="24"/>
                <w:lang w:val="en-US" w:eastAsia="zh-CN" w:bidi="ar-SA"/>
              </w:rPr>
            </w:pPr>
            <w:r>
              <w:rPr>
                <w:rFonts w:hint="eastAsia" w:ascii="仿宋" w:hAnsi="仿宋" w:eastAsia="仿宋"/>
                <w:b/>
                <w:sz w:val="24"/>
                <w:szCs w:val="24"/>
              </w:rPr>
              <w:t>项目名称</w:t>
            </w:r>
          </w:p>
        </w:tc>
        <w:tc>
          <w:tcPr>
            <w:tcW w:w="1854" w:type="dxa"/>
            <w:shd w:val="clear" w:color="auto" w:fill="auto"/>
            <w:vAlign w:val="center"/>
          </w:tcPr>
          <w:p w14:paraId="23EE2517">
            <w:pPr>
              <w:snapToGrid w:val="0"/>
              <w:jc w:val="center"/>
              <w:rPr>
                <w:rFonts w:hint="eastAsia" w:ascii="仿宋" w:hAnsi="仿宋" w:eastAsia="仿宋" w:cs="Times New Roman"/>
                <w:b/>
                <w:kern w:val="2"/>
                <w:sz w:val="24"/>
                <w:szCs w:val="24"/>
                <w:lang w:val="en-US" w:eastAsia="zh-CN" w:bidi="ar-SA"/>
              </w:rPr>
            </w:pPr>
            <w:r>
              <w:rPr>
                <w:rFonts w:hint="eastAsia" w:ascii="仿宋" w:hAnsi="仿宋" w:eastAsia="仿宋"/>
                <w:b/>
                <w:sz w:val="24"/>
                <w:szCs w:val="24"/>
              </w:rPr>
              <w:t>预算数</w:t>
            </w:r>
            <w:r>
              <w:rPr>
                <w:rFonts w:hint="eastAsia" w:ascii="仿宋" w:hAnsi="仿宋" w:eastAsia="仿宋"/>
                <w:b/>
                <w:sz w:val="24"/>
                <w:szCs w:val="24"/>
                <w:lang w:eastAsia="zh-CN"/>
              </w:rPr>
              <w:t>（万元）</w:t>
            </w:r>
          </w:p>
        </w:tc>
        <w:tc>
          <w:tcPr>
            <w:tcW w:w="1890" w:type="dxa"/>
            <w:shd w:val="clear" w:color="auto" w:fill="auto"/>
            <w:vAlign w:val="center"/>
          </w:tcPr>
          <w:p w14:paraId="3D5F5843">
            <w:pPr>
              <w:snapToGrid w:val="0"/>
              <w:jc w:val="center"/>
              <w:rPr>
                <w:rFonts w:hint="eastAsia" w:ascii="仿宋" w:hAnsi="仿宋" w:eastAsia="仿宋" w:cs="Times New Roman"/>
                <w:b/>
                <w:kern w:val="2"/>
                <w:sz w:val="24"/>
                <w:szCs w:val="24"/>
                <w:lang w:val="en-US" w:eastAsia="zh-CN" w:bidi="ar-SA"/>
              </w:rPr>
            </w:pPr>
            <w:r>
              <w:rPr>
                <w:rFonts w:hint="eastAsia" w:ascii="仿宋" w:hAnsi="仿宋" w:eastAsia="仿宋"/>
                <w:b/>
                <w:sz w:val="24"/>
                <w:szCs w:val="24"/>
              </w:rPr>
              <w:t>执行数</w:t>
            </w:r>
            <w:r>
              <w:rPr>
                <w:rFonts w:hint="eastAsia" w:ascii="仿宋" w:hAnsi="仿宋" w:eastAsia="仿宋"/>
                <w:b/>
                <w:sz w:val="24"/>
                <w:szCs w:val="24"/>
                <w:lang w:eastAsia="zh-CN"/>
              </w:rPr>
              <w:t>（万元）</w:t>
            </w:r>
          </w:p>
        </w:tc>
        <w:tc>
          <w:tcPr>
            <w:tcW w:w="1131" w:type="dxa"/>
            <w:shd w:val="clear" w:color="auto" w:fill="auto"/>
            <w:vAlign w:val="center"/>
          </w:tcPr>
          <w:p w14:paraId="0499E1D5">
            <w:pPr>
              <w:snapToGrid w:val="0"/>
              <w:jc w:val="center"/>
              <w:rPr>
                <w:rFonts w:hint="eastAsia" w:ascii="仿宋" w:hAnsi="仿宋" w:eastAsia="仿宋" w:cs="Times New Roman"/>
                <w:b/>
                <w:kern w:val="2"/>
                <w:sz w:val="24"/>
                <w:szCs w:val="24"/>
                <w:lang w:val="en-US" w:eastAsia="zh-CN" w:bidi="ar-SA"/>
              </w:rPr>
            </w:pPr>
            <w:r>
              <w:rPr>
                <w:rFonts w:hint="eastAsia" w:ascii="仿宋" w:hAnsi="仿宋" w:eastAsia="仿宋"/>
                <w:b/>
                <w:sz w:val="24"/>
                <w:szCs w:val="24"/>
              </w:rPr>
              <w:t>结余数</w:t>
            </w:r>
          </w:p>
        </w:tc>
        <w:tc>
          <w:tcPr>
            <w:tcW w:w="1860" w:type="dxa"/>
            <w:shd w:val="clear" w:color="auto" w:fill="auto"/>
            <w:vAlign w:val="center"/>
          </w:tcPr>
          <w:p w14:paraId="26F622A1">
            <w:pPr>
              <w:snapToGrid w:val="0"/>
              <w:jc w:val="center"/>
              <w:rPr>
                <w:rFonts w:hint="eastAsia" w:ascii="仿宋" w:hAnsi="仿宋" w:eastAsia="仿宋" w:cs="Times New Roman"/>
                <w:b/>
                <w:kern w:val="2"/>
                <w:sz w:val="24"/>
                <w:szCs w:val="24"/>
                <w:lang w:val="en-US" w:eastAsia="zh-CN" w:bidi="ar-SA"/>
              </w:rPr>
            </w:pPr>
            <w:r>
              <w:rPr>
                <w:rFonts w:hint="eastAsia" w:ascii="仿宋" w:hAnsi="仿宋" w:eastAsia="仿宋"/>
                <w:b/>
                <w:sz w:val="24"/>
                <w:szCs w:val="24"/>
              </w:rPr>
              <w:t>执行率</w:t>
            </w:r>
          </w:p>
        </w:tc>
        <w:tc>
          <w:tcPr>
            <w:tcW w:w="2475" w:type="dxa"/>
            <w:shd w:val="clear" w:color="auto" w:fill="auto"/>
            <w:vAlign w:val="center"/>
          </w:tcPr>
          <w:p w14:paraId="1E181E06">
            <w:pPr>
              <w:snapToGrid w:val="0"/>
              <w:jc w:val="center"/>
              <w:rPr>
                <w:rFonts w:hint="eastAsia" w:ascii="仿宋" w:hAnsi="仿宋" w:eastAsia="仿宋" w:cs="Times New Roman"/>
                <w:b/>
                <w:kern w:val="2"/>
                <w:sz w:val="24"/>
                <w:szCs w:val="24"/>
                <w:lang w:val="en-US" w:eastAsia="zh-CN" w:bidi="ar-SA"/>
              </w:rPr>
            </w:pPr>
            <w:r>
              <w:rPr>
                <w:rFonts w:hint="eastAsia" w:ascii="仿宋" w:hAnsi="仿宋" w:eastAsia="仿宋"/>
                <w:b/>
                <w:sz w:val="24"/>
                <w:szCs w:val="24"/>
              </w:rPr>
              <w:t>备注</w:t>
            </w:r>
          </w:p>
        </w:tc>
      </w:tr>
      <w:tr w14:paraId="6884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9" w:type="dxa"/>
            <w:shd w:val="clear" w:color="auto" w:fill="auto"/>
            <w:vAlign w:val="center"/>
          </w:tcPr>
          <w:p w14:paraId="260191C9">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1</w:t>
            </w:r>
          </w:p>
        </w:tc>
        <w:tc>
          <w:tcPr>
            <w:tcW w:w="4674" w:type="dxa"/>
            <w:shd w:val="clear" w:color="auto" w:fill="auto"/>
            <w:vAlign w:val="center"/>
          </w:tcPr>
          <w:p w14:paraId="526D4B0B">
            <w:pPr>
              <w:snapToGrid w:val="0"/>
              <w:spacing w:line="360" w:lineRule="auto"/>
              <w:jc w:val="left"/>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服务企业培训经费</w:t>
            </w:r>
          </w:p>
        </w:tc>
        <w:tc>
          <w:tcPr>
            <w:tcW w:w="1854" w:type="dxa"/>
            <w:shd w:val="clear" w:color="auto" w:fill="auto"/>
            <w:vAlign w:val="center"/>
          </w:tcPr>
          <w:p w14:paraId="6DC89EDE">
            <w:pPr>
              <w:snapToGrid w:val="0"/>
              <w:spacing w:line="360" w:lineRule="auto"/>
              <w:jc w:val="center"/>
              <w:rPr>
                <w:rFonts w:hint="default" w:ascii="仿宋_GB2312" w:hAnsi="仿宋" w:eastAsia="仿宋_GB2312" w:cs="Times New Roman"/>
                <w:kern w:val="2"/>
                <w:sz w:val="21"/>
                <w:szCs w:val="24"/>
                <w:lang w:val="en-US" w:eastAsia="zh-CN" w:bidi="ar-SA"/>
              </w:rPr>
            </w:pPr>
            <w:r>
              <w:rPr>
                <w:rFonts w:hint="eastAsia" w:ascii="仿宋_GB2312" w:hAnsi="仿宋" w:eastAsia="仿宋_GB2312"/>
                <w:szCs w:val="24"/>
                <w:lang w:val="en-US" w:eastAsia="zh-CN"/>
              </w:rPr>
              <w:t>25</w:t>
            </w:r>
          </w:p>
        </w:tc>
        <w:tc>
          <w:tcPr>
            <w:tcW w:w="1890" w:type="dxa"/>
            <w:shd w:val="clear" w:color="auto" w:fill="auto"/>
            <w:vAlign w:val="center"/>
          </w:tcPr>
          <w:p w14:paraId="1C77BF09">
            <w:pPr>
              <w:snapToGrid w:val="0"/>
              <w:spacing w:line="360" w:lineRule="auto"/>
              <w:jc w:val="center"/>
              <w:rPr>
                <w:rFonts w:hint="default" w:ascii="仿宋_GB2312" w:hAnsi="仿宋" w:eastAsia="仿宋_GB2312" w:cs="Times New Roman"/>
                <w:kern w:val="2"/>
                <w:sz w:val="21"/>
                <w:szCs w:val="24"/>
                <w:lang w:val="en-US" w:eastAsia="zh-CN" w:bidi="ar-SA"/>
              </w:rPr>
            </w:pPr>
            <w:r>
              <w:rPr>
                <w:rFonts w:hint="eastAsia" w:ascii="仿宋_GB2312" w:hAnsi="仿宋" w:eastAsia="仿宋_GB2312"/>
                <w:szCs w:val="24"/>
                <w:lang w:val="en-US" w:eastAsia="zh-CN"/>
              </w:rPr>
              <w:t>25</w:t>
            </w:r>
          </w:p>
        </w:tc>
        <w:tc>
          <w:tcPr>
            <w:tcW w:w="1131" w:type="dxa"/>
            <w:shd w:val="clear" w:color="auto" w:fill="auto"/>
            <w:vAlign w:val="center"/>
          </w:tcPr>
          <w:p w14:paraId="1A957F52">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w:t>
            </w:r>
          </w:p>
        </w:tc>
        <w:tc>
          <w:tcPr>
            <w:tcW w:w="1860" w:type="dxa"/>
            <w:shd w:val="clear" w:color="auto" w:fill="auto"/>
            <w:vAlign w:val="center"/>
          </w:tcPr>
          <w:p w14:paraId="1C40AC04">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100.00%</w:t>
            </w:r>
          </w:p>
        </w:tc>
        <w:tc>
          <w:tcPr>
            <w:tcW w:w="2475" w:type="dxa"/>
            <w:shd w:val="clear" w:color="auto" w:fill="auto"/>
            <w:vAlign w:val="center"/>
          </w:tcPr>
          <w:p w14:paraId="78FE7F4D">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年初预算</w:t>
            </w:r>
          </w:p>
        </w:tc>
      </w:tr>
      <w:tr w14:paraId="4C80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9" w:type="dxa"/>
            <w:shd w:val="clear" w:color="auto" w:fill="auto"/>
            <w:vAlign w:val="center"/>
          </w:tcPr>
          <w:p w14:paraId="6910EB3F">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2</w:t>
            </w:r>
          </w:p>
        </w:tc>
        <w:tc>
          <w:tcPr>
            <w:tcW w:w="4674" w:type="dxa"/>
            <w:shd w:val="clear" w:color="auto" w:fill="auto"/>
            <w:vAlign w:val="center"/>
          </w:tcPr>
          <w:p w14:paraId="4C65F20D">
            <w:pPr>
              <w:snapToGrid w:val="0"/>
              <w:spacing w:line="360" w:lineRule="auto"/>
              <w:jc w:val="left"/>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走进通州系列活动</w:t>
            </w:r>
          </w:p>
        </w:tc>
        <w:tc>
          <w:tcPr>
            <w:tcW w:w="1854" w:type="dxa"/>
            <w:shd w:val="clear" w:color="auto" w:fill="auto"/>
            <w:vAlign w:val="center"/>
          </w:tcPr>
          <w:p w14:paraId="55A9B84B">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20</w:t>
            </w:r>
          </w:p>
        </w:tc>
        <w:tc>
          <w:tcPr>
            <w:tcW w:w="1890" w:type="dxa"/>
            <w:shd w:val="clear" w:color="auto" w:fill="auto"/>
            <w:vAlign w:val="center"/>
          </w:tcPr>
          <w:p w14:paraId="354FB71F">
            <w:pPr>
              <w:snapToGrid w:val="0"/>
              <w:spacing w:line="360" w:lineRule="auto"/>
              <w:jc w:val="center"/>
              <w:rPr>
                <w:rFonts w:hint="default" w:ascii="仿宋_GB2312" w:hAnsi="仿宋" w:eastAsia="仿宋_GB2312" w:cs="Times New Roman"/>
                <w:kern w:val="2"/>
                <w:sz w:val="21"/>
                <w:szCs w:val="24"/>
                <w:lang w:val="en-US" w:eastAsia="zh-CN" w:bidi="ar-SA"/>
              </w:rPr>
            </w:pPr>
            <w:r>
              <w:rPr>
                <w:rFonts w:hint="eastAsia" w:ascii="仿宋_GB2312" w:hAnsi="仿宋" w:eastAsia="仿宋_GB2312"/>
                <w:szCs w:val="24"/>
                <w:lang w:val="en-US" w:eastAsia="zh-CN"/>
              </w:rPr>
              <w:t>20</w:t>
            </w:r>
          </w:p>
        </w:tc>
        <w:tc>
          <w:tcPr>
            <w:tcW w:w="1131" w:type="dxa"/>
            <w:shd w:val="clear" w:color="auto" w:fill="auto"/>
            <w:vAlign w:val="center"/>
          </w:tcPr>
          <w:p w14:paraId="58D8B128">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w:t>
            </w:r>
          </w:p>
        </w:tc>
        <w:tc>
          <w:tcPr>
            <w:tcW w:w="1860" w:type="dxa"/>
            <w:shd w:val="clear" w:color="auto" w:fill="auto"/>
            <w:vAlign w:val="center"/>
          </w:tcPr>
          <w:p w14:paraId="51B62E3C">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100.00%</w:t>
            </w:r>
          </w:p>
        </w:tc>
        <w:tc>
          <w:tcPr>
            <w:tcW w:w="2475" w:type="dxa"/>
            <w:shd w:val="clear" w:color="auto" w:fill="auto"/>
            <w:vAlign w:val="center"/>
          </w:tcPr>
          <w:p w14:paraId="3AC3A4A6">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年初预算</w:t>
            </w:r>
          </w:p>
        </w:tc>
      </w:tr>
      <w:tr w14:paraId="506C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9" w:type="dxa"/>
            <w:shd w:val="clear" w:color="auto" w:fill="auto"/>
            <w:vAlign w:val="center"/>
          </w:tcPr>
          <w:p w14:paraId="32B22F83">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3</w:t>
            </w:r>
          </w:p>
        </w:tc>
        <w:tc>
          <w:tcPr>
            <w:tcW w:w="4674" w:type="dxa"/>
            <w:shd w:val="clear" w:color="auto" w:fill="auto"/>
            <w:vAlign w:val="center"/>
          </w:tcPr>
          <w:p w14:paraId="2438B458">
            <w:pPr>
              <w:snapToGrid w:val="0"/>
              <w:spacing w:line="360" w:lineRule="auto"/>
              <w:jc w:val="left"/>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招商中介机构平台建设</w:t>
            </w:r>
          </w:p>
        </w:tc>
        <w:tc>
          <w:tcPr>
            <w:tcW w:w="1854" w:type="dxa"/>
            <w:shd w:val="clear" w:color="auto" w:fill="auto"/>
            <w:vAlign w:val="center"/>
          </w:tcPr>
          <w:p w14:paraId="5319DF78">
            <w:pPr>
              <w:snapToGrid w:val="0"/>
              <w:spacing w:line="360" w:lineRule="auto"/>
              <w:jc w:val="center"/>
              <w:rPr>
                <w:rFonts w:hint="default" w:ascii="仿宋_GB2312" w:hAnsi="仿宋" w:eastAsia="仿宋_GB2312" w:cs="Times New Roman"/>
                <w:kern w:val="2"/>
                <w:sz w:val="21"/>
                <w:szCs w:val="24"/>
                <w:lang w:val="en-US" w:eastAsia="zh-CN" w:bidi="ar-SA"/>
              </w:rPr>
            </w:pPr>
            <w:r>
              <w:rPr>
                <w:rFonts w:hint="eastAsia" w:ascii="仿宋_GB2312" w:hAnsi="仿宋" w:eastAsia="仿宋_GB2312"/>
                <w:szCs w:val="24"/>
                <w:lang w:val="en-US" w:eastAsia="zh-CN"/>
              </w:rPr>
              <w:t>50</w:t>
            </w:r>
          </w:p>
        </w:tc>
        <w:tc>
          <w:tcPr>
            <w:tcW w:w="1890" w:type="dxa"/>
            <w:shd w:val="clear" w:color="auto" w:fill="auto"/>
            <w:vAlign w:val="center"/>
          </w:tcPr>
          <w:p w14:paraId="1D130F8D">
            <w:pPr>
              <w:snapToGrid w:val="0"/>
              <w:spacing w:line="360" w:lineRule="auto"/>
              <w:jc w:val="center"/>
              <w:rPr>
                <w:rFonts w:hint="default" w:ascii="仿宋_GB2312" w:hAnsi="仿宋" w:eastAsia="仿宋_GB2312" w:cs="Times New Roman"/>
                <w:kern w:val="2"/>
                <w:sz w:val="21"/>
                <w:szCs w:val="24"/>
                <w:lang w:val="en-US" w:eastAsia="zh-CN" w:bidi="ar-SA"/>
              </w:rPr>
            </w:pPr>
            <w:r>
              <w:rPr>
                <w:rFonts w:hint="eastAsia" w:ascii="仿宋_GB2312" w:hAnsi="仿宋" w:eastAsia="仿宋_GB2312"/>
                <w:szCs w:val="24"/>
                <w:lang w:val="en-US" w:eastAsia="zh-CN"/>
              </w:rPr>
              <w:t>50</w:t>
            </w:r>
          </w:p>
        </w:tc>
        <w:tc>
          <w:tcPr>
            <w:tcW w:w="1131" w:type="dxa"/>
            <w:shd w:val="clear" w:color="auto" w:fill="auto"/>
            <w:vAlign w:val="center"/>
          </w:tcPr>
          <w:p w14:paraId="5F2F5CAE">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w:t>
            </w:r>
          </w:p>
        </w:tc>
        <w:tc>
          <w:tcPr>
            <w:tcW w:w="1860" w:type="dxa"/>
            <w:shd w:val="clear" w:color="auto" w:fill="auto"/>
            <w:vAlign w:val="center"/>
          </w:tcPr>
          <w:p w14:paraId="2BE29912">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100.00%</w:t>
            </w:r>
          </w:p>
        </w:tc>
        <w:tc>
          <w:tcPr>
            <w:tcW w:w="2475" w:type="dxa"/>
            <w:shd w:val="clear" w:color="auto" w:fill="auto"/>
            <w:vAlign w:val="center"/>
          </w:tcPr>
          <w:p w14:paraId="58F70E8E">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年初预算</w:t>
            </w:r>
          </w:p>
        </w:tc>
      </w:tr>
      <w:tr w14:paraId="5F44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9" w:type="dxa"/>
            <w:shd w:val="clear" w:color="auto" w:fill="auto"/>
            <w:vAlign w:val="center"/>
          </w:tcPr>
          <w:p w14:paraId="13140752">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4</w:t>
            </w:r>
          </w:p>
        </w:tc>
        <w:tc>
          <w:tcPr>
            <w:tcW w:w="4674" w:type="dxa"/>
            <w:shd w:val="clear" w:color="auto" w:fill="auto"/>
            <w:vAlign w:val="center"/>
          </w:tcPr>
          <w:p w14:paraId="0AD80178">
            <w:pPr>
              <w:snapToGrid w:val="0"/>
              <w:spacing w:line="360" w:lineRule="auto"/>
              <w:jc w:val="left"/>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海外推介及全球路演</w:t>
            </w:r>
          </w:p>
        </w:tc>
        <w:tc>
          <w:tcPr>
            <w:tcW w:w="1854" w:type="dxa"/>
            <w:shd w:val="clear" w:color="auto" w:fill="auto"/>
            <w:vAlign w:val="center"/>
          </w:tcPr>
          <w:p w14:paraId="78485CBD">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17</w:t>
            </w:r>
          </w:p>
        </w:tc>
        <w:tc>
          <w:tcPr>
            <w:tcW w:w="1890" w:type="dxa"/>
            <w:shd w:val="clear" w:color="auto" w:fill="auto"/>
            <w:vAlign w:val="center"/>
          </w:tcPr>
          <w:p w14:paraId="10820DF8">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17</w:t>
            </w:r>
          </w:p>
        </w:tc>
        <w:tc>
          <w:tcPr>
            <w:tcW w:w="1131" w:type="dxa"/>
            <w:shd w:val="clear" w:color="auto" w:fill="auto"/>
            <w:vAlign w:val="center"/>
          </w:tcPr>
          <w:p w14:paraId="3A923207">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w:t>
            </w:r>
          </w:p>
        </w:tc>
        <w:tc>
          <w:tcPr>
            <w:tcW w:w="1860" w:type="dxa"/>
            <w:shd w:val="clear" w:color="auto" w:fill="auto"/>
            <w:vAlign w:val="center"/>
          </w:tcPr>
          <w:p w14:paraId="01A28456">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100.00%</w:t>
            </w:r>
          </w:p>
        </w:tc>
        <w:tc>
          <w:tcPr>
            <w:tcW w:w="2475" w:type="dxa"/>
            <w:shd w:val="clear" w:color="auto" w:fill="auto"/>
            <w:vAlign w:val="center"/>
          </w:tcPr>
          <w:p w14:paraId="3E137BA8">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年初预算</w:t>
            </w:r>
          </w:p>
        </w:tc>
      </w:tr>
      <w:tr w14:paraId="4551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9" w:type="dxa"/>
            <w:shd w:val="clear" w:color="auto" w:fill="auto"/>
            <w:vAlign w:val="center"/>
          </w:tcPr>
          <w:p w14:paraId="39DE7B2B">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5</w:t>
            </w:r>
          </w:p>
        </w:tc>
        <w:tc>
          <w:tcPr>
            <w:tcW w:w="4674" w:type="dxa"/>
            <w:shd w:val="clear" w:color="auto" w:fill="auto"/>
            <w:vAlign w:val="center"/>
          </w:tcPr>
          <w:p w14:paraId="517FCAE3">
            <w:pPr>
              <w:snapToGrid w:val="0"/>
              <w:spacing w:line="360" w:lineRule="auto"/>
              <w:jc w:val="left"/>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宣传资料制作及媒体宣传经费</w:t>
            </w:r>
          </w:p>
        </w:tc>
        <w:tc>
          <w:tcPr>
            <w:tcW w:w="1854" w:type="dxa"/>
            <w:shd w:val="clear" w:color="auto" w:fill="auto"/>
            <w:vAlign w:val="center"/>
          </w:tcPr>
          <w:p w14:paraId="746CE43A">
            <w:pPr>
              <w:snapToGrid w:val="0"/>
              <w:spacing w:line="360" w:lineRule="auto"/>
              <w:jc w:val="center"/>
              <w:rPr>
                <w:rFonts w:hint="default" w:ascii="仿宋_GB2312" w:hAnsi="仿宋" w:eastAsia="仿宋_GB2312" w:cs="Times New Roman"/>
                <w:kern w:val="2"/>
                <w:sz w:val="21"/>
                <w:szCs w:val="24"/>
                <w:lang w:val="en-US" w:eastAsia="zh-CN" w:bidi="ar-SA"/>
              </w:rPr>
            </w:pPr>
            <w:r>
              <w:rPr>
                <w:rFonts w:hint="eastAsia" w:ascii="仿宋_GB2312" w:hAnsi="仿宋" w:eastAsia="仿宋_GB2312"/>
                <w:szCs w:val="24"/>
                <w:lang w:val="en-US" w:eastAsia="zh-CN"/>
              </w:rPr>
              <w:t>27.95</w:t>
            </w:r>
          </w:p>
        </w:tc>
        <w:tc>
          <w:tcPr>
            <w:tcW w:w="1890" w:type="dxa"/>
            <w:shd w:val="clear" w:color="auto" w:fill="auto"/>
            <w:vAlign w:val="center"/>
          </w:tcPr>
          <w:p w14:paraId="48FABC3B">
            <w:pPr>
              <w:snapToGrid w:val="0"/>
              <w:spacing w:line="360" w:lineRule="auto"/>
              <w:jc w:val="center"/>
              <w:rPr>
                <w:rFonts w:hint="default" w:ascii="仿宋_GB2312" w:hAnsi="仿宋" w:eastAsia="仿宋_GB2312" w:cs="Times New Roman"/>
                <w:kern w:val="2"/>
                <w:sz w:val="21"/>
                <w:szCs w:val="24"/>
                <w:lang w:val="en-US" w:eastAsia="zh-CN" w:bidi="ar-SA"/>
              </w:rPr>
            </w:pPr>
            <w:r>
              <w:rPr>
                <w:rFonts w:hint="eastAsia" w:ascii="仿宋_GB2312" w:hAnsi="仿宋" w:eastAsia="仿宋_GB2312" w:cs="Times New Roman"/>
                <w:kern w:val="2"/>
                <w:sz w:val="21"/>
                <w:szCs w:val="24"/>
                <w:lang w:val="en-US" w:eastAsia="zh-CN" w:bidi="ar-SA"/>
              </w:rPr>
              <w:t>27.95</w:t>
            </w:r>
          </w:p>
        </w:tc>
        <w:tc>
          <w:tcPr>
            <w:tcW w:w="1131" w:type="dxa"/>
            <w:shd w:val="clear" w:color="auto" w:fill="auto"/>
            <w:vAlign w:val="center"/>
          </w:tcPr>
          <w:p w14:paraId="5B3DD65C">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w:t>
            </w:r>
          </w:p>
        </w:tc>
        <w:tc>
          <w:tcPr>
            <w:tcW w:w="1860" w:type="dxa"/>
            <w:shd w:val="clear" w:color="auto" w:fill="auto"/>
            <w:vAlign w:val="center"/>
          </w:tcPr>
          <w:p w14:paraId="2D2F1F13">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100.00%</w:t>
            </w:r>
          </w:p>
        </w:tc>
        <w:tc>
          <w:tcPr>
            <w:tcW w:w="2475" w:type="dxa"/>
            <w:shd w:val="clear" w:color="auto" w:fill="auto"/>
            <w:vAlign w:val="center"/>
          </w:tcPr>
          <w:p w14:paraId="0197C5F0">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年初预算</w:t>
            </w:r>
          </w:p>
        </w:tc>
      </w:tr>
      <w:tr w14:paraId="463E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9" w:type="dxa"/>
            <w:shd w:val="clear" w:color="auto" w:fill="auto"/>
            <w:vAlign w:val="center"/>
          </w:tcPr>
          <w:p w14:paraId="4A3BBF31">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6</w:t>
            </w:r>
          </w:p>
        </w:tc>
        <w:tc>
          <w:tcPr>
            <w:tcW w:w="4674" w:type="dxa"/>
            <w:shd w:val="clear" w:color="auto" w:fill="auto"/>
            <w:vAlign w:val="center"/>
          </w:tcPr>
          <w:p w14:paraId="4C087A92">
            <w:pPr>
              <w:snapToGrid w:val="0"/>
              <w:spacing w:line="360" w:lineRule="auto"/>
              <w:jc w:val="left"/>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聚焦通州系列活动</w:t>
            </w:r>
          </w:p>
        </w:tc>
        <w:tc>
          <w:tcPr>
            <w:tcW w:w="1854" w:type="dxa"/>
            <w:shd w:val="clear" w:color="auto" w:fill="auto"/>
            <w:vAlign w:val="center"/>
          </w:tcPr>
          <w:p w14:paraId="695F8DB0">
            <w:pPr>
              <w:snapToGrid w:val="0"/>
              <w:spacing w:line="360" w:lineRule="auto"/>
              <w:jc w:val="center"/>
              <w:rPr>
                <w:rFonts w:hint="default" w:ascii="仿宋_GB2312" w:hAnsi="仿宋" w:eastAsia="仿宋_GB2312" w:cs="Times New Roman"/>
                <w:kern w:val="2"/>
                <w:sz w:val="21"/>
                <w:szCs w:val="24"/>
                <w:lang w:val="en-US" w:eastAsia="zh-CN" w:bidi="ar-SA"/>
              </w:rPr>
            </w:pPr>
            <w:r>
              <w:rPr>
                <w:rFonts w:hint="eastAsia" w:ascii="仿宋_GB2312" w:hAnsi="仿宋" w:eastAsia="仿宋_GB2312"/>
                <w:szCs w:val="24"/>
                <w:lang w:val="en-US" w:eastAsia="zh-CN"/>
              </w:rPr>
              <w:t>16.93</w:t>
            </w:r>
          </w:p>
        </w:tc>
        <w:tc>
          <w:tcPr>
            <w:tcW w:w="1890" w:type="dxa"/>
            <w:shd w:val="clear" w:color="auto" w:fill="auto"/>
            <w:vAlign w:val="center"/>
          </w:tcPr>
          <w:p w14:paraId="373102C0">
            <w:pPr>
              <w:snapToGrid w:val="0"/>
              <w:spacing w:line="360" w:lineRule="auto"/>
              <w:jc w:val="center"/>
              <w:rPr>
                <w:rFonts w:hint="default" w:ascii="仿宋_GB2312" w:hAnsi="仿宋" w:eastAsia="仿宋_GB2312" w:cs="Times New Roman"/>
                <w:kern w:val="2"/>
                <w:sz w:val="21"/>
                <w:szCs w:val="24"/>
                <w:lang w:val="en-US" w:eastAsia="zh-CN" w:bidi="ar-SA"/>
              </w:rPr>
            </w:pPr>
            <w:r>
              <w:rPr>
                <w:rFonts w:hint="eastAsia" w:ascii="仿宋_GB2312" w:hAnsi="仿宋" w:eastAsia="仿宋_GB2312"/>
                <w:szCs w:val="24"/>
                <w:lang w:val="en-US" w:eastAsia="zh-CN"/>
              </w:rPr>
              <w:t>16.93</w:t>
            </w:r>
          </w:p>
        </w:tc>
        <w:tc>
          <w:tcPr>
            <w:tcW w:w="1131" w:type="dxa"/>
            <w:shd w:val="clear" w:color="auto" w:fill="auto"/>
            <w:vAlign w:val="center"/>
          </w:tcPr>
          <w:p w14:paraId="3082BDC4">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w:t>
            </w:r>
          </w:p>
        </w:tc>
        <w:tc>
          <w:tcPr>
            <w:tcW w:w="1860" w:type="dxa"/>
            <w:shd w:val="clear" w:color="auto" w:fill="auto"/>
            <w:vAlign w:val="center"/>
          </w:tcPr>
          <w:p w14:paraId="3D3C8C2B">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100.00%</w:t>
            </w:r>
          </w:p>
        </w:tc>
        <w:tc>
          <w:tcPr>
            <w:tcW w:w="2475" w:type="dxa"/>
            <w:shd w:val="clear" w:color="auto" w:fill="auto"/>
            <w:vAlign w:val="center"/>
          </w:tcPr>
          <w:p w14:paraId="47D6A29D">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年初预算</w:t>
            </w:r>
          </w:p>
        </w:tc>
      </w:tr>
      <w:tr w14:paraId="030B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9" w:type="dxa"/>
            <w:shd w:val="clear" w:color="auto" w:fill="auto"/>
            <w:vAlign w:val="center"/>
          </w:tcPr>
          <w:p w14:paraId="4E835017">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7</w:t>
            </w:r>
          </w:p>
        </w:tc>
        <w:tc>
          <w:tcPr>
            <w:tcW w:w="4674" w:type="dxa"/>
            <w:shd w:val="clear" w:color="auto" w:fill="auto"/>
            <w:vAlign w:val="center"/>
          </w:tcPr>
          <w:p w14:paraId="1DB07AB4">
            <w:pPr>
              <w:snapToGrid w:val="0"/>
              <w:spacing w:line="360" w:lineRule="auto"/>
              <w:jc w:val="left"/>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营商环境专项宣传</w:t>
            </w:r>
          </w:p>
        </w:tc>
        <w:tc>
          <w:tcPr>
            <w:tcW w:w="1854" w:type="dxa"/>
            <w:shd w:val="clear" w:color="auto" w:fill="auto"/>
            <w:vAlign w:val="center"/>
          </w:tcPr>
          <w:p w14:paraId="777FE4D8">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20</w:t>
            </w:r>
          </w:p>
        </w:tc>
        <w:tc>
          <w:tcPr>
            <w:tcW w:w="1890" w:type="dxa"/>
            <w:shd w:val="clear" w:color="auto" w:fill="auto"/>
            <w:vAlign w:val="center"/>
          </w:tcPr>
          <w:p w14:paraId="747DFB27">
            <w:pPr>
              <w:snapToGrid w:val="0"/>
              <w:spacing w:line="360" w:lineRule="auto"/>
              <w:jc w:val="center"/>
              <w:rPr>
                <w:rFonts w:hint="default" w:ascii="仿宋_GB2312" w:hAnsi="仿宋" w:eastAsia="仿宋_GB2312" w:cs="Times New Roman"/>
                <w:kern w:val="2"/>
                <w:sz w:val="21"/>
                <w:szCs w:val="24"/>
                <w:lang w:val="en-US" w:eastAsia="zh-CN" w:bidi="ar-SA"/>
              </w:rPr>
            </w:pPr>
            <w:r>
              <w:rPr>
                <w:rFonts w:hint="eastAsia" w:ascii="仿宋_GB2312" w:hAnsi="仿宋" w:eastAsia="仿宋_GB2312" w:cs="Times New Roman"/>
                <w:kern w:val="2"/>
                <w:sz w:val="21"/>
                <w:szCs w:val="24"/>
                <w:lang w:val="en-US" w:eastAsia="zh-CN" w:bidi="ar-SA"/>
              </w:rPr>
              <w:t>20</w:t>
            </w:r>
          </w:p>
        </w:tc>
        <w:tc>
          <w:tcPr>
            <w:tcW w:w="1131" w:type="dxa"/>
            <w:shd w:val="clear" w:color="auto" w:fill="auto"/>
            <w:vAlign w:val="center"/>
          </w:tcPr>
          <w:p w14:paraId="1E2DC03C">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w:t>
            </w:r>
          </w:p>
        </w:tc>
        <w:tc>
          <w:tcPr>
            <w:tcW w:w="1860" w:type="dxa"/>
            <w:shd w:val="clear" w:color="auto" w:fill="auto"/>
            <w:vAlign w:val="center"/>
          </w:tcPr>
          <w:p w14:paraId="0A9D43DB">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100.00%</w:t>
            </w:r>
          </w:p>
        </w:tc>
        <w:tc>
          <w:tcPr>
            <w:tcW w:w="2475" w:type="dxa"/>
            <w:shd w:val="clear" w:color="auto" w:fill="auto"/>
            <w:vAlign w:val="center"/>
          </w:tcPr>
          <w:p w14:paraId="03CA2F63">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年初预算</w:t>
            </w:r>
          </w:p>
        </w:tc>
      </w:tr>
      <w:tr w14:paraId="4168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9" w:type="dxa"/>
            <w:shd w:val="clear" w:color="auto" w:fill="auto"/>
            <w:vAlign w:val="center"/>
          </w:tcPr>
          <w:p w14:paraId="729FBA62">
            <w:pPr>
              <w:snapToGrid w:val="0"/>
              <w:spacing w:line="360" w:lineRule="auto"/>
              <w:jc w:val="center"/>
              <w:rPr>
                <w:rFonts w:hint="eastAsia" w:ascii="仿宋_GB2312" w:hAnsi="仿宋" w:eastAsia="仿宋_GB2312" w:cs="Times New Roman"/>
                <w:kern w:val="2"/>
                <w:sz w:val="21"/>
                <w:szCs w:val="24"/>
                <w:lang w:val="en-US" w:eastAsia="zh-CN" w:bidi="ar-SA"/>
              </w:rPr>
            </w:pPr>
            <w:r>
              <w:rPr>
                <w:rFonts w:ascii="仿宋_GB2312" w:hAnsi="仿宋" w:eastAsia="仿宋_GB2312"/>
                <w:szCs w:val="24"/>
              </w:rPr>
              <w:t>8</w:t>
            </w:r>
          </w:p>
        </w:tc>
        <w:tc>
          <w:tcPr>
            <w:tcW w:w="4674" w:type="dxa"/>
            <w:shd w:val="clear" w:color="auto" w:fill="auto"/>
            <w:vAlign w:val="center"/>
          </w:tcPr>
          <w:p w14:paraId="7664D06D">
            <w:pPr>
              <w:snapToGrid w:val="0"/>
              <w:spacing w:line="360" w:lineRule="auto"/>
              <w:jc w:val="left"/>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《通州区产业高质量发展指标体系》专报经费</w:t>
            </w:r>
          </w:p>
        </w:tc>
        <w:tc>
          <w:tcPr>
            <w:tcW w:w="1854" w:type="dxa"/>
            <w:shd w:val="clear" w:color="auto" w:fill="auto"/>
            <w:vAlign w:val="center"/>
          </w:tcPr>
          <w:p w14:paraId="42B5D743">
            <w:pPr>
              <w:snapToGrid w:val="0"/>
              <w:spacing w:line="360" w:lineRule="auto"/>
              <w:jc w:val="center"/>
              <w:rPr>
                <w:rFonts w:hint="default" w:ascii="仿宋_GB2312" w:hAnsi="仿宋" w:eastAsia="仿宋_GB2312" w:cs="Times New Roman"/>
                <w:kern w:val="2"/>
                <w:sz w:val="21"/>
                <w:szCs w:val="24"/>
                <w:lang w:val="en-US" w:eastAsia="zh-CN" w:bidi="ar-SA"/>
              </w:rPr>
            </w:pPr>
            <w:r>
              <w:rPr>
                <w:rFonts w:hint="eastAsia" w:ascii="仿宋_GB2312" w:hAnsi="仿宋" w:eastAsia="仿宋_GB2312"/>
                <w:szCs w:val="24"/>
                <w:lang w:val="en-US" w:eastAsia="zh-CN"/>
              </w:rPr>
              <w:t>20</w:t>
            </w:r>
          </w:p>
        </w:tc>
        <w:tc>
          <w:tcPr>
            <w:tcW w:w="1890" w:type="dxa"/>
            <w:shd w:val="clear" w:color="auto" w:fill="auto"/>
            <w:vAlign w:val="center"/>
          </w:tcPr>
          <w:p w14:paraId="682DCDD7">
            <w:pPr>
              <w:snapToGrid w:val="0"/>
              <w:spacing w:line="360" w:lineRule="auto"/>
              <w:jc w:val="center"/>
              <w:rPr>
                <w:rFonts w:hint="default" w:ascii="仿宋_GB2312" w:hAnsi="仿宋" w:eastAsia="仿宋_GB2312" w:cs="Times New Roman"/>
                <w:kern w:val="2"/>
                <w:sz w:val="21"/>
                <w:szCs w:val="24"/>
                <w:lang w:val="en-US" w:eastAsia="zh-CN" w:bidi="ar-SA"/>
              </w:rPr>
            </w:pPr>
            <w:r>
              <w:rPr>
                <w:rFonts w:hint="eastAsia" w:ascii="仿宋_GB2312" w:hAnsi="仿宋" w:eastAsia="仿宋_GB2312" w:cs="Times New Roman"/>
                <w:kern w:val="2"/>
                <w:sz w:val="21"/>
                <w:szCs w:val="24"/>
                <w:lang w:val="en-US" w:eastAsia="zh-CN" w:bidi="ar-SA"/>
              </w:rPr>
              <w:t>20</w:t>
            </w:r>
          </w:p>
        </w:tc>
        <w:tc>
          <w:tcPr>
            <w:tcW w:w="1131" w:type="dxa"/>
            <w:shd w:val="clear" w:color="auto" w:fill="auto"/>
            <w:vAlign w:val="center"/>
          </w:tcPr>
          <w:p w14:paraId="39317956">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w:t>
            </w:r>
          </w:p>
        </w:tc>
        <w:tc>
          <w:tcPr>
            <w:tcW w:w="1860" w:type="dxa"/>
            <w:shd w:val="clear" w:color="auto" w:fill="auto"/>
            <w:vAlign w:val="center"/>
          </w:tcPr>
          <w:p w14:paraId="3D332DDF">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100.00%</w:t>
            </w:r>
          </w:p>
        </w:tc>
        <w:tc>
          <w:tcPr>
            <w:tcW w:w="2475" w:type="dxa"/>
            <w:shd w:val="clear" w:color="auto" w:fill="auto"/>
            <w:vAlign w:val="center"/>
          </w:tcPr>
          <w:p w14:paraId="47C18AB0">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年初预算</w:t>
            </w:r>
          </w:p>
        </w:tc>
      </w:tr>
      <w:tr w14:paraId="6AA5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9" w:type="dxa"/>
            <w:shd w:val="clear" w:color="auto" w:fill="auto"/>
            <w:vAlign w:val="center"/>
          </w:tcPr>
          <w:p w14:paraId="17B6D4BF">
            <w:pPr>
              <w:snapToGrid w:val="0"/>
              <w:spacing w:line="360" w:lineRule="auto"/>
              <w:jc w:val="center"/>
              <w:rPr>
                <w:rFonts w:hint="eastAsia" w:ascii="仿宋_GB2312" w:hAnsi="仿宋" w:eastAsia="仿宋_GB2312" w:cs="Times New Roman"/>
                <w:kern w:val="2"/>
                <w:sz w:val="21"/>
                <w:szCs w:val="24"/>
                <w:lang w:val="en-US" w:eastAsia="zh-CN" w:bidi="ar-SA"/>
              </w:rPr>
            </w:pPr>
            <w:r>
              <w:rPr>
                <w:rFonts w:ascii="仿宋_GB2312" w:hAnsi="仿宋" w:eastAsia="仿宋_GB2312"/>
                <w:szCs w:val="24"/>
              </w:rPr>
              <w:t>9</w:t>
            </w:r>
          </w:p>
        </w:tc>
        <w:tc>
          <w:tcPr>
            <w:tcW w:w="4674" w:type="dxa"/>
            <w:shd w:val="clear" w:color="auto" w:fill="auto"/>
            <w:vAlign w:val="center"/>
          </w:tcPr>
          <w:p w14:paraId="13427711">
            <w:pPr>
              <w:snapToGrid w:val="0"/>
              <w:spacing w:line="360" w:lineRule="auto"/>
              <w:jc w:val="left"/>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产业促进经费</w:t>
            </w:r>
          </w:p>
        </w:tc>
        <w:tc>
          <w:tcPr>
            <w:tcW w:w="1854" w:type="dxa"/>
            <w:shd w:val="clear" w:color="auto" w:fill="auto"/>
            <w:vAlign w:val="center"/>
          </w:tcPr>
          <w:p w14:paraId="7E75E76F">
            <w:pPr>
              <w:snapToGrid w:val="0"/>
              <w:spacing w:line="360" w:lineRule="auto"/>
              <w:jc w:val="center"/>
              <w:rPr>
                <w:rFonts w:hint="default" w:ascii="仿宋_GB2312" w:hAnsi="仿宋" w:eastAsia="仿宋_GB2312" w:cs="Times New Roman"/>
                <w:kern w:val="2"/>
                <w:sz w:val="21"/>
                <w:szCs w:val="24"/>
                <w:lang w:val="en-US" w:eastAsia="zh-CN" w:bidi="ar-SA"/>
              </w:rPr>
            </w:pPr>
            <w:r>
              <w:rPr>
                <w:rFonts w:hint="eastAsia" w:ascii="仿宋_GB2312" w:hAnsi="仿宋" w:eastAsia="仿宋_GB2312" w:cs="Times New Roman"/>
                <w:kern w:val="2"/>
                <w:sz w:val="21"/>
                <w:szCs w:val="24"/>
                <w:lang w:val="en-US" w:eastAsia="zh-CN" w:bidi="ar-SA"/>
              </w:rPr>
              <w:t>60</w:t>
            </w:r>
          </w:p>
        </w:tc>
        <w:tc>
          <w:tcPr>
            <w:tcW w:w="1890" w:type="dxa"/>
            <w:shd w:val="clear" w:color="auto" w:fill="auto"/>
            <w:vAlign w:val="center"/>
          </w:tcPr>
          <w:p w14:paraId="0D67776A">
            <w:pPr>
              <w:snapToGrid w:val="0"/>
              <w:spacing w:line="360" w:lineRule="auto"/>
              <w:jc w:val="center"/>
              <w:rPr>
                <w:rFonts w:hint="default" w:ascii="仿宋_GB2312" w:hAnsi="仿宋" w:eastAsia="仿宋_GB2312" w:cs="Times New Roman"/>
                <w:kern w:val="2"/>
                <w:sz w:val="21"/>
                <w:szCs w:val="24"/>
                <w:lang w:val="en-US" w:eastAsia="zh-CN" w:bidi="ar-SA"/>
              </w:rPr>
            </w:pPr>
            <w:r>
              <w:rPr>
                <w:rFonts w:hint="eastAsia" w:ascii="仿宋_GB2312" w:hAnsi="仿宋" w:eastAsia="仿宋_GB2312"/>
                <w:szCs w:val="24"/>
                <w:lang w:val="en-US" w:eastAsia="zh-CN"/>
              </w:rPr>
              <w:t>60</w:t>
            </w:r>
          </w:p>
        </w:tc>
        <w:tc>
          <w:tcPr>
            <w:tcW w:w="1131" w:type="dxa"/>
            <w:shd w:val="clear" w:color="auto" w:fill="auto"/>
            <w:vAlign w:val="center"/>
          </w:tcPr>
          <w:p w14:paraId="2AFBA3C5">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w:t>
            </w:r>
          </w:p>
        </w:tc>
        <w:tc>
          <w:tcPr>
            <w:tcW w:w="1860" w:type="dxa"/>
            <w:shd w:val="clear" w:color="auto" w:fill="auto"/>
            <w:vAlign w:val="center"/>
          </w:tcPr>
          <w:p w14:paraId="7BD08F18">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100.00%</w:t>
            </w:r>
          </w:p>
        </w:tc>
        <w:tc>
          <w:tcPr>
            <w:tcW w:w="2475" w:type="dxa"/>
            <w:shd w:val="clear" w:color="auto" w:fill="auto"/>
            <w:vAlign w:val="center"/>
          </w:tcPr>
          <w:p w14:paraId="75C79548">
            <w:pPr>
              <w:snapToGrid w:val="0"/>
              <w:spacing w:line="360" w:lineRule="auto"/>
              <w:jc w:val="center"/>
              <w:rPr>
                <w:rFonts w:hint="default" w:ascii="仿宋_GB2312" w:hAnsi="仿宋" w:eastAsia="仿宋_GB2312" w:cs="Times New Roman"/>
                <w:kern w:val="2"/>
                <w:sz w:val="21"/>
                <w:szCs w:val="24"/>
                <w:lang w:val="en-US" w:eastAsia="zh-CN" w:bidi="ar-SA"/>
              </w:rPr>
            </w:pPr>
            <w:r>
              <w:rPr>
                <w:rFonts w:hint="eastAsia" w:ascii="宋体" w:hAnsi="宋体" w:eastAsia="宋体" w:cs="宋体"/>
                <w:szCs w:val="24"/>
              </w:rPr>
              <w:t>年初预算</w:t>
            </w:r>
          </w:p>
        </w:tc>
      </w:tr>
      <w:tr w14:paraId="09E9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9" w:type="dxa"/>
            <w:shd w:val="clear" w:color="auto" w:fill="auto"/>
            <w:vAlign w:val="center"/>
          </w:tcPr>
          <w:p w14:paraId="53E5239E">
            <w:pPr>
              <w:snapToGrid w:val="0"/>
              <w:spacing w:line="360" w:lineRule="auto"/>
              <w:jc w:val="center"/>
              <w:rPr>
                <w:rFonts w:hint="eastAsia" w:ascii="仿宋_GB2312" w:hAnsi="仿宋" w:eastAsia="仿宋_GB2312" w:cs="Times New Roman"/>
                <w:kern w:val="2"/>
                <w:sz w:val="21"/>
                <w:szCs w:val="24"/>
                <w:lang w:val="en-US" w:eastAsia="zh-CN" w:bidi="ar-SA"/>
              </w:rPr>
            </w:pPr>
            <w:r>
              <w:rPr>
                <w:rFonts w:ascii="仿宋_GB2312" w:hAnsi="仿宋" w:eastAsia="仿宋_GB2312"/>
                <w:szCs w:val="24"/>
              </w:rPr>
              <w:t>10</w:t>
            </w:r>
          </w:p>
        </w:tc>
        <w:tc>
          <w:tcPr>
            <w:tcW w:w="4674" w:type="dxa"/>
            <w:shd w:val="clear" w:color="auto" w:fill="auto"/>
            <w:vAlign w:val="center"/>
          </w:tcPr>
          <w:p w14:paraId="6D48620E">
            <w:pPr>
              <w:snapToGrid w:val="0"/>
              <w:spacing w:line="360" w:lineRule="auto"/>
              <w:jc w:val="left"/>
              <w:rPr>
                <w:rFonts w:hint="default" w:ascii="仿宋_GB2312" w:hAnsi="仿宋" w:eastAsia="仿宋_GB2312" w:cs="Times New Roman"/>
                <w:kern w:val="2"/>
                <w:sz w:val="21"/>
                <w:szCs w:val="24"/>
                <w:lang w:val="en-US" w:eastAsia="zh-CN" w:bidi="ar-SA"/>
              </w:rPr>
            </w:pPr>
            <w:r>
              <w:rPr>
                <w:rFonts w:hint="eastAsia" w:ascii="仿宋_GB2312" w:hAnsi="仿宋" w:eastAsia="仿宋_GB2312" w:cs="Times New Roman"/>
                <w:kern w:val="2"/>
                <w:sz w:val="21"/>
                <w:szCs w:val="24"/>
                <w:lang w:val="en-US" w:eastAsia="zh-CN" w:bidi="ar-SA"/>
              </w:rPr>
              <w:t>“四个一”专项研究经费</w:t>
            </w:r>
          </w:p>
        </w:tc>
        <w:tc>
          <w:tcPr>
            <w:tcW w:w="1854" w:type="dxa"/>
            <w:shd w:val="clear" w:color="auto" w:fill="auto"/>
            <w:vAlign w:val="center"/>
          </w:tcPr>
          <w:p w14:paraId="04592423">
            <w:pPr>
              <w:snapToGrid w:val="0"/>
              <w:spacing w:line="360" w:lineRule="auto"/>
              <w:jc w:val="center"/>
              <w:rPr>
                <w:rFonts w:hint="default" w:ascii="仿宋_GB2312" w:hAnsi="仿宋" w:eastAsia="仿宋_GB2312" w:cs="Times New Roman"/>
                <w:kern w:val="2"/>
                <w:sz w:val="21"/>
                <w:szCs w:val="24"/>
                <w:lang w:val="en-US" w:eastAsia="zh-CN" w:bidi="ar-SA"/>
              </w:rPr>
            </w:pPr>
            <w:r>
              <w:rPr>
                <w:rFonts w:hint="eastAsia" w:ascii="仿宋_GB2312" w:hAnsi="仿宋" w:eastAsia="仿宋_GB2312"/>
                <w:szCs w:val="24"/>
                <w:lang w:val="en-US" w:eastAsia="zh-CN"/>
              </w:rPr>
              <w:t>40</w:t>
            </w:r>
          </w:p>
        </w:tc>
        <w:tc>
          <w:tcPr>
            <w:tcW w:w="1890" w:type="dxa"/>
            <w:shd w:val="clear" w:color="auto" w:fill="auto"/>
            <w:vAlign w:val="center"/>
          </w:tcPr>
          <w:p w14:paraId="42AEB96E">
            <w:pPr>
              <w:snapToGrid w:val="0"/>
              <w:spacing w:line="360" w:lineRule="auto"/>
              <w:jc w:val="center"/>
              <w:rPr>
                <w:rFonts w:hint="default" w:ascii="仿宋_GB2312" w:hAnsi="仿宋" w:eastAsia="仿宋_GB2312" w:cs="Times New Roman"/>
                <w:kern w:val="2"/>
                <w:sz w:val="21"/>
                <w:szCs w:val="24"/>
                <w:lang w:val="en-US" w:eastAsia="zh-CN" w:bidi="ar-SA"/>
              </w:rPr>
            </w:pPr>
            <w:r>
              <w:rPr>
                <w:rFonts w:hint="eastAsia" w:ascii="仿宋_GB2312" w:hAnsi="仿宋" w:eastAsia="仿宋_GB2312" w:cs="Times New Roman"/>
                <w:kern w:val="2"/>
                <w:sz w:val="21"/>
                <w:szCs w:val="24"/>
                <w:lang w:val="en-US" w:eastAsia="zh-CN" w:bidi="ar-SA"/>
              </w:rPr>
              <w:t>40</w:t>
            </w:r>
          </w:p>
        </w:tc>
        <w:tc>
          <w:tcPr>
            <w:tcW w:w="1131" w:type="dxa"/>
            <w:shd w:val="clear" w:color="auto" w:fill="auto"/>
            <w:vAlign w:val="center"/>
          </w:tcPr>
          <w:p w14:paraId="66EE201F">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w:t>
            </w:r>
          </w:p>
        </w:tc>
        <w:tc>
          <w:tcPr>
            <w:tcW w:w="1860" w:type="dxa"/>
            <w:shd w:val="clear" w:color="auto" w:fill="auto"/>
            <w:vAlign w:val="center"/>
          </w:tcPr>
          <w:p w14:paraId="30C13C16">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仿宋_GB2312" w:hAnsi="仿宋" w:eastAsia="仿宋_GB2312"/>
                <w:szCs w:val="24"/>
              </w:rPr>
              <w:t>100.00%</w:t>
            </w:r>
          </w:p>
        </w:tc>
        <w:tc>
          <w:tcPr>
            <w:tcW w:w="2475" w:type="dxa"/>
            <w:shd w:val="clear" w:color="auto" w:fill="auto"/>
            <w:vAlign w:val="center"/>
          </w:tcPr>
          <w:p w14:paraId="1C115D07">
            <w:pPr>
              <w:snapToGrid w:val="0"/>
              <w:spacing w:line="360" w:lineRule="auto"/>
              <w:jc w:val="center"/>
              <w:rPr>
                <w:rFonts w:hint="eastAsia" w:ascii="仿宋_GB2312" w:hAnsi="仿宋" w:eastAsia="仿宋_GB2312" w:cs="Times New Roman"/>
                <w:kern w:val="2"/>
                <w:sz w:val="21"/>
                <w:szCs w:val="24"/>
                <w:lang w:val="en-US" w:eastAsia="zh-CN" w:bidi="ar-SA"/>
              </w:rPr>
            </w:pPr>
            <w:r>
              <w:rPr>
                <w:rFonts w:hint="eastAsia" w:ascii="宋体" w:hAnsi="宋体" w:eastAsia="宋体" w:cs="宋体"/>
                <w:szCs w:val="24"/>
              </w:rPr>
              <w:t>年初预算</w:t>
            </w:r>
          </w:p>
        </w:tc>
      </w:tr>
      <w:tr w14:paraId="2CFC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383" w:type="dxa"/>
            <w:gridSpan w:val="2"/>
            <w:shd w:val="clear" w:color="auto" w:fill="auto"/>
            <w:vAlign w:val="center"/>
          </w:tcPr>
          <w:p w14:paraId="0AEFBF31">
            <w:pPr>
              <w:snapToGrid w:val="0"/>
              <w:jc w:val="center"/>
              <w:rPr>
                <w:rFonts w:hint="eastAsia" w:ascii="仿宋_GB2312" w:hAnsi="仿宋" w:eastAsia="仿宋_GB2312" w:cs="Times New Roman"/>
                <w:b/>
                <w:kern w:val="2"/>
                <w:sz w:val="21"/>
                <w:szCs w:val="24"/>
                <w:lang w:val="en-US" w:eastAsia="zh-CN" w:bidi="ar-SA"/>
              </w:rPr>
            </w:pPr>
            <w:r>
              <w:rPr>
                <w:rFonts w:hint="eastAsia" w:ascii="宋体" w:hAnsi="宋体" w:eastAsia="宋体" w:cs="宋体"/>
                <w:b/>
                <w:szCs w:val="24"/>
              </w:rPr>
              <w:t>总</w:t>
            </w:r>
            <w:r>
              <w:rPr>
                <w:rFonts w:hint="eastAsia" w:ascii="仿宋_GB2312" w:hAnsi="仿宋" w:eastAsia="仿宋_GB2312"/>
                <w:b/>
                <w:szCs w:val="24"/>
              </w:rPr>
              <w:t xml:space="preserve"> </w:t>
            </w:r>
            <w:r>
              <w:rPr>
                <w:rFonts w:hint="eastAsia" w:ascii="宋体" w:hAnsi="宋体" w:eastAsia="宋体" w:cs="宋体"/>
                <w:b/>
                <w:szCs w:val="24"/>
              </w:rPr>
              <w:t>计</w:t>
            </w:r>
          </w:p>
        </w:tc>
        <w:tc>
          <w:tcPr>
            <w:tcW w:w="1854" w:type="dxa"/>
            <w:shd w:val="clear" w:color="auto" w:fill="auto"/>
            <w:vAlign w:val="center"/>
          </w:tcPr>
          <w:p w14:paraId="65AEC8F3">
            <w:pPr>
              <w:snapToGrid w:val="0"/>
              <w:jc w:val="center"/>
              <w:rPr>
                <w:rFonts w:hint="default" w:ascii="仿宋_GB2312" w:hAnsi="仿宋" w:eastAsia="仿宋_GB2312" w:cs="Times New Roman"/>
                <w:b/>
                <w:kern w:val="2"/>
                <w:sz w:val="21"/>
                <w:szCs w:val="24"/>
                <w:lang w:val="en-US" w:eastAsia="zh-CN" w:bidi="ar-SA"/>
              </w:rPr>
            </w:pPr>
            <w:r>
              <w:rPr>
                <w:rFonts w:hint="eastAsia" w:ascii="仿宋_GB2312" w:hAnsi="仿宋" w:eastAsia="仿宋_GB2312"/>
                <w:b/>
                <w:szCs w:val="24"/>
                <w:lang w:val="en-US" w:eastAsia="zh-CN"/>
              </w:rPr>
              <w:t>296.88</w:t>
            </w:r>
          </w:p>
        </w:tc>
        <w:tc>
          <w:tcPr>
            <w:tcW w:w="1890" w:type="dxa"/>
            <w:shd w:val="clear" w:color="auto" w:fill="auto"/>
            <w:vAlign w:val="center"/>
          </w:tcPr>
          <w:p w14:paraId="63129357">
            <w:pPr>
              <w:snapToGrid w:val="0"/>
              <w:jc w:val="center"/>
              <w:rPr>
                <w:rFonts w:hint="default" w:ascii="仿宋_GB2312" w:hAnsi="仿宋" w:eastAsia="仿宋_GB2312" w:cs="Times New Roman"/>
                <w:b/>
                <w:kern w:val="2"/>
                <w:sz w:val="21"/>
                <w:szCs w:val="24"/>
                <w:lang w:val="en-US" w:eastAsia="zh-CN" w:bidi="ar-SA"/>
              </w:rPr>
            </w:pPr>
            <w:r>
              <w:rPr>
                <w:rFonts w:hint="eastAsia" w:ascii="仿宋_GB2312" w:hAnsi="仿宋" w:eastAsia="仿宋_GB2312"/>
                <w:b/>
                <w:szCs w:val="24"/>
                <w:lang w:val="en-US" w:eastAsia="zh-CN"/>
              </w:rPr>
              <w:t>296.88</w:t>
            </w:r>
          </w:p>
        </w:tc>
        <w:tc>
          <w:tcPr>
            <w:tcW w:w="1131" w:type="dxa"/>
            <w:shd w:val="clear" w:color="auto" w:fill="auto"/>
            <w:vAlign w:val="center"/>
          </w:tcPr>
          <w:p w14:paraId="79E9CCEF">
            <w:pPr>
              <w:snapToGrid w:val="0"/>
              <w:jc w:val="center"/>
              <w:rPr>
                <w:rFonts w:hint="eastAsia" w:ascii="仿宋_GB2312" w:hAnsi="仿宋" w:eastAsia="仿宋_GB2312" w:cs="Times New Roman"/>
                <w:b/>
                <w:kern w:val="2"/>
                <w:sz w:val="21"/>
                <w:szCs w:val="24"/>
                <w:lang w:val="en-US" w:eastAsia="zh-CN" w:bidi="ar-SA"/>
              </w:rPr>
            </w:pPr>
            <w:r>
              <w:rPr>
                <w:rFonts w:hint="eastAsia" w:ascii="仿宋_GB2312" w:hAnsi="仿宋" w:eastAsia="仿宋_GB2312"/>
                <w:szCs w:val="24"/>
              </w:rPr>
              <w:t>-</w:t>
            </w:r>
          </w:p>
        </w:tc>
        <w:tc>
          <w:tcPr>
            <w:tcW w:w="1860" w:type="dxa"/>
            <w:shd w:val="clear" w:color="auto" w:fill="auto"/>
            <w:vAlign w:val="center"/>
          </w:tcPr>
          <w:p w14:paraId="44741A17">
            <w:pPr>
              <w:snapToGrid w:val="0"/>
              <w:jc w:val="center"/>
              <w:rPr>
                <w:rFonts w:hint="eastAsia" w:ascii="仿宋_GB2312" w:hAnsi="仿宋" w:eastAsia="仿宋_GB2312" w:cs="Times New Roman"/>
                <w:b/>
                <w:kern w:val="2"/>
                <w:sz w:val="21"/>
                <w:szCs w:val="24"/>
                <w:lang w:val="en-US" w:eastAsia="zh-CN" w:bidi="ar-SA"/>
              </w:rPr>
            </w:pPr>
            <w:r>
              <w:rPr>
                <w:rFonts w:hint="eastAsia" w:ascii="仿宋_GB2312" w:hAnsi="仿宋" w:eastAsia="仿宋_GB2312"/>
                <w:b/>
                <w:szCs w:val="24"/>
              </w:rPr>
              <w:t>100.00</w:t>
            </w:r>
            <w:r>
              <w:rPr>
                <w:rFonts w:ascii="仿宋_GB2312" w:hAnsi="仿宋" w:eastAsia="仿宋_GB2312"/>
                <w:b/>
                <w:szCs w:val="24"/>
              </w:rPr>
              <w:t>%</w:t>
            </w:r>
          </w:p>
        </w:tc>
        <w:tc>
          <w:tcPr>
            <w:tcW w:w="2475" w:type="dxa"/>
            <w:shd w:val="clear" w:color="auto" w:fill="auto"/>
            <w:vAlign w:val="center"/>
          </w:tcPr>
          <w:p w14:paraId="0BB8941B">
            <w:pPr>
              <w:snapToGrid w:val="0"/>
              <w:jc w:val="center"/>
              <w:rPr>
                <w:rFonts w:hint="eastAsia" w:ascii="仿宋_GB2312" w:hAnsi="仿宋" w:eastAsia="仿宋_GB2312" w:cs="Times New Roman"/>
                <w:b/>
                <w:kern w:val="2"/>
                <w:sz w:val="21"/>
                <w:szCs w:val="24"/>
                <w:lang w:val="en-US" w:eastAsia="zh-CN" w:bidi="ar-SA"/>
              </w:rPr>
            </w:pPr>
          </w:p>
        </w:tc>
      </w:tr>
    </w:tbl>
    <w:p w14:paraId="78565A2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p>
    <w:p w14:paraId="65DF27A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lang w:eastAsia="zh-CN"/>
        </w:rPr>
        <w:t>项目产出情况。</w:t>
      </w:r>
    </w:p>
    <w:p w14:paraId="28DCA99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从部门整体产出情况来看，部门职能产出情况具体为：</w:t>
      </w:r>
    </w:p>
    <w:p w14:paraId="2D588411">
      <w:pPr>
        <w:spacing w:line="560" w:lineRule="exact"/>
        <w:ind w:firstLine="640" w:firstLineChars="200"/>
        <w:outlineLvl w:val="1"/>
        <w:rPr>
          <w:rFonts w:hint="eastAsia" w:ascii="仿宋_GB2312" w:hAnsi="仿宋_GB2312" w:eastAsia="仿宋_GB2312" w:cs="仿宋_GB2312"/>
          <w:b/>
          <w:bCs/>
          <w:sz w:val="32"/>
        </w:rPr>
      </w:pPr>
      <w:r>
        <w:rPr>
          <w:rFonts w:hint="eastAsia" w:ascii="楷体_GB2312" w:hAnsi="楷体_GB2312" w:eastAsia="楷体_GB2312" w:cs="楷体_GB2312"/>
          <w:b/>
          <w:bCs/>
          <w:sz w:val="32"/>
          <w:szCs w:val="40"/>
          <w:lang w:val="en-US" w:eastAsia="zh-CN"/>
        </w:rPr>
        <w:t>1</w:t>
      </w:r>
      <w:r>
        <w:rPr>
          <w:rFonts w:hint="eastAsia" w:ascii="楷体_GB2312" w:hAnsi="楷体_GB2312" w:eastAsia="楷体_GB2312" w:cs="楷体_GB2312"/>
          <w:b/>
          <w:bCs/>
          <w:sz w:val="32"/>
          <w:szCs w:val="40"/>
        </w:rPr>
        <w:t>、坚持</w:t>
      </w:r>
      <w:r>
        <w:rPr>
          <w:rFonts w:hint="eastAsia" w:ascii="楷体_GB2312" w:hAnsi="楷体_GB2312" w:eastAsia="楷体_GB2312" w:cs="楷体_GB2312"/>
          <w:b/>
          <w:bCs/>
          <w:sz w:val="32"/>
          <w:szCs w:val="32"/>
        </w:rPr>
        <w:t>多点发力，招商引资</w:t>
      </w:r>
      <w:r>
        <w:rPr>
          <w:rFonts w:hint="eastAsia" w:ascii="楷体_GB2312" w:hAnsi="楷体_GB2312" w:eastAsia="楷体_GB2312" w:cs="楷体_GB2312"/>
          <w:b/>
          <w:bCs/>
          <w:sz w:val="32"/>
          <w:szCs w:val="40"/>
        </w:rPr>
        <w:t>工作全面开花:</w:t>
      </w:r>
      <w:r>
        <w:rPr>
          <w:rFonts w:hint="eastAsia" w:ascii="仿宋_GB2312" w:hAnsi="仿宋_GB2312" w:eastAsia="仿宋_GB2312" w:cs="仿宋_GB2312"/>
          <w:b/>
          <w:bCs/>
          <w:sz w:val="32"/>
        </w:rPr>
        <w:t>一是聚焦大项目，汇聚高质量发展强动能。形成一批在谈大项目。</w:t>
      </w:r>
      <w:r>
        <w:rPr>
          <w:rFonts w:hint="eastAsia" w:ascii="仿宋_GB2312" w:hAnsi="仿宋_GB2312" w:eastAsia="仿宋_GB2312" w:cs="仿宋_GB2312"/>
          <w:color w:val="000000"/>
          <w:sz w:val="32"/>
          <w:szCs w:val="32"/>
          <w:lang w:val="zh-CN"/>
        </w:rPr>
        <w:t>今年以来区投促中心走访、接待</w:t>
      </w:r>
      <w:r>
        <w:rPr>
          <w:rFonts w:hint="eastAsia" w:ascii="仿宋_GB2312" w:hAnsi="仿宋_GB2312" w:eastAsia="仿宋_GB2312" w:cs="仿宋_GB2312"/>
          <w:color w:val="000000"/>
          <w:sz w:val="32"/>
          <w:szCs w:val="32"/>
        </w:rPr>
        <w:t>400</w:t>
      </w:r>
      <w:r>
        <w:rPr>
          <w:rFonts w:hint="eastAsia" w:ascii="仿宋_GB2312" w:hAnsi="仿宋_GB2312" w:eastAsia="仿宋_GB2312" w:cs="仿宋_GB2312"/>
          <w:color w:val="000000"/>
          <w:sz w:val="32"/>
          <w:szCs w:val="32"/>
          <w:lang w:val="zh-CN"/>
        </w:rPr>
        <w:t>余家次，</w:t>
      </w: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color w:val="000000"/>
          <w:sz w:val="32"/>
          <w:szCs w:val="32"/>
          <w:lang w:val="zh-CN"/>
        </w:rPr>
        <w:t>区领导带队走访和接待100余次。截至目前，储备在谈项目</w:t>
      </w:r>
      <w:r>
        <w:rPr>
          <w:rFonts w:hint="eastAsia" w:ascii="仿宋_GB2312" w:hAnsi="仿宋_GB2312" w:eastAsia="仿宋_GB2312" w:cs="仿宋_GB2312"/>
          <w:sz w:val="32"/>
          <w:szCs w:val="32"/>
        </w:rPr>
        <w:t>累计604个，预计投资总额约2042亿元。</w:t>
      </w:r>
      <w:r>
        <w:rPr>
          <w:rFonts w:hint="eastAsia" w:ascii="仿宋_GB2312" w:hAnsi="仿宋_GB2312" w:eastAsia="仿宋_GB2312" w:cs="仿宋_GB2312"/>
          <w:color w:val="000000"/>
          <w:sz w:val="32"/>
          <w:szCs w:val="32"/>
          <w:lang w:bidi="zh-CN"/>
        </w:rPr>
        <w:t>其中</w:t>
      </w:r>
      <w:r>
        <w:rPr>
          <w:rFonts w:hint="eastAsia" w:ascii="仿宋_GB2312" w:hAnsi="仿宋_GB2312" w:eastAsia="仿宋_GB2312" w:cs="仿宋_GB2312"/>
          <w:sz w:val="32"/>
          <w:szCs w:val="32"/>
        </w:rPr>
        <w:t>今年以来新增在谈项目147个，</w:t>
      </w:r>
      <w:r>
        <w:rPr>
          <w:rFonts w:hint="eastAsia" w:ascii="仿宋_GB2312" w:hAnsi="仿宋_GB2312" w:eastAsia="仿宋_GB2312" w:cs="仿宋_GB2312"/>
          <w:color w:val="000000"/>
          <w:sz w:val="32"/>
          <w:szCs w:val="32"/>
          <w:lang w:bidi="zh-CN"/>
        </w:rPr>
        <w:t>预计投资总额超232亿元。</w:t>
      </w:r>
      <w:r>
        <w:rPr>
          <w:rFonts w:hint="eastAsia" w:ascii="仿宋_GB2312" w:hAnsi="仿宋_GB2312" w:eastAsia="仿宋_GB2312" w:cs="仿宋_GB2312"/>
          <w:b/>
          <w:bCs/>
          <w:sz w:val="32"/>
        </w:rPr>
        <w:t>落地一批重点大项目。</w:t>
      </w:r>
      <w:r>
        <w:rPr>
          <w:rFonts w:hint="eastAsia" w:ascii="仿宋_GB2312" w:eastAsia="仿宋_GB2312"/>
          <w:sz w:val="32"/>
          <w:szCs w:val="32"/>
        </w:rPr>
        <w:t>今年以来，</w:t>
      </w:r>
      <w:r>
        <w:rPr>
          <w:rFonts w:hint="eastAsia" w:ascii="仿宋_GB2312" w:hAnsi="仿宋_GB2312" w:eastAsia="仿宋_GB2312" w:cs="仿宋_GB2312"/>
          <w:sz w:val="32"/>
        </w:rPr>
        <w:t>招商目标重点企业已注册落地</w:t>
      </w:r>
      <w:r>
        <w:rPr>
          <w:rFonts w:hint="eastAsia" w:ascii="仿宋_GB2312" w:eastAsia="仿宋_GB2312"/>
          <w:sz w:val="32"/>
          <w:szCs w:val="32"/>
        </w:rPr>
        <w:t>325个，注册资金总额超过233亿元，亿元以上项目27个，形成税收1.75亿元</w:t>
      </w:r>
      <w:r>
        <w:rPr>
          <w:rFonts w:hint="eastAsia" w:ascii="仿宋_GB2312" w:hAnsi="仿宋_GB2312" w:eastAsia="仿宋_GB2312" w:cs="仿宋_GB2312"/>
          <w:sz w:val="32"/>
        </w:rPr>
        <w:t>。促成中建海外、国投云网、云宙时代、中航新能源、中交城市运营、华兴海安集团等</w:t>
      </w:r>
      <w:r>
        <w:rPr>
          <w:rFonts w:hint="eastAsia" w:ascii="仿宋_GB2312" w:hAnsi="仿宋_GB2312" w:eastAsia="仿宋_GB2312" w:cs="仿宋_GB2312"/>
          <w:b/>
          <w:bCs/>
          <w:sz w:val="32"/>
        </w:rPr>
        <w:t>央企及子公司</w:t>
      </w:r>
      <w:r>
        <w:rPr>
          <w:rFonts w:hint="eastAsia" w:ascii="仿宋_GB2312" w:hAnsi="仿宋_GB2312" w:eastAsia="仿宋_GB2312" w:cs="仿宋_GB2312"/>
          <w:sz w:val="32"/>
        </w:rPr>
        <w:t>落户城市副中心。央企、市属国企引进初见成效，累计落地</w:t>
      </w:r>
      <w:r>
        <w:rPr>
          <w:rFonts w:hint="eastAsia" w:ascii="仿宋_GB2312" w:hAnsi="仿宋_GB2312" w:eastAsia="仿宋_GB2312" w:cs="仿宋_GB2312"/>
          <w:sz w:val="32"/>
          <w:szCs w:val="32"/>
        </w:rPr>
        <w:t>158家，其中</w:t>
      </w:r>
      <w:r>
        <w:rPr>
          <w:rFonts w:hint="eastAsia" w:ascii="仿宋_GB2312" w:hAnsi="仿宋_GB2312" w:eastAsia="仿宋_GB2312" w:cs="仿宋_GB2312"/>
          <w:sz w:val="32"/>
        </w:rPr>
        <w:t>落户三峡集团、中石油、中国电力、中建、中核等央企二三级企业93家；</w:t>
      </w:r>
      <w:r>
        <w:rPr>
          <w:rFonts w:hint="eastAsia" w:ascii="仿宋_GB2312" w:hAnsi="仿宋_GB2312" w:eastAsia="仿宋_GB2312" w:cs="仿宋_GB2312"/>
          <w:sz w:val="32"/>
          <w:szCs w:val="32"/>
        </w:rPr>
        <w:t>落地</w:t>
      </w:r>
      <w:r>
        <w:rPr>
          <w:rFonts w:hint="eastAsia" w:ascii="仿宋_GB2312" w:hAnsi="仿宋_GB2312" w:eastAsia="仿宋_GB2312" w:cs="仿宋_GB2312"/>
          <w:color w:val="000000"/>
          <w:sz w:val="32"/>
          <w:szCs w:val="32"/>
        </w:rPr>
        <w:t>首旅集团、北投集团、住保中心等</w:t>
      </w:r>
      <w:r>
        <w:rPr>
          <w:rFonts w:hint="eastAsia" w:ascii="仿宋_GB2312" w:hAnsi="仿宋_GB2312" w:eastAsia="仿宋_GB2312" w:cs="仿宋_GB2312"/>
          <w:sz w:val="32"/>
          <w:szCs w:val="32"/>
        </w:rPr>
        <w:t>市属国企65家，</w:t>
      </w:r>
      <w:r>
        <w:rPr>
          <w:rFonts w:hint="eastAsia" w:ascii="仿宋_GB2312" w:hAnsi="仿宋_GB2312" w:eastAsia="仿宋_GB2312" w:cs="仿宋_GB2312"/>
          <w:color w:val="000000"/>
          <w:sz w:val="32"/>
          <w:szCs w:val="32"/>
        </w:rPr>
        <w:t>目前正在积极对接服务第二批市属国企搬迁落户副中心。引进</w:t>
      </w:r>
      <w:r>
        <w:rPr>
          <w:rFonts w:hint="eastAsia" w:ascii="仿宋_GB2312" w:hAnsi="仿宋_GB2312" w:eastAsia="仿宋_GB2312" w:cs="仿宋_GB2312"/>
          <w:b/>
          <w:bCs/>
          <w:sz w:val="32"/>
        </w:rPr>
        <w:t>重点民企</w:t>
      </w:r>
      <w:r>
        <w:rPr>
          <w:rFonts w:hint="eastAsia" w:ascii="仿宋_GB2312" w:hAnsi="仿宋_GB2312" w:eastAsia="仿宋_GB2312" w:cs="仿宋_GB2312"/>
          <w:sz w:val="32"/>
        </w:rPr>
        <w:t>亚太空列、鱼道天下以及知名</w:t>
      </w:r>
      <w:r>
        <w:rPr>
          <w:rFonts w:hint="eastAsia" w:ascii="仿宋_GB2312" w:hAnsi="仿宋_GB2312" w:eastAsia="仿宋_GB2312" w:cs="仿宋_GB2312"/>
          <w:b/>
          <w:bCs/>
          <w:sz w:val="32"/>
        </w:rPr>
        <w:t>外企</w:t>
      </w:r>
      <w:r>
        <w:rPr>
          <w:rFonts w:hint="eastAsia" w:ascii="仿宋_GB2312" w:hAnsi="仿宋_GB2312" w:eastAsia="仿宋_GB2312" w:cs="仿宋_GB2312"/>
          <w:sz w:val="32"/>
        </w:rPr>
        <w:t>IDC咨询等公司落户副中心。近3年（2021年以来）共引进企业900个，2023年形成税收17.03亿元；近5年（2019年以来）累计引进企业1326个，2023年形成税收44.6亿元。（根据产促部提供数据，通过经济大脑查询税收数据）招商目标企业对全区税收的贡献率由2020年的6.5%攀升至今年以来的14.5%，快速成为拉动区域税收增长的生力军。</w:t>
      </w:r>
    </w:p>
    <w:p w14:paraId="0A57A6DA">
      <w:pPr>
        <w:spacing w:line="560" w:lineRule="exact"/>
        <w:ind w:firstLine="640"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rPr>
        <w:t>二是聚焦大统筹，构建</w:t>
      </w:r>
      <w:r>
        <w:rPr>
          <w:rFonts w:hint="eastAsia" w:ascii="仿宋_GB2312" w:hAnsi="仿宋_GB2312" w:eastAsia="仿宋_GB2312" w:cs="仿宋_GB2312"/>
          <w:b/>
          <w:bCs/>
          <w:sz w:val="32"/>
          <w:szCs w:val="32"/>
        </w:rPr>
        <w:t>投资促进新格局。</w:t>
      </w:r>
    </w:p>
    <w:p w14:paraId="37326550">
      <w:pPr>
        <w:spacing w:line="560" w:lineRule="exact"/>
        <w:ind w:firstLine="640" w:firstLineChars="200"/>
        <w:outlineLvl w:val="2"/>
        <w:rPr>
          <w:rFonts w:ascii="仿宋_GB2312" w:hAnsi="仿宋_GB2312" w:eastAsia="仿宋_GB2312" w:cs="仿宋_GB2312"/>
          <w:sz w:val="32"/>
          <w:szCs w:val="40"/>
        </w:rPr>
      </w:pPr>
      <w:r>
        <w:rPr>
          <w:rFonts w:hint="eastAsia" w:ascii="仿宋_GB2312" w:hAnsi="仿宋_GB2312" w:eastAsia="仿宋_GB2312" w:cs="仿宋_GB2312"/>
          <w:b/>
          <w:bCs/>
          <w:sz w:val="32"/>
        </w:rPr>
        <w:t>“产促会”统筹调度效用凸显。</w:t>
      </w:r>
      <w:r>
        <w:rPr>
          <w:rFonts w:hint="eastAsia" w:ascii="仿宋_GB2312" w:hAnsi="仿宋_GB2312" w:eastAsia="仿宋_GB2312" w:cs="仿宋_GB2312"/>
          <w:sz w:val="32"/>
          <w:szCs w:val="40"/>
        </w:rPr>
        <w:t>健全“一口进一口出”全流程服务体系，通过产促会推动项目落地发展。</w:t>
      </w:r>
      <w:r>
        <w:rPr>
          <w:rFonts w:hint="eastAsia" w:ascii="仿宋_GB2312" w:hAnsi="仿宋_GB2312" w:eastAsia="仿宋_GB2312" w:cs="仿宋_GB2312"/>
          <w:color w:val="000000"/>
          <w:sz w:val="32"/>
          <w:szCs w:val="32"/>
        </w:rPr>
        <w:t>2023年共组织召开6次会议，审议议题31个，</w:t>
      </w:r>
      <w:r>
        <w:rPr>
          <w:rFonts w:hint="eastAsia" w:ascii="仿宋_GB2312" w:hAnsi="仿宋_GB2312" w:eastAsia="仿宋_GB2312" w:cs="仿宋_GB2312"/>
          <w:sz w:val="32"/>
          <w:szCs w:val="32"/>
        </w:rPr>
        <w:t>协调解决重点项目引进落地、土地上市、产业政策申请和兑现等方面事宜。同时，建立定期督办闭环管理机制，对重点项目进行跟踪督办，并将相关情况报区政府。</w:t>
      </w:r>
    </w:p>
    <w:p w14:paraId="5C1AFE3D">
      <w:pPr>
        <w:pStyle w:val="12"/>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rPr>
        <w:t>“四个一”招商机制运行良好。</w:t>
      </w:r>
      <w:r>
        <w:rPr>
          <w:rFonts w:hint="eastAsia" w:ascii="仿宋_GB2312" w:hAnsi="仿宋_GB2312" w:eastAsia="仿宋_GB2312" w:cs="仿宋"/>
          <w:sz w:val="32"/>
        </w:rPr>
        <w:t>聚焦六大重点产业招商工作，牵头制定</w:t>
      </w:r>
      <w:r>
        <w:rPr>
          <w:rFonts w:hint="eastAsia" w:ascii="仿宋_GB2312" w:hAnsi="仿宋_GB2312" w:eastAsia="仿宋_GB2312" w:cs="仿宋_GB2312"/>
          <w:sz w:val="32"/>
          <w:szCs w:val="32"/>
        </w:rPr>
        <w:t>《“四个一”招商工作机制实施方案（2022年试行版）》。方案</w:t>
      </w:r>
      <w:r>
        <w:rPr>
          <w:rFonts w:hint="eastAsia" w:ascii="仿宋_GB2312" w:hAnsi="仿宋_GB2312" w:eastAsia="仿宋_GB2312" w:cs="仿宋"/>
          <w:sz w:val="32"/>
        </w:rPr>
        <w:t>实施一年多来，投促中心加强统筹，积极协调、推进调度，梳理“四个清单、两本台账”，推动各产业专班和相关单位扎实开展工作。截至目前，六大产业招商专班队伍组建，决策咨询机构遴选、招商目标企业梳理、三年行动计划及配套政策制定、产业链图谱及空间资源图谱绘制等工作已基本完成，一批招商项目陆续洽谈落地，目前正在制定推行“四个一”绩效考核细则</w:t>
      </w:r>
      <w:r>
        <w:rPr>
          <w:rFonts w:hint="eastAsia" w:ascii="仿宋_GB2312" w:hAnsi="仿宋_GB2312" w:eastAsia="仿宋_GB2312" w:cs="仿宋_GB2312"/>
          <w:sz w:val="32"/>
          <w:szCs w:val="32"/>
        </w:rPr>
        <w:t>。</w:t>
      </w:r>
    </w:p>
    <w:p w14:paraId="6D664DC5">
      <w:pPr>
        <w:spacing w:line="560" w:lineRule="exact"/>
        <w:ind w:firstLine="640" w:firstLineChars="200"/>
        <w:rPr>
          <w:rFonts w:hint="eastAsia" w:ascii="仿宋_GB2312" w:hAnsi="仿宋_GB2312" w:eastAsia="仿宋_GB2312" w:cs="仿宋_GB2312"/>
          <w:b/>
          <w:bCs/>
          <w:sz w:val="32"/>
        </w:rPr>
      </w:pPr>
      <w:r>
        <w:rPr>
          <w:rFonts w:hint="eastAsia" w:ascii="仿宋_GB2312" w:hAnsi="仿宋_GB2312" w:eastAsia="仿宋_GB2312" w:cs="仿宋_GB2312"/>
          <w:b/>
          <w:bCs/>
          <w:sz w:val="32"/>
        </w:rPr>
        <w:t>“两区”项目统筹机制日臻完善。</w:t>
      </w:r>
      <w:r>
        <w:rPr>
          <w:rFonts w:hint="eastAsia" w:ascii="仿宋_GB2312" w:hAnsi="仿宋_GB2312" w:eastAsia="仿宋_GB2312" w:cs="仿宋_GB2312"/>
          <w:sz w:val="32"/>
        </w:rPr>
        <w:t>作为区“两区”建设招商引资组的牵头部门，区投促中心以“两区”建设项目库为抓手，认真开展调研、培训、实地走访、空间资源梳理、督查指导等工作。今年新增入库项目数、新增预计投入资金、项目落地率三个主要市级考核指标已提前完成全年任务。新增入库项目1121个，完成全年任务的301%，任务完成率全市第4，自贸区第1；新增预计投入资金1005亿，资金量全市第7，完成率全市第12;落地项目数843个，全市排名第2,落地率63%，超过年度落地率40%任务指标23个百分点。（</w:t>
      </w:r>
      <w:r>
        <w:rPr>
          <w:rFonts w:hint="eastAsia" w:ascii="仿宋_GB2312" w:hAnsi="仿宋_GB2312" w:eastAsia="仿宋_GB2312" w:cs="仿宋_GB2312"/>
          <w:color w:val="000000"/>
          <w:sz w:val="32"/>
          <w:szCs w:val="32"/>
        </w:rPr>
        <w:t>今年通州区市级下达的指标任务是新增入库项目370个，新增预计投入资金890亿元，落地率达40%</w:t>
      </w:r>
      <w:r>
        <w:rPr>
          <w:rFonts w:hint="eastAsia" w:ascii="仿宋_GB2312" w:hAnsi="仿宋_GB2312" w:eastAsia="仿宋_GB2312" w:cs="仿宋_GB2312"/>
          <w:sz w:val="32"/>
        </w:rPr>
        <w:t>）。</w:t>
      </w:r>
    </w:p>
    <w:p w14:paraId="2268379D">
      <w:pPr>
        <w:spacing w:line="560" w:lineRule="exact"/>
        <w:ind w:firstLine="640" w:firstLineChars="200"/>
        <w:rPr>
          <w:rFonts w:hint="eastAsia" w:ascii="仿宋_GB2312" w:hAnsi="仿宋_GB2312" w:eastAsia="仿宋_GB2312" w:cs="仿宋_GB2312"/>
          <w:b/>
          <w:bCs/>
          <w:sz w:val="32"/>
        </w:rPr>
      </w:pPr>
      <w:r>
        <w:rPr>
          <w:rFonts w:hint="eastAsia" w:ascii="仿宋_GB2312" w:hAnsi="仿宋_GB2312" w:eastAsia="仿宋_GB2312" w:cs="仿宋_GB2312"/>
          <w:b/>
          <w:bCs/>
          <w:sz w:val="32"/>
        </w:rPr>
        <w:t>“产业高质量发展指标体系”研究逐步深化。</w:t>
      </w:r>
      <w:r>
        <w:rPr>
          <w:rFonts w:hint="eastAsia" w:ascii="仿宋_GB2312" w:hAnsi="仿宋_GB2312" w:eastAsia="仿宋_GB2312" w:cs="仿宋_GB2312"/>
          <w:sz w:val="32"/>
          <w:szCs w:val="40"/>
        </w:rPr>
        <w:t>持续开展“</w:t>
      </w:r>
      <w:r>
        <w:rPr>
          <w:rFonts w:hint="eastAsia" w:ascii="仿宋_GB2312" w:hAnsi="宋体" w:eastAsia="仿宋_GB2312"/>
          <w:sz w:val="32"/>
          <w:szCs w:val="32"/>
        </w:rPr>
        <w:t>通州区产业高质量发展指标体系</w:t>
      </w:r>
      <w:r>
        <w:rPr>
          <w:rFonts w:hint="eastAsia" w:ascii="仿宋_GB2312" w:hAnsi="仿宋_GB2312" w:eastAsia="仿宋_GB2312" w:cs="仿宋_GB2312"/>
          <w:sz w:val="32"/>
          <w:szCs w:val="40"/>
        </w:rPr>
        <w:t>”的研究工作，通过</w:t>
      </w:r>
      <w:r>
        <w:rPr>
          <w:rFonts w:hint="eastAsia" w:ascii="仿宋_GB2312" w:hAnsi="仿宋_GB2312" w:eastAsia="仿宋_GB2312" w:cs="仿宋"/>
          <w:sz w:val="32"/>
        </w:rPr>
        <w:t>量化</w:t>
      </w:r>
      <w:r>
        <w:rPr>
          <w:rFonts w:hint="eastAsia" w:ascii="仿宋_GB2312" w:hAnsi="仿宋_GB2312" w:eastAsia="仿宋_GB2312" w:cs="仿宋_GB2312"/>
          <w:sz w:val="32"/>
          <w:szCs w:val="40"/>
        </w:rPr>
        <w:t>指标</w:t>
      </w:r>
      <w:r>
        <w:rPr>
          <w:rFonts w:hint="eastAsia" w:ascii="仿宋_GB2312" w:hAnsi="仿宋_GB2312" w:eastAsia="仿宋_GB2312" w:cs="仿宋"/>
          <w:sz w:val="32"/>
        </w:rPr>
        <w:t>评估</w:t>
      </w:r>
      <w:r>
        <w:rPr>
          <w:rFonts w:hint="eastAsia" w:ascii="仿宋_GB2312" w:eastAsia="仿宋_GB2312"/>
          <w:sz w:val="32"/>
          <w:szCs w:val="32"/>
        </w:rPr>
        <w:t>通州区产业高质量发展</w:t>
      </w:r>
      <w:r>
        <w:rPr>
          <w:rFonts w:hint="eastAsia" w:ascii="仿宋_GB2312" w:hAnsi="宋体" w:eastAsia="仿宋_GB2312"/>
          <w:sz w:val="32"/>
          <w:szCs w:val="32"/>
        </w:rPr>
        <w:t>。</w:t>
      </w:r>
      <w:r>
        <w:rPr>
          <w:rFonts w:hint="eastAsia" w:ascii="仿宋_GB2312" w:hAnsi="仿宋_GB2312" w:eastAsia="仿宋_GB2312" w:cs="仿宋_GB2312"/>
          <w:sz w:val="32"/>
          <w:szCs w:val="40"/>
        </w:rPr>
        <w:t>与全区50余家相关单位开展对接，</w:t>
      </w:r>
      <w:r>
        <w:rPr>
          <w:rFonts w:hint="eastAsia" w:ascii="仿宋_GB2312" w:hAnsi="仿宋_GB2312" w:eastAsia="仿宋_GB2312" w:cs="仿宋_GB2312"/>
          <w:color w:val="000000"/>
          <w:kern w:val="0"/>
          <w:sz w:val="32"/>
          <w:szCs w:val="32"/>
        </w:rPr>
        <w:t>编制了《通州区产业高质量发展指标体系工作专报（2023年上半年）》</w:t>
      </w:r>
      <w:r>
        <w:rPr>
          <w:rFonts w:hint="eastAsia" w:ascii="仿宋_GB2312" w:hAnsi="宋体" w:eastAsia="仿宋_GB2312"/>
          <w:sz w:val="32"/>
          <w:szCs w:val="32"/>
        </w:rPr>
        <w:t>，</w:t>
      </w:r>
      <w:r>
        <w:rPr>
          <w:rFonts w:hint="eastAsia" w:ascii="仿宋_GB2312" w:hAnsi="仿宋_GB2312" w:eastAsia="仿宋_GB2312" w:cs="仿宋_GB2312"/>
          <w:color w:val="000000"/>
          <w:kern w:val="0"/>
          <w:sz w:val="32"/>
          <w:szCs w:val="32"/>
        </w:rPr>
        <w:t>完成了指标体系的年度修订工作。正在编制指标体系年度专报，</w:t>
      </w:r>
      <w:r>
        <w:rPr>
          <w:rFonts w:hint="eastAsia" w:ascii="仿宋_GB2312" w:hAnsi="仿宋_GB2312" w:eastAsia="仿宋_GB2312" w:cs="仿宋_GB2312"/>
          <w:sz w:val="32"/>
          <w:szCs w:val="32"/>
          <w:lang w:bidi="zh-CN"/>
        </w:rPr>
        <w:t>通过产业指标分析通州区产业发展情况，找出产业高质量发展短板，为政府决策和科学化管理提供支撑</w:t>
      </w:r>
      <w:r>
        <w:rPr>
          <w:rFonts w:hint="eastAsia" w:ascii="仿宋_GB2312" w:hAnsi="仿宋_GB2312" w:eastAsia="仿宋_GB2312" w:cs="仿宋_GB2312"/>
          <w:color w:val="000000"/>
          <w:kern w:val="0"/>
          <w:sz w:val="32"/>
          <w:szCs w:val="32"/>
        </w:rPr>
        <w:t>。</w:t>
      </w:r>
    </w:p>
    <w:p w14:paraId="591D7559">
      <w:pPr>
        <w:spacing w:line="56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rPr>
        <w:t>三是聚焦大招商，打好项目引进组合拳。</w:t>
      </w:r>
    </w:p>
    <w:p w14:paraId="0CF1BE68">
      <w:pPr>
        <w:pStyle w:val="12"/>
        <w:spacing w:after="0" w:line="560" w:lineRule="exact"/>
        <w:ind w:firstLine="640" w:firstLineChars="0"/>
        <w:rPr>
          <w:rFonts w:hint="eastAsia" w:ascii="仿宋_GB2312" w:hAnsi="仿宋_GB2312" w:eastAsia="仿宋_GB2312" w:cs="仿宋_GB2312"/>
          <w:b/>
          <w:bCs/>
          <w:sz w:val="32"/>
        </w:rPr>
      </w:pPr>
      <w:r>
        <w:rPr>
          <w:rFonts w:hint="eastAsia" w:ascii="仿宋_GB2312" w:eastAsia="仿宋_GB2312"/>
          <w:b/>
          <w:bCs/>
          <w:sz w:val="32"/>
        </w:rPr>
        <w:t>借助中介力量招商</w:t>
      </w:r>
      <w:r>
        <w:rPr>
          <w:rFonts w:hint="eastAsia" w:ascii="仿宋_GB2312" w:hAnsi="仿宋_GB2312" w:eastAsia="仿宋_GB2312" w:cs="仿宋_GB2312"/>
          <w:b/>
          <w:bCs/>
          <w:sz w:val="32"/>
        </w:rPr>
        <w:t>。</w:t>
      </w:r>
      <w:r>
        <w:rPr>
          <w:rFonts w:hint="eastAsia" w:ascii="仿宋_GB2312" w:eastAsia="仿宋_GB2312"/>
          <w:sz w:val="32"/>
        </w:rPr>
        <w:t>目前，共签约中介平台143家。通过招商中介机构引入注册企业2600余家，累计纳税超3亿元。储备在谈重点项目超300个。目前，为深度激发中介平台作用，正在完善奖励机制。</w:t>
      </w:r>
    </w:p>
    <w:p w14:paraId="368F4E61">
      <w:pPr>
        <w:pStyle w:val="12"/>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rPr>
        <w:t>积极“走出去”招商。</w:t>
      </w:r>
      <w:r>
        <w:rPr>
          <w:rFonts w:hint="eastAsia" w:ascii="仿宋_GB2312" w:hAnsi="仿宋_GB2312" w:eastAsia="仿宋_GB2312" w:cs="仿宋_GB2312"/>
          <w:sz w:val="32"/>
          <w:szCs w:val="32"/>
        </w:rPr>
        <w:t>组织招商小分队赴成都、南宁、上海、重庆、西安等地，开展宣传推介和招商洽谈，并首次在京外设立副中心招商联络站，形成雷迪波尔、欧度、合利宝等在谈项目。赴厦门、福州等地，开展精准招商，推进国投云网等项目落地。同时，全面启动面向长三角和珠三角等发达地区的系统化招商工作。</w:t>
      </w:r>
    </w:p>
    <w:p w14:paraId="2185842F">
      <w:pPr>
        <w:pStyle w:val="12"/>
        <w:spacing w:after="0" w:line="560" w:lineRule="exact"/>
        <w:ind w:firstLine="640" w:firstLineChars="0"/>
        <w:rPr>
          <w:rFonts w:hint="eastAsia" w:ascii="仿宋_GB2312" w:eastAsia="仿宋_GB2312"/>
          <w:sz w:val="32"/>
          <w:szCs w:val="32"/>
        </w:rPr>
      </w:pPr>
      <w:r>
        <w:rPr>
          <w:rFonts w:hint="eastAsia" w:ascii="仿宋_GB2312" w:hAnsi="仿宋_GB2312" w:eastAsia="仿宋_GB2312" w:cs="仿宋_GB2312"/>
          <w:b/>
          <w:bCs/>
          <w:sz w:val="32"/>
        </w:rPr>
        <w:t>实施数字化招商。</w:t>
      </w:r>
      <w:r>
        <w:rPr>
          <w:rFonts w:hint="eastAsia" w:ascii="仿宋_GB2312" w:eastAsia="仿宋_GB2312"/>
          <w:sz w:val="32"/>
          <w:szCs w:val="32"/>
        </w:rPr>
        <w:t>推广应用招商项目数字化管理系统，在全区范围内上线“经济大脑”智招平台，组织各产业牵头部门开展系统操作培训。该系统上线后实现了全区招商项目的全流程数字化管理，提高招商效率，有助于精准招商。</w:t>
      </w:r>
    </w:p>
    <w:p w14:paraId="73ADAA12">
      <w:pPr>
        <w:pStyle w:val="12"/>
        <w:spacing w:after="0" w:line="560" w:lineRule="exact"/>
        <w:ind w:firstLine="640" w:firstLineChars="0"/>
        <w:rPr>
          <w:rFonts w:hint="eastAsia" w:ascii="仿宋_GB2312" w:hAnsi="仿宋_GB2312" w:eastAsia="仿宋_GB2312" w:cs="仿宋_GB2312"/>
          <w:b/>
          <w:bCs/>
          <w:sz w:val="32"/>
        </w:rPr>
      </w:pPr>
      <w:r>
        <w:rPr>
          <w:rFonts w:hint="eastAsia" w:ascii="仿宋_GB2312" w:hAnsi="仿宋_GB2312" w:eastAsia="仿宋_GB2312" w:cs="仿宋_GB2312"/>
          <w:b/>
          <w:bCs/>
          <w:sz w:val="32"/>
        </w:rPr>
        <w:t>开展应用场景招商。</w:t>
      </w:r>
      <w:r>
        <w:rPr>
          <w:rFonts w:hint="eastAsia" w:ascii="仿宋_GB2312" w:eastAsia="仿宋_GB2312"/>
          <w:sz w:val="32"/>
          <w:szCs w:val="32"/>
        </w:rPr>
        <w:t>联合区发改委、区科委等部门，以应用场景和市场机会促进企业项目落地，不定期更新应用场景清单和重大项目清单。目前已发布41个应用场景。</w:t>
      </w:r>
    </w:p>
    <w:p w14:paraId="2894D8C4">
      <w:pPr>
        <w:spacing w:line="560" w:lineRule="exact"/>
        <w:ind w:firstLine="640" w:firstLineChars="200"/>
        <w:rPr>
          <w:rFonts w:ascii="仿宋_GB2312" w:hAnsi="仿宋_GB2312" w:eastAsia="仿宋_GB2312" w:cs="仿宋_GB2312"/>
          <w:strike/>
          <w:sz w:val="32"/>
          <w:szCs w:val="32"/>
        </w:rPr>
      </w:pPr>
      <w:r>
        <w:rPr>
          <w:rFonts w:hint="eastAsia" w:ascii="仿宋_GB2312" w:hAnsi="仿宋_GB2312" w:eastAsia="仿宋_GB2312" w:cs="仿宋_GB2312"/>
          <w:b/>
          <w:bCs/>
          <w:sz w:val="32"/>
        </w:rPr>
        <w:t>强化外资专班招商。</w:t>
      </w:r>
      <w:r>
        <w:rPr>
          <w:rFonts w:hint="eastAsia" w:ascii="仿宋_GB2312" w:hAnsi="黑体" w:eastAsia="仿宋_GB2312"/>
          <w:sz w:val="32"/>
          <w:szCs w:val="32"/>
        </w:rPr>
        <w:t>承接外资专班日常工作，今年以来配合林巍博士接待企业及开展座谈34次，新增在谈项目55个。</w:t>
      </w:r>
      <w:r>
        <w:rPr>
          <w:rFonts w:hint="eastAsia" w:ascii="仿宋_GB2312" w:hAnsi="仿宋_GB2312" w:eastAsia="仿宋_GB2312" w:cs="仿宋_GB2312"/>
          <w:color w:val="000000"/>
          <w:sz w:val="32"/>
          <w:szCs w:val="32"/>
          <w:lang w:bidi="zh-CN"/>
        </w:rPr>
        <w:t>推进竹间智能、英国四十家集团俱乐部代表处等企业和机构落户副中心</w:t>
      </w:r>
      <w:r>
        <w:rPr>
          <w:rFonts w:hint="eastAsia" w:ascii="仿宋_GB2312" w:hAnsi="黑体" w:eastAsia="仿宋_GB2312"/>
          <w:sz w:val="32"/>
          <w:szCs w:val="32"/>
        </w:rPr>
        <w:t>。</w:t>
      </w:r>
    </w:p>
    <w:p w14:paraId="49EF1F41">
      <w:pPr>
        <w:spacing w:line="560" w:lineRule="exact"/>
        <w:ind w:firstLine="64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rPr>
        <w:t>推动协同联动招商。</w:t>
      </w:r>
      <w:r>
        <w:rPr>
          <w:rFonts w:hint="eastAsia" w:ascii="仿宋_GB2312" w:hAnsi="仿宋_GB2312" w:eastAsia="仿宋_GB2312" w:cs="仿宋_GB2312"/>
          <w:sz w:val="32"/>
        </w:rPr>
        <w:t>全面落实执委会指示精神，</w:t>
      </w:r>
      <w:r>
        <w:rPr>
          <w:rFonts w:hint="eastAsia" w:ascii="仿宋_GB2312" w:eastAsia="仿宋_GB2312"/>
          <w:sz w:val="32"/>
          <w:szCs w:val="32"/>
        </w:rPr>
        <w:t>探索与北三县的联合招商工作机制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建立联合招商小组</w:t>
      </w:r>
      <w:r>
        <w:rPr>
          <w:rFonts w:hint="eastAsia" w:ascii="仿宋_GB2312" w:hAnsi="仿宋_GB2312" w:eastAsia="仿宋_GB2312" w:cs="仿宋_GB2312"/>
          <w:sz w:val="32"/>
          <w:szCs w:val="32"/>
        </w:rPr>
        <w:t>，</w:t>
      </w:r>
      <w:r>
        <w:rPr>
          <w:rFonts w:hint="eastAsia" w:ascii="仿宋_GB2312" w:eastAsia="仿宋_GB2312"/>
          <w:sz w:val="32"/>
          <w:szCs w:val="32"/>
        </w:rPr>
        <w:t>共建北三县资源库，合作举办招商活动。</w:t>
      </w:r>
      <w:r>
        <w:rPr>
          <w:rFonts w:hint="eastAsia" w:ascii="仿宋_GB2312" w:hAnsi="仿宋_GB2312" w:eastAsia="仿宋_GB2312" w:cs="仿宋_GB2312"/>
          <w:sz w:val="32"/>
          <w:szCs w:val="32"/>
        </w:rPr>
        <w:t>联合招商对接项目，带领国药集团、国投信开水环境公司、联东集团等意向企业赴三河市实地考察调研。</w:t>
      </w:r>
      <w:r>
        <w:rPr>
          <w:rFonts w:hint="eastAsia" w:ascii="仿宋_GB2312" w:eastAsia="仿宋_GB2312"/>
          <w:sz w:val="32"/>
          <w:szCs w:val="32"/>
        </w:rPr>
        <w:t>同时，</w:t>
      </w:r>
      <w:r>
        <w:rPr>
          <w:rFonts w:hint="eastAsia" w:ascii="仿宋_GB2312" w:hAnsi="仿宋_GB2312" w:eastAsia="仿宋_GB2312" w:cs="仿宋_GB2312"/>
          <w:sz w:val="32"/>
          <w:szCs w:val="32"/>
        </w:rPr>
        <w:t>加强与副中心管委会产业提升专班、市投促中心等部门对接，争取重点项目通过市级平台统筹推进。积极落实四区结对工作，加强项目对接及座谈交流，吸引项目在城市副中心落地发展。</w:t>
      </w:r>
    </w:p>
    <w:p w14:paraId="01F6142E">
      <w:pPr>
        <w:spacing w:line="560" w:lineRule="exact"/>
        <w:ind w:firstLine="667"/>
        <w:jc w:val="left"/>
        <w:rPr>
          <w:rFonts w:hint="eastAsia" w:ascii="仿宋_GB2312" w:hAnsi="黑体" w:eastAsia="仿宋_GB2312" w:cs="宋体"/>
          <w:sz w:val="32"/>
          <w:szCs w:val="32"/>
        </w:rPr>
      </w:pPr>
      <w:r>
        <w:rPr>
          <w:rFonts w:hint="eastAsia" w:ascii="仿宋_GB2312" w:hAnsi="仿宋_GB2312" w:eastAsia="仿宋_GB2312" w:cs="仿宋_GB2312"/>
          <w:b/>
          <w:bCs/>
          <w:sz w:val="32"/>
          <w:lang w:val="en-US" w:eastAsia="zh-CN"/>
        </w:rPr>
        <w:t>2、</w:t>
      </w:r>
      <w:r>
        <w:rPr>
          <w:rFonts w:hint="eastAsia" w:ascii="仿宋_GB2312" w:hAnsi="仿宋_GB2312" w:eastAsia="仿宋_GB2312" w:cs="仿宋_GB2312"/>
          <w:b/>
          <w:bCs/>
          <w:sz w:val="32"/>
        </w:rPr>
        <w:t>了解企业诉求，举办特色培训活动。</w:t>
      </w:r>
      <w:r>
        <w:rPr>
          <w:rFonts w:hint="eastAsia" w:ascii="仿宋_GB2312" w:eastAsia="仿宋_GB2312"/>
          <w:sz w:val="32"/>
        </w:rPr>
        <w:t>推进招商引资大讲堂系列培训活动，持续优化营商环境，举办“政银企直通车”产业政策清单解读专题会、</w:t>
      </w:r>
      <w:r>
        <w:rPr>
          <w:rFonts w:hint="eastAsia" w:ascii="仿宋_GB2312" w:hAnsi="黑体" w:eastAsia="仿宋_GB2312" w:cs="宋体"/>
          <w:sz w:val="32"/>
          <w:szCs w:val="32"/>
        </w:rPr>
        <w:t>企业家大运河健步行、疏解企业购房政策解读会等</w:t>
      </w:r>
      <w:r>
        <w:rPr>
          <w:rFonts w:hint="eastAsia" w:ascii="仿宋_GB2312" w:eastAsia="仿宋_GB2312"/>
          <w:sz w:val="32"/>
        </w:rPr>
        <w:t>活动，</w:t>
      </w:r>
      <w:r>
        <w:rPr>
          <w:rFonts w:hint="eastAsia" w:ascii="仿宋_GB2312" w:hAnsi="黑体" w:eastAsia="仿宋_GB2312" w:cs="宋体"/>
          <w:sz w:val="32"/>
          <w:szCs w:val="32"/>
        </w:rPr>
        <w:t>超百家重点企业参会。通过活动，向企业介绍了重点企业人才引进、工作居住证办理、住房申购服务等政策内容，助力企业共享政策红利。</w:t>
      </w:r>
    </w:p>
    <w:p w14:paraId="41C09AA7">
      <w:pPr>
        <w:spacing w:line="560" w:lineRule="exact"/>
        <w:ind w:firstLine="640"/>
        <w:jc w:val="left"/>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、坚持多措并举，全方位宣传打造“副中心品牌”</w:t>
      </w:r>
    </w:p>
    <w:p w14:paraId="40F08FB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rPr>
        <w:t>依托重大活动，集中宣传推介。</w:t>
      </w:r>
      <w:r>
        <w:rPr>
          <w:rFonts w:hint="eastAsia" w:ascii="仿宋_GB2312" w:hAnsi="仿宋_GB2312" w:eastAsia="仿宋_GB2312" w:cs="仿宋_GB2312"/>
          <w:color w:val="000000"/>
          <w:sz w:val="32"/>
          <w:szCs w:val="32"/>
        </w:rPr>
        <w:t>今年以来，</w:t>
      </w:r>
      <w:r>
        <w:rPr>
          <w:rFonts w:hint="eastAsia" w:ascii="仿宋_GB2312" w:hAnsi="仿宋_GB2312" w:eastAsia="仿宋_GB2312" w:cs="仿宋_GB2312"/>
          <w:sz w:val="32"/>
          <w:szCs w:val="32"/>
        </w:rPr>
        <w:t>组织和参加16场重大推介活动，形成集中签约项目59个。包括连续两年牵头组织北京城市副中心产业高质量发展大会，举办投资北京全球峰会、“一带一路”国家和拉美国家研修班走进北京城市副中心、</w:t>
      </w:r>
      <w:r>
        <w:rPr>
          <w:rFonts w:ascii="仿宋_GB2312" w:hAnsi="仿宋_GB2312" w:eastAsia="仿宋_GB2312" w:cs="仿宋_GB2312"/>
          <w:color w:val="000000"/>
          <w:sz w:val="32"/>
          <w:szCs w:val="32"/>
        </w:rPr>
        <w:t>医药健康企业走进北京城市副中心</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潜在独角兽企业走进北京城市副中心</w:t>
      </w:r>
      <w:r>
        <w:rPr>
          <w:rFonts w:hint="eastAsia" w:ascii="仿宋_GB2312" w:hAnsi="仿宋_GB2312" w:eastAsia="仿宋_GB2312" w:cs="仿宋_GB2312"/>
          <w:color w:val="000000"/>
          <w:sz w:val="32"/>
          <w:szCs w:val="32"/>
        </w:rPr>
        <w:t>等活动。同时，在</w:t>
      </w:r>
      <w:r>
        <w:rPr>
          <w:rFonts w:hint="eastAsia" w:ascii="仿宋_GB2312" w:hAnsi="仿宋_GB2312" w:eastAsia="仿宋_GB2312" w:cs="仿宋_GB2312"/>
          <w:b/>
          <w:bCs/>
          <w:sz w:val="32"/>
          <w:szCs w:val="32"/>
        </w:rPr>
        <w:t>2023年中国国际服务贸易交易会上，</w:t>
      </w:r>
      <w:r>
        <w:rPr>
          <w:rFonts w:hint="eastAsia" w:ascii="仿宋_GB2312" w:hAnsi="仿宋_GB2312" w:eastAsia="仿宋_GB2312" w:cs="仿宋_GB2312"/>
          <w:sz w:val="32"/>
          <w:szCs w:val="40"/>
        </w:rPr>
        <w:t>统筹我区重大项目签约工作，包括中建丝路建设投资有限公司、海昌海洋公园控股有限公司在内的共21个项目签约城市副中心。在</w:t>
      </w:r>
      <w:r>
        <w:rPr>
          <w:rFonts w:hint="eastAsia" w:ascii="仿宋_GB2312" w:hAnsi="仿宋_GB2312" w:eastAsia="仿宋_GB2312" w:cs="仿宋_GB2312"/>
          <w:b/>
          <w:bCs/>
          <w:sz w:val="32"/>
          <w:szCs w:val="40"/>
        </w:rPr>
        <w:t>第六届中国国际进口博览会“北京日”</w:t>
      </w:r>
      <w:r>
        <w:rPr>
          <w:rFonts w:hint="eastAsia" w:ascii="仿宋_GB2312" w:hAnsi="仿宋_GB2312" w:eastAsia="仿宋_GB2312" w:cs="仿宋_GB2312"/>
          <w:sz w:val="32"/>
          <w:szCs w:val="40"/>
        </w:rPr>
        <w:t>活动上，对北京城市副中心营商环境进行了全面推介，并与中瓴星能（北京）新能源科技有限公司成功签约。在</w:t>
      </w:r>
      <w:r>
        <w:rPr>
          <w:rFonts w:hint="eastAsia" w:ascii="仿宋_GB2312" w:hAnsi="仿宋" w:eastAsia="仿宋_GB2312"/>
          <w:b/>
          <w:bCs/>
          <w:sz w:val="32"/>
          <w:szCs w:val="32"/>
        </w:rPr>
        <w:t>第二十六届北京·香港经济合作研讨洽谈会</w:t>
      </w:r>
      <w:r>
        <w:rPr>
          <w:rFonts w:hint="eastAsia" w:ascii="仿宋_GB2312" w:hAnsi="仿宋" w:eastAsia="仿宋_GB2312"/>
          <w:sz w:val="32"/>
          <w:szCs w:val="32"/>
        </w:rPr>
        <w:t>期间，举办副中心专场推介活动。投促中心向香港企业和投资人全面推介副中心投资机遇及营商环境，与</w:t>
      </w:r>
      <w:r>
        <w:rPr>
          <w:rFonts w:hint="eastAsia" w:ascii="仿宋_GB2312" w:hAnsi="仿宋_GB2312" w:eastAsia="仿宋_GB2312"/>
          <w:sz w:val="32"/>
        </w:rPr>
        <w:t>中国万天、</w:t>
      </w:r>
      <w:r>
        <w:rPr>
          <w:rFonts w:hint="eastAsia" w:ascii="仿宋_GB2312" w:hAnsi="仿宋_GB2312" w:eastAsia="仿宋_GB2312" w:cs="仿宋_GB2312"/>
          <w:color w:val="000000"/>
          <w:sz w:val="32"/>
          <w:szCs w:val="32"/>
        </w:rPr>
        <w:t>香港鑫桥、香港金融发展协会</w:t>
      </w:r>
      <w:r>
        <w:rPr>
          <w:rFonts w:hint="eastAsia" w:ascii="仿宋_GB2312" w:hAnsi="仿宋_GB2312" w:eastAsia="仿宋_GB2312"/>
          <w:sz w:val="32"/>
        </w:rPr>
        <w:t>等香港企业和商协会成功</w:t>
      </w:r>
      <w:r>
        <w:rPr>
          <w:rFonts w:hint="eastAsia" w:ascii="仿宋_GB2312" w:hAnsi="仿宋_GB2312" w:eastAsia="仿宋_GB2312" w:cs="仿宋_GB2312"/>
          <w:color w:val="000000"/>
          <w:sz w:val="32"/>
          <w:szCs w:val="32"/>
        </w:rPr>
        <w:t>签约，并</w:t>
      </w:r>
      <w:r>
        <w:rPr>
          <w:rFonts w:hint="eastAsia" w:ascii="仿宋_GB2312" w:hAnsi="仿宋" w:eastAsia="仿宋_GB2312"/>
          <w:sz w:val="32"/>
          <w:szCs w:val="32"/>
        </w:rPr>
        <w:t>设立海外首家招商联络站，提升招商国际化水平。</w:t>
      </w:r>
      <w:r>
        <w:rPr>
          <w:rFonts w:hint="eastAsia" w:ascii="仿宋_GB2312" w:hAnsi="仿宋_GB2312" w:eastAsia="仿宋_GB2312" w:cs="仿宋_GB2312"/>
          <w:sz w:val="32"/>
          <w:szCs w:val="40"/>
        </w:rPr>
        <w:t>同时</w:t>
      </w:r>
      <w:r>
        <w:rPr>
          <w:rFonts w:hint="eastAsia" w:ascii="仿宋_GB2312" w:hAnsi="仿宋_GB2312" w:eastAsia="仿宋_GB2312" w:cs="仿宋_GB2312"/>
          <w:sz w:val="32"/>
          <w:szCs w:val="32"/>
        </w:rPr>
        <w:t>借助厦洽会、消博会等平台，加强宣传推介和企业对接，打造城市副中心投资品牌。</w:t>
      </w:r>
    </w:p>
    <w:p w14:paraId="56853E99">
      <w:pPr>
        <w:pStyle w:val="12"/>
        <w:spacing w:after="0"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b/>
          <w:bCs/>
          <w:sz w:val="32"/>
        </w:rPr>
        <w:t>依托媒体矩阵，集聚宣传合力。</w:t>
      </w:r>
      <w:r>
        <w:rPr>
          <w:rFonts w:hint="eastAsia" w:ascii="仿宋_GB2312" w:hAnsi="仿宋_GB2312" w:eastAsia="仿宋_GB2312" w:cs="仿宋_GB2312"/>
          <w:sz w:val="32"/>
          <w:szCs w:val="32"/>
        </w:rPr>
        <w:t>通过《投资北京》杂志、《城市会客厅》节目、城市副中心报、</w:t>
      </w:r>
      <w:r>
        <w:rPr>
          <w:rFonts w:hint="eastAsia" w:ascii="仿宋_GB2312" w:hAnsi="仿宋_GB2312" w:eastAsia="仿宋_GB2312" w:cs="仿宋_GB2312"/>
          <w:bCs/>
          <w:sz w:val="32"/>
          <w:szCs w:val="32"/>
        </w:rPr>
        <w:t>香港商报</w:t>
      </w:r>
      <w:r>
        <w:rPr>
          <w:rFonts w:hint="eastAsia" w:ascii="仿宋_GB2312" w:hAnsi="仿宋_GB2312" w:eastAsia="仿宋_GB2312" w:cs="仿宋_GB2312"/>
          <w:sz w:val="32"/>
          <w:szCs w:val="32"/>
        </w:rPr>
        <w:t>等媒体平台，</w:t>
      </w:r>
      <w:r>
        <w:rPr>
          <w:rFonts w:hint="eastAsia" w:ascii="仿宋_GB2312" w:hAnsi="仿宋_GB2312" w:eastAsia="仿宋_GB2312" w:cs="仿宋_GB2312"/>
          <w:bCs/>
          <w:sz w:val="32"/>
          <w:szCs w:val="32"/>
        </w:rPr>
        <w:t>宣传城市副中心的营商环境、产业政策与优质资源。</w:t>
      </w:r>
      <w:r>
        <w:rPr>
          <w:rFonts w:hint="eastAsia" w:ascii="仿宋_GB2312" w:hAnsi="仿宋_GB2312" w:eastAsia="仿宋_GB2312" w:cs="仿宋_GB2312"/>
          <w:sz w:val="32"/>
          <w:szCs w:val="32"/>
        </w:rPr>
        <w:t>今年，通过与市投促中心的积极争取，举办了“央级和市级媒体投资北京行走进北京城市副中心”活动，新华社、人民网、财联社、北京日报、北京电视台等近20家央级和市级媒体，从不同角度报道了副中心优质的营商环境。</w:t>
      </w:r>
      <w:r>
        <w:rPr>
          <w:rFonts w:hint="eastAsia" w:ascii="仿宋_GB2312" w:hAnsi="仿宋_GB2312" w:eastAsia="仿宋_GB2312" w:cs="仿宋_GB2312"/>
          <w:sz w:val="32"/>
          <w:szCs w:val="40"/>
        </w:rPr>
        <w:t>同时，我们</w:t>
      </w:r>
      <w:r>
        <w:rPr>
          <w:rFonts w:hint="eastAsia" w:ascii="仿宋_GB2312" w:hAnsi="仿宋_GB2312" w:eastAsia="仿宋_GB2312" w:cs="仿宋_GB2312"/>
          <w:bCs/>
          <w:sz w:val="32"/>
          <w:szCs w:val="32"/>
        </w:rPr>
        <w:t>通过投促</w:t>
      </w:r>
      <w:r>
        <w:rPr>
          <w:rFonts w:hint="eastAsia" w:ascii="仿宋_GB2312" w:hAnsi="仿宋_GB2312" w:eastAsia="仿宋_GB2312" w:cs="仿宋_GB2312"/>
          <w:sz w:val="32"/>
          <w:szCs w:val="32"/>
        </w:rPr>
        <w:t>微信公众号、抖音号等新媒体渠道多途径开展宣传，今年以来</w:t>
      </w:r>
      <w:r>
        <w:rPr>
          <w:rFonts w:hint="eastAsia" w:ascii="仿宋_GB2312" w:hAnsi="仿宋_GB2312" w:eastAsia="仿宋_GB2312" w:cs="仿宋_GB2312"/>
          <w:bCs/>
          <w:sz w:val="32"/>
          <w:szCs w:val="32"/>
        </w:rPr>
        <w:t>区投促中心共</w:t>
      </w:r>
      <w:r>
        <w:rPr>
          <w:rFonts w:hint="eastAsia" w:ascii="仿宋_GB2312" w:hAnsi="仿宋_GB2312" w:eastAsia="仿宋_GB2312" w:cs="仿宋_GB2312"/>
          <w:sz w:val="32"/>
          <w:szCs w:val="32"/>
        </w:rPr>
        <w:t>报送“两办”信息47条，其中32条被市区部门采用。</w:t>
      </w:r>
    </w:p>
    <w:p w14:paraId="2067678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Times New Roman" w:eastAsia="仿宋_GB2312" w:cs="Times New Roman"/>
          <w:sz w:val="28"/>
          <w:szCs w:val="28"/>
          <w:lang w:eastAsia="zh-CN"/>
        </w:rPr>
      </w:pPr>
    </w:p>
    <w:p w14:paraId="6F89973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lang w:eastAsia="zh-CN"/>
        </w:rPr>
        <w:t>项目效益情况。</w:t>
      </w:r>
    </w:p>
    <w:p w14:paraId="73FB74D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一是部门整体支出绩效目标申报表中的年度目标与年度重点工作计划以及部门职能的对应性不足，部门核心职能体现的仍不够充分。绩效目标与绩效指标之间对应性和支撑性体现不足。项目绩效目标中对于在上海、深圳等重点城市组织推介会的预期规模、影响力、招商引资推介效果等指标体现不够充分，质量指标没有充分体现各类招商引资活动的质量效果指标，尤其是对于接洽企业数、对接数量、合作意向数量等实际效果性指标值不完整。</w:t>
      </w:r>
    </w:p>
    <w:p w14:paraId="1213289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二是围绕北京城市副中心的功能定位，在招商引资促进区域经济发展的整体规划和策划不足。创新性组织招商引资以及投资促进地区社会经济发展的顶层设计不够清晰，目前部门的工作模式和重点，主要是按照上级部门的任务完成部门年度工作任务和计划，对于拟定本区投资促进发展规划并组织实施的基本职能实现还有所不足。年度组织实施的重点项目立项可行性研究以及论证不够充分，导致预算执行过程中调整事项比例过多、调整金额大，调整程序的规范性有待加强。</w:t>
      </w:r>
    </w:p>
    <w:p w14:paraId="351C2EC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Times New Roman" w:eastAsia="仿宋_GB2312" w:cs="Times New Roman"/>
          <w:sz w:val="28"/>
          <w:szCs w:val="28"/>
          <w:lang w:eastAsia="zh-CN"/>
        </w:rPr>
      </w:pPr>
    </w:p>
    <w:p w14:paraId="454F098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主要经验及做法、存在的问题及原因分析</w:t>
      </w:r>
    </w:p>
    <w:p w14:paraId="4600A12C">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仿宋_GB2312" w:hAnsi="Times New Roman" w:eastAsia="仿宋_GB2312" w:cs="Times New Roman"/>
          <w:sz w:val="28"/>
          <w:szCs w:val="28"/>
          <w:lang w:eastAsia="zh-CN"/>
        </w:rPr>
      </w:pPr>
      <w:r>
        <w:rPr>
          <w:rFonts w:hint="eastAsia"/>
        </w:rPr>
        <w:t>一</w:t>
      </w:r>
      <w:r>
        <w:rPr>
          <w:rFonts w:hint="eastAsia" w:ascii="仿宋_GB2312" w:hAnsi="Times New Roman" w:eastAsia="仿宋_GB2312" w:cs="Times New Roman"/>
          <w:sz w:val="28"/>
          <w:szCs w:val="28"/>
          <w:lang w:eastAsia="zh-CN"/>
        </w:rPr>
        <w:t>是加强决策程序的科学性。一是加强部门层面对于年度预算和重大项目的决策管理，以便能够充分体现决策的科学性。依据“三重一大”制度实施细则、议事决策程序和行政事业单位内部控制规范有关单位层面决策要求，加强部门层面对于年度预算和重大项目的决策管理，充分体现决策的科学性。认真做好项目前期的分析论证工作，充分了解项目立项政策相关性和现实需求。通过科学的论证分析，提升部门决策依据的充分性，进一步加强项目的统筹规划与管理，根据本部门的年度计划、折子工程、部门职能需要分别编制项目实施方案、工作计划和对应的项目预算支出计划。</w:t>
      </w:r>
    </w:p>
    <w:p w14:paraId="72FFB90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二是加强预算编制及绩效目标管理。进一步增强绩效管理意识，以编制的“部门整体支出绩效目标申报表”和“项目支出绩效目标申报表”为基准，通过对标对表来衡量当年整个部门重点项目的绩效完成情况。按照北京市和通州区财政局有关预算绩效管理的要求，规范填报部门整体支出绩效目标申报表，明确职能，部门整体绩效目标应与履职、工作计划和重点项目，根据部门职能和年度重点工作任务，明确项目数量，对应于数量指标明确达到的质量水平，提升绩效目标和绩效指标制定的科学有效性和可衡量性。</w:t>
      </w:r>
    </w:p>
    <w:p w14:paraId="36C4435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14:paraId="0D0B603F">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有关建议</w:t>
      </w:r>
    </w:p>
    <w:p w14:paraId="552590B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400" w:firstLineChars="5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p w14:paraId="61AF9F6A">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其他需要说明的问题</w:t>
      </w:r>
    </w:p>
    <w:p w14:paraId="756B868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无</w:t>
      </w:r>
    </w:p>
    <w:p w14:paraId="6E96E90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黑体" w:eastAsia="黑体"/>
          <w:sz w:val="28"/>
          <w:szCs w:val="28"/>
          <w:highlight w:val="none"/>
        </w:rPr>
      </w:pPr>
      <w:r>
        <w:rPr>
          <w:rFonts w:hint="eastAsia" w:ascii="黑体" w:eastAsia="黑体"/>
          <w:sz w:val="28"/>
          <w:szCs w:val="28"/>
          <w:highlight w:val="none"/>
          <w:lang w:eastAsia="zh-CN"/>
        </w:rPr>
        <w:t>二</w:t>
      </w:r>
      <w:r>
        <w:rPr>
          <w:rFonts w:ascii="黑体" w:eastAsia="黑体"/>
          <w:sz w:val="28"/>
          <w:szCs w:val="28"/>
          <w:highlight w:val="none"/>
        </w:rPr>
        <w:t>、</w:t>
      </w:r>
      <w:r>
        <w:rPr>
          <w:rFonts w:hint="eastAsia" w:ascii="黑体" w:eastAsia="黑体"/>
          <w:sz w:val="28"/>
          <w:szCs w:val="28"/>
          <w:highlight w:val="none"/>
        </w:rPr>
        <w:t>项目</w:t>
      </w:r>
      <w:r>
        <w:rPr>
          <w:rFonts w:ascii="黑体" w:eastAsia="黑体"/>
          <w:sz w:val="28"/>
          <w:szCs w:val="28"/>
          <w:highlight w:val="none"/>
        </w:rPr>
        <w:t>支出绩效自评表</w:t>
      </w:r>
    </w:p>
    <w:tbl>
      <w:tblPr>
        <w:tblStyle w:val="13"/>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
        <w:gridCol w:w="1200"/>
        <w:gridCol w:w="1290"/>
        <w:gridCol w:w="1730"/>
        <w:gridCol w:w="1435"/>
        <w:gridCol w:w="1145"/>
        <w:gridCol w:w="1290"/>
        <w:gridCol w:w="1290"/>
        <w:gridCol w:w="390"/>
        <w:gridCol w:w="390"/>
        <w:gridCol w:w="390"/>
        <w:gridCol w:w="430"/>
        <w:gridCol w:w="1250"/>
        <w:gridCol w:w="1290"/>
      </w:tblGrid>
      <w:tr w14:paraId="4401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14F8881B">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项目支出绩效自评表</w:t>
            </w:r>
          </w:p>
        </w:tc>
      </w:tr>
      <w:tr w14:paraId="02AF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351FDA47">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   2023   年度）</w:t>
            </w:r>
          </w:p>
        </w:tc>
      </w:tr>
      <w:tr w14:paraId="7572C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185" w:type="dxa"/>
            <w:gridSpan w:val="2"/>
            <w:tcBorders>
              <w:top w:val="single" w:color="000000" w:sz="4" w:space="0"/>
              <w:left w:val="single" w:color="000000" w:sz="4" w:space="0"/>
              <w:bottom w:val="single" w:color="000000" w:sz="4" w:space="0"/>
              <w:right w:val="single" w:color="000000" w:sz="4" w:space="0"/>
            </w:tcBorders>
            <w:noWrap w:val="0"/>
            <w:vAlign w:val="center"/>
          </w:tcPr>
          <w:p w14:paraId="467E08D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320" w:type="dxa"/>
            <w:gridSpan w:val="12"/>
            <w:tcBorders>
              <w:top w:val="single" w:color="000000" w:sz="4" w:space="0"/>
              <w:left w:val="single" w:color="000000" w:sz="4" w:space="0"/>
              <w:bottom w:val="single" w:color="000000" w:sz="4" w:space="0"/>
              <w:right w:val="single" w:color="000000" w:sz="4" w:space="0"/>
            </w:tcBorders>
            <w:noWrap w:val="0"/>
            <w:vAlign w:val="center"/>
          </w:tcPr>
          <w:p w14:paraId="3FC97211">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eastAsia="zh-CN"/>
              </w:rPr>
              <w:t>北京市通州区投资促进服务中心</w:t>
            </w:r>
            <w:r>
              <w:rPr>
                <w:rFonts w:hint="eastAsia" w:ascii="仿宋_GB2312" w:hAnsi="宋体" w:eastAsia="仿宋_GB2312" w:cs="仿宋_GB2312"/>
                <w:i w:val="0"/>
                <w:color w:val="000000"/>
                <w:sz w:val="21"/>
                <w:szCs w:val="21"/>
                <w:u w:val="none"/>
                <w:lang w:val="en-US" w:eastAsia="zh-CN"/>
              </w:rPr>
              <w:t>2023年项目经费</w:t>
            </w:r>
          </w:p>
        </w:tc>
      </w:tr>
      <w:tr w14:paraId="3E86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185" w:type="dxa"/>
            <w:gridSpan w:val="2"/>
            <w:tcBorders>
              <w:top w:val="single" w:color="000000" w:sz="4" w:space="0"/>
              <w:left w:val="single" w:color="000000" w:sz="4" w:space="0"/>
              <w:bottom w:val="single" w:color="000000" w:sz="4" w:space="0"/>
              <w:right w:val="single" w:color="000000" w:sz="4" w:space="0"/>
            </w:tcBorders>
            <w:noWrap w:val="0"/>
            <w:vAlign w:val="center"/>
          </w:tcPr>
          <w:p w14:paraId="200B066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6890" w:type="dxa"/>
            <w:gridSpan w:val="5"/>
            <w:tcBorders>
              <w:top w:val="single" w:color="000000" w:sz="4" w:space="0"/>
              <w:left w:val="single" w:color="000000" w:sz="4" w:space="0"/>
              <w:bottom w:val="single" w:color="000000" w:sz="4" w:space="0"/>
              <w:right w:val="single" w:color="000000" w:sz="4" w:space="0"/>
            </w:tcBorders>
            <w:noWrap w:val="0"/>
            <w:vAlign w:val="center"/>
          </w:tcPr>
          <w:p w14:paraId="517189EF">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北京市通州区人民政府</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C827F0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138D9299">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北京市通州区投资促进服务中心</w:t>
            </w:r>
          </w:p>
        </w:tc>
      </w:tr>
      <w:tr w14:paraId="4A1E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185" w:type="dxa"/>
            <w:gridSpan w:val="2"/>
            <w:tcBorders>
              <w:top w:val="single" w:color="000000" w:sz="4" w:space="0"/>
              <w:left w:val="single" w:color="000000" w:sz="4" w:space="0"/>
              <w:bottom w:val="single" w:color="000000" w:sz="4" w:space="0"/>
              <w:right w:val="single" w:color="000000" w:sz="4" w:space="0"/>
            </w:tcBorders>
            <w:noWrap w:val="0"/>
            <w:vAlign w:val="center"/>
          </w:tcPr>
          <w:p w14:paraId="3F34E97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6890" w:type="dxa"/>
            <w:gridSpan w:val="5"/>
            <w:tcBorders>
              <w:top w:val="single" w:color="000000" w:sz="4" w:space="0"/>
              <w:left w:val="single" w:color="000000" w:sz="4" w:space="0"/>
              <w:bottom w:val="single" w:color="000000" w:sz="4" w:space="0"/>
              <w:right w:val="single" w:color="000000" w:sz="4" w:space="0"/>
            </w:tcBorders>
            <w:noWrap w:val="0"/>
            <w:vAlign w:val="center"/>
          </w:tcPr>
          <w:p w14:paraId="4DEB8398">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吴涛</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2BD7C0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1A09524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69519888</w:t>
            </w:r>
          </w:p>
        </w:tc>
      </w:tr>
      <w:tr w14:paraId="3B89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18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C84186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3020" w:type="dxa"/>
            <w:gridSpan w:val="2"/>
            <w:tcBorders>
              <w:top w:val="single" w:color="000000" w:sz="4" w:space="0"/>
              <w:left w:val="single" w:color="000000" w:sz="4" w:space="0"/>
              <w:bottom w:val="single" w:color="000000" w:sz="4" w:space="0"/>
              <w:right w:val="single" w:color="000000" w:sz="4" w:space="0"/>
            </w:tcBorders>
            <w:noWrap w:val="0"/>
            <w:vAlign w:val="center"/>
          </w:tcPr>
          <w:p w14:paraId="6FB60454">
            <w:pPr>
              <w:jc w:val="center"/>
              <w:rPr>
                <w:rFonts w:hint="eastAsia" w:ascii="仿宋_GB2312" w:hAnsi="宋体" w:eastAsia="仿宋_GB2312" w:cs="仿宋_GB2312"/>
                <w:i w:val="0"/>
                <w:color w:val="000000"/>
                <w:sz w:val="21"/>
                <w:szCs w:val="21"/>
                <w:u w:val="none"/>
              </w:rPr>
            </w:pPr>
          </w:p>
        </w:tc>
        <w:tc>
          <w:tcPr>
            <w:tcW w:w="1435" w:type="dxa"/>
            <w:tcBorders>
              <w:top w:val="single" w:color="000000" w:sz="4" w:space="0"/>
              <w:left w:val="single" w:color="000000" w:sz="4" w:space="0"/>
              <w:bottom w:val="nil"/>
              <w:right w:val="single" w:color="000000" w:sz="4" w:space="0"/>
            </w:tcBorders>
            <w:noWrap w:val="0"/>
            <w:vAlign w:val="center"/>
          </w:tcPr>
          <w:p w14:paraId="391652F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435" w:type="dxa"/>
            <w:gridSpan w:val="2"/>
            <w:tcBorders>
              <w:top w:val="single" w:color="000000" w:sz="4" w:space="0"/>
              <w:left w:val="single" w:color="000000" w:sz="4" w:space="0"/>
              <w:bottom w:val="single" w:color="000000" w:sz="4" w:space="0"/>
              <w:right w:val="single" w:color="000000" w:sz="4" w:space="0"/>
            </w:tcBorders>
            <w:noWrap w:val="0"/>
            <w:vAlign w:val="center"/>
          </w:tcPr>
          <w:p w14:paraId="6CAB0DD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EBC2F9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1EF339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CF4A6A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BC877C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14:paraId="103C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1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57CBAFA">
            <w:pPr>
              <w:jc w:val="center"/>
              <w:rPr>
                <w:rFonts w:hint="eastAsia" w:ascii="仿宋_GB2312" w:hAnsi="宋体" w:eastAsia="仿宋_GB2312" w:cs="仿宋_GB2312"/>
                <w:i w:val="0"/>
                <w:color w:val="000000"/>
                <w:sz w:val="21"/>
                <w:szCs w:val="21"/>
                <w:u w:val="none"/>
              </w:rPr>
            </w:pPr>
          </w:p>
        </w:tc>
        <w:tc>
          <w:tcPr>
            <w:tcW w:w="3020" w:type="dxa"/>
            <w:gridSpan w:val="2"/>
            <w:tcBorders>
              <w:top w:val="single" w:color="000000" w:sz="4" w:space="0"/>
              <w:left w:val="single" w:color="000000" w:sz="4" w:space="0"/>
              <w:bottom w:val="single" w:color="000000" w:sz="4" w:space="0"/>
              <w:right w:val="single" w:color="000000" w:sz="4" w:space="0"/>
            </w:tcBorders>
            <w:noWrap w:val="0"/>
            <w:vAlign w:val="center"/>
          </w:tcPr>
          <w:p w14:paraId="32A6350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736EA74C">
            <w:pPr>
              <w:jc w:val="center"/>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296.88万元</w:t>
            </w:r>
          </w:p>
        </w:tc>
        <w:tc>
          <w:tcPr>
            <w:tcW w:w="2435" w:type="dxa"/>
            <w:gridSpan w:val="2"/>
            <w:tcBorders>
              <w:top w:val="single" w:color="000000" w:sz="4" w:space="0"/>
              <w:left w:val="single" w:color="000000" w:sz="4" w:space="0"/>
              <w:bottom w:val="single" w:color="000000" w:sz="4" w:space="0"/>
              <w:right w:val="single" w:color="000000" w:sz="4" w:space="0"/>
            </w:tcBorders>
            <w:noWrap w:val="0"/>
            <w:vAlign w:val="center"/>
          </w:tcPr>
          <w:p w14:paraId="4953D9B0">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296.88万元</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CA2109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296.88万元</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90E5F0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B5D5E3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F1E2CB8">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r>
      <w:tr w14:paraId="646F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1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61AB2E0">
            <w:pPr>
              <w:jc w:val="center"/>
              <w:rPr>
                <w:rFonts w:hint="eastAsia" w:ascii="仿宋_GB2312" w:hAnsi="宋体" w:eastAsia="仿宋_GB2312" w:cs="仿宋_GB2312"/>
                <w:i w:val="0"/>
                <w:color w:val="000000"/>
                <w:sz w:val="21"/>
                <w:szCs w:val="21"/>
                <w:u w:val="none"/>
              </w:rPr>
            </w:pPr>
          </w:p>
        </w:tc>
        <w:tc>
          <w:tcPr>
            <w:tcW w:w="3020" w:type="dxa"/>
            <w:gridSpan w:val="2"/>
            <w:tcBorders>
              <w:top w:val="single" w:color="000000" w:sz="4" w:space="0"/>
              <w:left w:val="single" w:color="000000" w:sz="4" w:space="0"/>
              <w:bottom w:val="single" w:color="000000" w:sz="4" w:space="0"/>
              <w:right w:val="single" w:color="000000" w:sz="4" w:space="0"/>
            </w:tcBorders>
            <w:noWrap w:val="0"/>
            <w:vAlign w:val="center"/>
          </w:tcPr>
          <w:p w14:paraId="13C9C23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0B4FC93A">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296.88万元</w:t>
            </w:r>
          </w:p>
        </w:tc>
        <w:tc>
          <w:tcPr>
            <w:tcW w:w="2435" w:type="dxa"/>
            <w:gridSpan w:val="2"/>
            <w:tcBorders>
              <w:top w:val="single" w:color="000000" w:sz="4" w:space="0"/>
              <w:left w:val="single" w:color="000000" w:sz="4" w:space="0"/>
              <w:bottom w:val="single" w:color="000000" w:sz="4" w:space="0"/>
              <w:right w:val="single" w:color="000000" w:sz="4" w:space="0"/>
            </w:tcBorders>
            <w:noWrap w:val="0"/>
            <w:vAlign w:val="center"/>
          </w:tcPr>
          <w:p w14:paraId="216F769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296.88万元</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495F106">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296.88万元</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70ACF9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44A9ED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FB441F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01BB8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1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6F0D16D">
            <w:pPr>
              <w:jc w:val="center"/>
              <w:rPr>
                <w:rFonts w:hint="eastAsia" w:ascii="仿宋_GB2312" w:hAnsi="宋体" w:eastAsia="仿宋_GB2312" w:cs="仿宋_GB2312"/>
                <w:i w:val="0"/>
                <w:color w:val="000000"/>
                <w:sz w:val="21"/>
                <w:szCs w:val="21"/>
                <w:u w:val="none"/>
              </w:rPr>
            </w:pPr>
          </w:p>
        </w:tc>
        <w:tc>
          <w:tcPr>
            <w:tcW w:w="3020" w:type="dxa"/>
            <w:gridSpan w:val="2"/>
            <w:tcBorders>
              <w:top w:val="single" w:color="000000" w:sz="4" w:space="0"/>
              <w:left w:val="single" w:color="000000" w:sz="4" w:space="0"/>
              <w:bottom w:val="single" w:color="000000" w:sz="4" w:space="0"/>
              <w:right w:val="single" w:color="000000" w:sz="4" w:space="0"/>
            </w:tcBorders>
            <w:noWrap w:val="0"/>
            <w:vAlign w:val="center"/>
          </w:tcPr>
          <w:p w14:paraId="31EE048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上年结转资金</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16F04E0C">
            <w:pPr>
              <w:jc w:val="center"/>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0</w:t>
            </w:r>
          </w:p>
        </w:tc>
        <w:tc>
          <w:tcPr>
            <w:tcW w:w="2435" w:type="dxa"/>
            <w:gridSpan w:val="2"/>
            <w:tcBorders>
              <w:top w:val="single" w:color="000000" w:sz="4" w:space="0"/>
              <w:left w:val="single" w:color="000000" w:sz="4" w:space="0"/>
              <w:bottom w:val="single" w:color="000000" w:sz="4" w:space="0"/>
              <w:right w:val="single" w:color="000000" w:sz="4" w:space="0"/>
            </w:tcBorders>
            <w:noWrap w:val="0"/>
            <w:vAlign w:val="center"/>
          </w:tcPr>
          <w:p w14:paraId="4299D1B1">
            <w:pPr>
              <w:jc w:val="center"/>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326D47A">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3C13A1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9A5A09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C8BD6B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038F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1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E69A0F3">
            <w:pPr>
              <w:jc w:val="center"/>
              <w:rPr>
                <w:rFonts w:hint="eastAsia" w:ascii="仿宋_GB2312" w:hAnsi="宋体" w:eastAsia="仿宋_GB2312" w:cs="仿宋_GB2312"/>
                <w:i w:val="0"/>
                <w:color w:val="000000"/>
                <w:sz w:val="21"/>
                <w:szCs w:val="21"/>
                <w:u w:val="none"/>
              </w:rPr>
            </w:pPr>
          </w:p>
        </w:tc>
        <w:tc>
          <w:tcPr>
            <w:tcW w:w="3020" w:type="dxa"/>
            <w:gridSpan w:val="2"/>
            <w:tcBorders>
              <w:top w:val="single" w:color="000000" w:sz="4" w:space="0"/>
              <w:left w:val="single" w:color="000000" w:sz="4" w:space="0"/>
              <w:bottom w:val="single" w:color="000000" w:sz="4" w:space="0"/>
              <w:right w:val="single" w:color="000000" w:sz="4" w:space="0"/>
            </w:tcBorders>
            <w:noWrap w:val="0"/>
            <w:vAlign w:val="center"/>
          </w:tcPr>
          <w:p w14:paraId="2DB3D84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其他资金</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230F0F5E">
            <w:pPr>
              <w:jc w:val="center"/>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0</w:t>
            </w:r>
          </w:p>
        </w:tc>
        <w:tc>
          <w:tcPr>
            <w:tcW w:w="2435" w:type="dxa"/>
            <w:gridSpan w:val="2"/>
            <w:tcBorders>
              <w:top w:val="single" w:color="000000" w:sz="4" w:space="0"/>
              <w:left w:val="single" w:color="000000" w:sz="4" w:space="0"/>
              <w:bottom w:val="single" w:color="000000" w:sz="4" w:space="0"/>
              <w:right w:val="single" w:color="000000" w:sz="4" w:space="0"/>
            </w:tcBorders>
            <w:noWrap w:val="0"/>
            <w:vAlign w:val="center"/>
          </w:tcPr>
          <w:p w14:paraId="44E8191D">
            <w:pPr>
              <w:jc w:val="center"/>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8E3F99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48D541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EE674D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3EDFA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5B25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F845A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8090" w:type="dxa"/>
            <w:gridSpan w:val="6"/>
            <w:tcBorders>
              <w:top w:val="single" w:color="000000" w:sz="4" w:space="0"/>
              <w:left w:val="single" w:color="000000" w:sz="4" w:space="0"/>
              <w:bottom w:val="single" w:color="000000" w:sz="4" w:space="0"/>
              <w:right w:val="single" w:color="000000" w:sz="4" w:space="0"/>
            </w:tcBorders>
            <w:noWrap w:val="0"/>
            <w:vAlign w:val="center"/>
          </w:tcPr>
          <w:p w14:paraId="45EB64B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46D4E72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14:paraId="67861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2396D">
            <w:pPr>
              <w:jc w:val="center"/>
              <w:rPr>
                <w:rFonts w:hint="eastAsia" w:ascii="仿宋_GB2312" w:hAnsi="宋体" w:eastAsia="仿宋_GB2312" w:cs="仿宋_GB2312"/>
                <w:i w:val="0"/>
                <w:color w:val="000000"/>
                <w:sz w:val="21"/>
                <w:szCs w:val="21"/>
                <w:u w:val="none"/>
              </w:rPr>
            </w:pPr>
          </w:p>
        </w:tc>
        <w:tc>
          <w:tcPr>
            <w:tcW w:w="8090" w:type="dxa"/>
            <w:gridSpan w:val="6"/>
            <w:tcBorders>
              <w:top w:val="single" w:color="000000" w:sz="4" w:space="0"/>
              <w:left w:val="single" w:color="000000" w:sz="4" w:space="0"/>
              <w:bottom w:val="single" w:color="000000" w:sz="4" w:space="0"/>
              <w:right w:val="single" w:color="000000" w:sz="4" w:space="0"/>
            </w:tcBorders>
            <w:noWrap w:val="0"/>
            <w:vAlign w:val="center"/>
          </w:tcPr>
          <w:p w14:paraId="6B24A64B">
            <w:pPr>
              <w:pStyle w:val="2"/>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2"/>
                <w:sz w:val="21"/>
                <w:szCs w:val="21"/>
                <w:u w:val="none"/>
                <w:lang w:val="en-US" w:eastAsia="zh-CN" w:bidi="ar-SA"/>
              </w:rPr>
              <w:t>（1）围绕副中心功能定位，着力引进“高精尖”项目。聚焦行政办公、商务服务、文化旅游、科技创新“3+1”主导功能，围绕行政办公、商务服务、文化旅游、科技创新四大产业板块，以重点项目引进为突破口，加速优质企业落户发展。</w:t>
            </w:r>
          </w:p>
          <w:p w14:paraId="4D3A24DD">
            <w:pPr>
              <w:pStyle w:val="2"/>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2"/>
                <w:sz w:val="21"/>
                <w:szCs w:val="21"/>
                <w:u w:val="none"/>
                <w:lang w:val="en-US" w:eastAsia="zh-CN" w:bidi="ar-SA"/>
              </w:rPr>
              <w:t>（2）加强政策集成创新，优化营商环境。利用新一轮服务业扩大开放先导区政策优势，把试点政策用足用好，引进总部经济、商务服务等优质项目。继续设计完善《关于加快推进北京城市副中心高精尖产业发展若干措施》（简称“通八条”）申报程序和流程，建立通州区产业政策与资金管理平台，加速政策兑现，提高办事效率，进一步优化营商环境。</w:t>
            </w:r>
          </w:p>
          <w:p w14:paraId="588AF857">
            <w:pPr>
              <w:pStyle w:val="2"/>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2"/>
                <w:sz w:val="21"/>
                <w:szCs w:val="21"/>
                <w:u w:val="none"/>
                <w:lang w:val="en-US" w:eastAsia="zh-CN" w:bidi="ar-SA"/>
              </w:rPr>
              <w:t>（3）进一步统筹招商中介机构力量，开展市场化招商。充分激发中介机构的招商、渠道、研究、平台等优势，全方位多领域的参与全区招商引资和投资促进工作。</w:t>
            </w:r>
          </w:p>
          <w:p w14:paraId="002C46D3">
            <w:pPr>
              <w:pStyle w:val="2"/>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2"/>
                <w:sz w:val="21"/>
                <w:szCs w:val="21"/>
                <w:u w:val="none"/>
                <w:lang w:val="en-US" w:eastAsia="zh-CN" w:bidi="ar-SA"/>
              </w:rPr>
              <w:t>（4）依托产促会办公室职能，强化招商工作统筹。全区产业发展促进委员会办公室设在本中心。鉴于此项工作职责，依托产促会议事机构和机制，进一步健全“一口进一口出”全流程服务体系，通过召开全会和专题会、研究改革事项、制定专项政策等方式，统筹全区招商力量，理顺招商服务流程，优化项目引进、落地与清退机制，助推“高精尖”产业项目高效落地、尽快形成产出效益。</w:t>
            </w:r>
          </w:p>
          <w:p w14:paraId="4DA11CDB">
            <w:pPr>
              <w:pStyle w:val="2"/>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2"/>
                <w:sz w:val="21"/>
                <w:szCs w:val="21"/>
                <w:u w:val="none"/>
                <w:lang w:val="en-US" w:eastAsia="zh-CN" w:bidi="ar-SA"/>
              </w:rPr>
              <w:t>（5）利用活动平台,强化宣传推介。一是“请进来”，与中介机构、商协会等组织策划“走进副中心”主题系列活动，邀请符合功能定位的企业实地考察、座谈交流，促进企业项目对接落地。二是“走出去”，借助“京交会”、“京港会”、“京澳会”、“厦洽会”等投资性展会与高端活动平台，强化副中心经济形象宣传，大力推介投资环境和重点区域项目，引资优质资源要素集聚。</w:t>
            </w:r>
          </w:p>
          <w:p w14:paraId="60CB3187">
            <w:pPr>
              <w:pStyle w:val="2"/>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2"/>
                <w:sz w:val="21"/>
                <w:szCs w:val="21"/>
                <w:u w:val="none"/>
                <w:lang w:val="en-US" w:eastAsia="zh-CN" w:bidi="ar-SA"/>
              </w:rPr>
              <w:t>（6）多级联动，做好企业服务。进一步完善企业服务机制，强化重点高精尖企业服务统筹，落实重点企业服务专班工作，加强多部门联动，提高服务质量；切实发挥区产业促进委员会作用，对重点企业进行一对一全生命周期的服务；搭设服务平台，加强政企沟通交流，做好政策解读、企业协调、服务工作；落实“项目专员制”，为企业在“资金”、“人才、“就学”、“就医”、“保障房”等方面提供服务，做好企业的“保姆式”管家。</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3E87718C">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已完成</w:t>
            </w:r>
          </w:p>
        </w:tc>
      </w:tr>
      <w:tr w14:paraId="31BF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14:paraId="08EEDAC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8BE768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A7B7C6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4310" w:type="dxa"/>
            <w:gridSpan w:val="3"/>
            <w:tcBorders>
              <w:top w:val="single" w:color="000000" w:sz="4" w:space="0"/>
              <w:left w:val="single" w:color="000000" w:sz="4" w:space="0"/>
              <w:bottom w:val="single" w:color="000000" w:sz="4" w:space="0"/>
              <w:right w:val="single" w:color="000000" w:sz="4" w:space="0"/>
            </w:tcBorders>
            <w:noWrap w:val="0"/>
            <w:vAlign w:val="center"/>
          </w:tcPr>
          <w:p w14:paraId="72C0A42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BB2272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92457A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6407E8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820" w:type="dxa"/>
            <w:gridSpan w:val="2"/>
            <w:tcBorders>
              <w:top w:val="single" w:color="000000" w:sz="4" w:space="0"/>
              <w:left w:val="single" w:color="000000" w:sz="4" w:space="0"/>
              <w:bottom w:val="single" w:color="000000" w:sz="4" w:space="0"/>
              <w:right w:val="single" w:color="000000" w:sz="4" w:space="0"/>
            </w:tcBorders>
            <w:noWrap w:val="0"/>
            <w:vAlign w:val="center"/>
          </w:tcPr>
          <w:p w14:paraId="66D2DD5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6CA26CB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14:paraId="18FC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2" w:hRule="atLeast"/>
        </w:trPr>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3E172">
            <w:pPr>
              <w:jc w:val="center"/>
              <w:rPr>
                <w:rFonts w:hint="eastAsia" w:ascii="仿宋_GB2312" w:hAnsi="宋体" w:eastAsia="仿宋_GB2312" w:cs="仿宋_GB2312"/>
                <w:i w:val="0"/>
                <w:color w:val="000000"/>
                <w:sz w:val="21"/>
                <w:szCs w:val="21"/>
                <w:u w:val="none"/>
              </w:rPr>
            </w:pP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30E3C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2DEDEC">
            <w:pPr>
              <w:keepNext w:val="0"/>
              <w:keepLines w:val="0"/>
              <w:widowControl/>
              <w:suppressLineNumbers w:val="0"/>
              <w:jc w:val="left"/>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2"/>
                <w:sz w:val="21"/>
                <w:szCs w:val="21"/>
                <w:u w:val="none"/>
                <w:lang w:val="en-US" w:eastAsia="zh-CN" w:bidi="ar-SA"/>
              </w:rPr>
              <w:t>数量指标</w:t>
            </w:r>
          </w:p>
        </w:tc>
        <w:tc>
          <w:tcPr>
            <w:tcW w:w="4310" w:type="dxa"/>
            <w:gridSpan w:val="3"/>
            <w:tcBorders>
              <w:top w:val="single" w:color="000000" w:sz="4" w:space="0"/>
              <w:left w:val="single" w:color="000000" w:sz="4" w:space="0"/>
              <w:right w:val="single" w:color="000000" w:sz="4" w:space="0"/>
            </w:tcBorders>
            <w:noWrap w:val="0"/>
            <w:vAlign w:val="center"/>
          </w:tcPr>
          <w:p w14:paraId="38EC96BF">
            <w:pPr>
              <w:pStyle w:val="2"/>
              <w:ind w:left="0" w:leftChars="0" w:firstLine="0" w:firstLineChars="0"/>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2"/>
                <w:sz w:val="21"/>
                <w:szCs w:val="21"/>
                <w:u w:val="none"/>
                <w:lang w:val="en-US" w:eastAsia="zh-CN" w:bidi="ar-SA"/>
              </w:rPr>
              <w:t>(1)开展投资促进相关培训及企业家沙龙不少6场；（2）开展走进通州系列活动，全年不少于8场；（3）打造“高精尖”产业招商平台，对接高端项目和企业，形成高端集聚，形成在谈项目20个；（4）参与北京市投资促进局海外推介宣传活动全年不少于1次，开展重点产业项目实地对接每年不少于1次；</w:t>
            </w:r>
          </w:p>
          <w:p w14:paraId="3E671CD5">
            <w:pPr>
              <w:pStyle w:val="2"/>
              <w:ind w:left="0" w:leftChars="0" w:firstLine="0" w:firstLineChars="0"/>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2"/>
                <w:sz w:val="21"/>
                <w:szCs w:val="21"/>
                <w:u w:val="none"/>
                <w:lang w:val="en-US" w:eastAsia="zh-CN" w:bidi="ar-SA"/>
              </w:rPr>
              <w:t>（5）聚焦通州系列活动，参加北京香港经济合作研讨洽谈会、中国国际投资贸易洽谈会、中国国际服务贸易交易会、中国国际进口博览会；（6）微信公众号信息发布，每周2次，每次2-3条；（7）开展媒体宣传工作，制作宣传资料，杂志宣传推广（每月1次），抖音号运营，每年发布不少于96条视频；（8）完善后的《通州区产业高质量发展指标体系》及编制专报梳理不少于1篇；（9）开展“四个一”招商工作机制绩效评价体系建立及每季度绩效评价工作全年不少于4次；（10）开展“关于加快推进北京城市副中心高精尖产业发展若干措施”系列奖励资金风险控制，对企业真实性调查，全年不少于1次；（11）按照区财政局绩效考核要求，做好绩效跟踪工作，做好信息公开；（12）落实全面从严治党、开展理论学习，接诉即办任务响应100%。</w:t>
            </w:r>
          </w:p>
          <w:p w14:paraId="76FE8C78">
            <w:pPr>
              <w:keepNext w:val="0"/>
              <w:keepLines w:val="0"/>
              <w:widowControl/>
              <w:suppressLineNumbers w:val="0"/>
              <w:tabs>
                <w:tab w:val="left" w:pos="987"/>
              </w:tabs>
              <w:jc w:val="left"/>
              <w:textAlignment w:val="center"/>
              <w:rPr>
                <w:rFonts w:hint="eastAsia" w:ascii="仿宋_GB2312" w:hAnsi="宋体" w:eastAsia="仿宋_GB2312" w:cs="仿宋_GB2312"/>
                <w:i w:val="0"/>
                <w:color w:val="000000"/>
                <w:kern w:val="2"/>
                <w:sz w:val="21"/>
                <w:szCs w:val="21"/>
                <w:u w:val="none"/>
                <w:lang w:val="en-US" w:eastAsia="zh-CN" w:bidi="ar-SA"/>
              </w:rPr>
            </w:pPr>
          </w:p>
        </w:tc>
        <w:tc>
          <w:tcPr>
            <w:tcW w:w="1290" w:type="dxa"/>
            <w:tcBorders>
              <w:top w:val="single" w:color="000000" w:sz="4" w:space="0"/>
              <w:left w:val="single" w:color="000000" w:sz="4" w:space="0"/>
              <w:right w:val="single" w:color="000000" w:sz="4" w:space="0"/>
            </w:tcBorders>
            <w:noWrap w:val="0"/>
            <w:vAlign w:val="center"/>
          </w:tcPr>
          <w:p w14:paraId="42A6393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right w:val="single" w:color="000000" w:sz="4" w:space="0"/>
            </w:tcBorders>
            <w:noWrap w:val="0"/>
            <w:vAlign w:val="center"/>
          </w:tcPr>
          <w:p w14:paraId="5FDC622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780" w:type="dxa"/>
            <w:gridSpan w:val="2"/>
            <w:tcBorders>
              <w:top w:val="single" w:color="000000" w:sz="4" w:space="0"/>
              <w:left w:val="single" w:color="000000" w:sz="4" w:space="0"/>
              <w:right w:val="single" w:color="000000" w:sz="4" w:space="0"/>
            </w:tcBorders>
            <w:noWrap w:val="0"/>
            <w:vAlign w:val="center"/>
          </w:tcPr>
          <w:p w14:paraId="3A17D1D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820" w:type="dxa"/>
            <w:gridSpan w:val="2"/>
            <w:tcBorders>
              <w:top w:val="single" w:color="000000" w:sz="4" w:space="0"/>
              <w:left w:val="single" w:color="000000" w:sz="4" w:space="0"/>
              <w:right w:val="single" w:color="000000" w:sz="4" w:space="0"/>
            </w:tcBorders>
            <w:noWrap w:val="0"/>
            <w:vAlign w:val="center"/>
          </w:tcPr>
          <w:p w14:paraId="1B8B4D55">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1DE90CC3">
            <w:pPr>
              <w:jc w:val="center"/>
              <w:rPr>
                <w:rFonts w:hint="eastAsia" w:ascii="仿宋_GB2312" w:hAnsi="宋体" w:eastAsia="仿宋_GB2312" w:cs="仿宋_GB2312"/>
                <w:i w:val="0"/>
                <w:color w:val="000000"/>
                <w:sz w:val="21"/>
                <w:szCs w:val="21"/>
                <w:u w:val="none"/>
              </w:rPr>
            </w:pPr>
          </w:p>
        </w:tc>
      </w:tr>
      <w:tr w14:paraId="47A1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5" w:hRule="atLeast"/>
        </w:trPr>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CDB05">
            <w:pPr>
              <w:jc w:val="center"/>
              <w:rPr>
                <w:rFonts w:hint="eastAsia" w:ascii="仿宋_GB2312" w:hAnsi="宋体" w:eastAsia="仿宋_GB2312" w:cs="仿宋_GB2312"/>
                <w:i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4710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D37B4F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4310" w:type="dxa"/>
            <w:gridSpan w:val="3"/>
            <w:tcBorders>
              <w:top w:val="single" w:color="000000" w:sz="4" w:space="0"/>
              <w:left w:val="single" w:color="000000" w:sz="4" w:space="0"/>
              <w:right w:val="single" w:color="000000" w:sz="4" w:space="0"/>
            </w:tcBorders>
            <w:noWrap w:val="0"/>
            <w:vAlign w:val="center"/>
          </w:tcPr>
          <w:p w14:paraId="73028637">
            <w:pPr>
              <w:keepNext w:val="0"/>
              <w:keepLines w:val="0"/>
              <w:widowControl/>
              <w:suppressLineNumbers w:val="0"/>
              <w:jc w:val="left"/>
              <w:textAlignment w:val="center"/>
              <w:rPr>
                <w:rFonts w:hint="default"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2"/>
                <w:sz w:val="21"/>
                <w:szCs w:val="21"/>
                <w:u w:val="none"/>
                <w:lang w:val="en-US" w:eastAsia="zh-CN" w:bidi="ar-SA"/>
              </w:rPr>
              <w:t>1.提高营商环境宣传的水平、促进我局招商引资成效；2.微信公众号稿件自采自编率不低于25%；3.引进“高精尖”项目，促成项目落户通州；4.提升通州区域知名度，优化营商环境；5.充分激发中介机构的招商、渠道、研究、平台等优势，全方位多领域的参与全区招商引资和投资促进工作；6.邀请符合功能定位的企业实地考察、座谈交流，促进企业项目对接落地；7.借助“服贸会”、“京港会”、“进博会”、“厦洽会”等投资性展会与高端活动平台，强化副中心经济形象宣传，大力推介投资环境和重点区域项目，引资优质资源要素集聚.</w:t>
            </w:r>
          </w:p>
        </w:tc>
        <w:tc>
          <w:tcPr>
            <w:tcW w:w="1290" w:type="dxa"/>
            <w:tcBorders>
              <w:top w:val="single" w:color="000000" w:sz="4" w:space="0"/>
              <w:left w:val="single" w:color="000000" w:sz="4" w:space="0"/>
              <w:right w:val="single" w:color="000000" w:sz="4" w:space="0"/>
            </w:tcBorders>
            <w:noWrap w:val="0"/>
            <w:vAlign w:val="center"/>
          </w:tcPr>
          <w:p w14:paraId="257FFC45">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right w:val="single" w:color="000000" w:sz="4" w:space="0"/>
            </w:tcBorders>
            <w:noWrap w:val="0"/>
            <w:vAlign w:val="center"/>
          </w:tcPr>
          <w:p w14:paraId="74D6DA57">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100%</w:t>
            </w:r>
          </w:p>
        </w:tc>
        <w:tc>
          <w:tcPr>
            <w:tcW w:w="780" w:type="dxa"/>
            <w:gridSpan w:val="2"/>
            <w:tcBorders>
              <w:top w:val="single" w:color="000000" w:sz="4" w:space="0"/>
              <w:left w:val="single" w:color="000000" w:sz="4" w:space="0"/>
              <w:right w:val="single" w:color="000000" w:sz="4" w:space="0"/>
            </w:tcBorders>
            <w:noWrap w:val="0"/>
            <w:vAlign w:val="center"/>
          </w:tcPr>
          <w:p w14:paraId="17C368A0">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820" w:type="dxa"/>
            <w:gridSpan w:val="2"/>
            <w:tcBorders>
              <w:top w:val="single" w:color="000000" w:sz="4" w:space="0"/>
              <w:left w:val="single" w:color="000000" w:sz="4" w:space="0"/>
              <w:right w:val="single" w:color="000000" w:sz="4" w:space="0"/>
            </w:tcBorders>
            <w:noWrap w:val="0"/>
            <w:vAlign w:val="center"/>
          </w:tcPr>
          <w:p w14:paraId="3D1A9F08">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656CD3D2">
            <w:pPr>
              <w:jc w:val="center"/>
              <w:rPr>
                <w:rFonts w:hint="eastAsia" w:ascii="仿宋_GB2312" w:hAnsi="宋体" w:eastAsia="仿宋_GB2312" w:cs="仿宋_GB2312"/>
                <w:i w:val="0"/>
                <w:color w:val="000000"/>
                <w:sz w:val="21"/>
                <w:szCs w:val="21"/>
                <w:u w:val="none"/>
              </w:rPr>
            </w:pPr>
          </w:p>
        </w:tc>
      </w:tr>
      <w:tr w14:paraId="4455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F666E">
            <w:pPr>
              <w:jc w:val="center"/>
              <w:rPr>
                <w:rFonts w:hint="eastAsia" w:ascii="仿宋_GB2312" w:hAnsi="宋体" w:eastAsia="仿宋_GB2312" w:cs="仿宋_GB2312"/>
                <w:i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AFCE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06A020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4310" w:type="dxa"/>
            <w:gridSpan w:val="3"/>
            <w:tcBorders>
              <w:top w:val="single" w:color="000000" w:sz="4" w:space="0"/>
              <w:left w:val="single" w:color="000000" w:sz="4" w:space="0"/>
              <w:right w:val="single" w:color="000000" w:sz="4" w:space="0"/>
            </w:tcBorders>
            <w:noWrap w:val="0"/>
            <w:vAlign w:val="center"/>
          </w:tcPr>
          <w:p w14:paraId="3C8D6F1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rPr>
              <w:t>1.部门经费支出进度方面，第一季度28%；第二季度53%；第三季度78%，第四季度达到95%。</w:t>
            </w:r>
          </w:p>
        </w:tc>
        <w:tc>
          <w:tcPr>
            <w:tcW w:w="1290" w:type="dxa"/>
            <w:tcBorders>
              <w:top w:val="single" w:color="000000" w:sz="4" w:space="0"/>
              <w:left w:val="single" w:color="000000" w:sz="4" w:space="0"/>
              <w:right w:val="single" w:color="000000" w:sz="4" w:space="0"/>
            </w:tcBorders>
            <w:noWrap w:val="0"/>
            <w:vAlign w:val="center"/>
          </w:tcPr>
          <w:p w14:paraId="17F415E7">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right w:val="single" w:color="000000" w:sz="4" w:space="0"/>
            </w:tcBorders>
            <w:noWrap w:val="0"/>
            <w:vAlign w:val="center"/>
          </w:tcPr>
          <w:p w14:paraId="71ED03D7">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100%</w:t>
            </w:r>
          </w:p>
        </w:tc>
        <w:tc>
          <w:tcPr>
            <w:tcW w:w="780" w:type="dxa"/>
            <w:gridSpan w:val="2"/>
            <w:tcBorders>
              <w:top w:val="single" w:color="000000" w:sz="4" w:space="0"/>
              <w:left w:val="single" w:color="000000" w:sz="4" w:space="0"/>
              <w:right w:val="single" w:color="000000" w:sz="4" w:space="0"/>
            </w:tcBorders>
            <w:noWrap w:val="0"/>
            <w:vAlign w:val="center"/>
          </w:tcPr>
          <w:p w14:paraId="0B53E8E7">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820" w:type="dxa"/>
            <w:gridSpan w:val="2"/>
            <w:tcBorders>
              <w:top w:val="single" w:color="000000" w:sz="4" w:space="0"/>
              <w:left w:val="single" w:color="000000" w:sz="4" w:space="0"/>
              <w:right w:val="single" w:color="000000" w:sz="4" w:space="0"/>
            </w:tcBorders>
            <w:noWrap w:val="0"/>
            <w:vAlign w:val="center"/>
          </w:tcPr>
          <w:p w14:paraId="068DB3A5">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54F25AE7">
            <w:pPr>
              <w:jc w:val="center"/>
              <w:rPr>
                <w:rFonts w:hint="eastAsia" w:ascii="仿宋_GB2312" w:hAnsi="宋体" w:eastAsia="仿宋_GB2312" w:cs="仿宋_GB2312"/>
                <w:i w:val="0"/>
                <w:color w:val="000000"/>
                <w:sz w:val="21"/>
                <w:szCs w:val="21"/>
                <w:u w:val="none"/>
              </w:rPr>
            </w:pPr>
          </w:p>
        </w:tc>
      </w:tr>
      <w:tr w14:paraId="7608B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EAE81">
            <w:pPr>
              <w:jc w:val="center"/>
              <w:rPr>
                <w:rFonts w:hint="eastAsia" w:ascii="仿宋_GB2312" w:hAnsi="宋体" w:eastAsia="仿宋_GB2312" w:cs="仿宋_GB2312"/>
                <w:i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3FF51">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C86D7E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4310" w:type="dxa"/>
            <w:gridSpan w:val="3"/>
            <w:tcBorders>
              <w:top w:val="single" w:color="000000" w:sz="4" w:space="0"/>
              <w:left w:val="single" w:color="000000" w:sz="4" w:space="0"/>
              <w:right w:val="single" w:color="000000" w:sz="4" w:space="0"/>
            </w:tcBorders>
            <w:noWrap w:val="0"/>
            <w:vAlign w:val="center"/>
          </w:tcPr>
          <w:p w14:paraId="06F88EDB">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rPr>
              <w:t>严格财政预算批复执行，单个项目总预算不超出预算批复金额。</w:t>
            </w:r>
          </w:p>
        </w:tc>
        <w:tc>
          <w:tcPr>
            <w:tcW w:w="1290" w:type="dxa"/>
            <w:tcBorders>
              <w:top w:val="single" w:color="000000" w:sz="4" w:space="0"/>
              <w:left w:val="single" w:color="000000" w:sz="4" w:space="0"/>
              <w:right w:val="single" w:color="000000" w:sz="4" w:space="0"/>
            </w:tcBorders>
            <w:noWrap w:val="0"/>
            <w:vAlign w:val="center"/>
          </w:tcPr>
          <w:p w14:paraId="314D47E4">
            <w:pPr>
              <w:jc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sz w:val="18"/>
                <w:szCs w:val="18"/>
                <w:u w:val="none"/>
                <w:lang w:val="en-US" w:eastAsia="zh-CN"/>
              </w:rPr>
              <w:t>296.88万元</w:t>
            </w:r>
          </w:p>
        </w:tc>
        <w:tc>
          <w:tcPr>
            <w:tcW w:w="1290" w:type="dxa"/>
            <w:tcBorders>
              <w:top w:val="single" w:color="000000" w:sz="4" w:space="0"/>
              <w:left w:val="single" w:color="000000" w:sz="4" w:space="0"/>
              <w:right w:val="single" w:color="000000" w:sz="4" w:space="0"/>
            </w:tcBorders>
            <w:noWrap w:val="0"/>
            <w:vAlign w:val="center"/>
          </w:tcPr>
          <w:p w14:paraId="65D29916">
            <w:pPr>
              <w:jc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sz w:val="18"/>
                <w:szCs w:val="18"/>
                <w:u w:val="none"/>
                <w:lang w:val="en-US" w:eastAsia="zh-CN"/>
              </w:rPr>
              <w:t>296.88万元</w:t>
            </w:r>
          </w:p>
        </w:tc>
        <w:tc>
          <w:tcPr>
            <w:tcW w:w="780" w:type="dxa"/>
            <w:gridSpan w:val="2"/>
            <w:tcBorders>
              <w:top w:val="single" w:color="000000" w:sz="4" w:space="0"/>
              <w:left w:val="single" w:color="000000" w:sz="4" w:space="0"/>
              <w:right w:val="single" w:color="000000" w:sz="4" w:space="0"/>
            </w:tcBorders>
            <w:noWrap w:val="0"/>
            <w:vAlign w:val="center"/>
          </w:tcPr>
          <w:p w14:paraId="5482C541">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820" w:type="dxa"/>
            <w:gridSpan w:val="2"/>
            <w:tcBorders>
              <w:top w:val="single" w:color="000000" w:sz="4" w:space="0"/>
              <w:left w:val="single" w:color="000000" w:sz="4" w:space="0"/>
              <w:right w:val="single" w:color="000000" w:sz="4" w:space="0"/>
            </w:tcBorders>
            <w:noWrap w:val="0"/>
            <w:vAlign w:val="center"/>
          </w:tcPr>
          <w:p w14:paraId="57C0EE5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60168329">
            <w:pPr>
              <w:jc w:val="center"/>
              <w:rPr>
                <w:rFonts w:hint="eastAsia" w:ascii="仿宋_GB2312" w:hAnsi="宋体" w:eastAsia="仿宋_GB2312" w:cs="仿宋_GB2312"/>
                <w:i w:val="0"/>
                <w:color w:val="000000"/>
                <w:sz w:val="21"/>
                <w:szCs w:val="21"/>
                <w:u w:val="none"/>
              </w:rPr>
            </w:pPr>
          </w:p>
        </w:tc>
      </w:tr>
      <w:tr w14:paraId="647CE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64E6B">
            <w:pPr>
              <w:jc w:val="center"/>
              <w:rPr>
                <w:rFonts w:hint="eastAsia" w:ascii="仿宋_GB2312" w:hAnsi="宋体" w:eastAsia="仿宋_GB2312" w:cs="仿宋_GB2312"/>
                <w:i w:val="0"/>
                <w:color w:val="000000"/>
                <w:sz w:val="21"/>
                <w:szCs w:val="21"/>
                <w:u w:val="none"/>
              </w:rPr>
            </w:pP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49ED1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B1F55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经济效益指标</w:t>
            </w:r>
          </w:p>
        </w:tc>
        <w:tc>
          <w:tcPr>
            <w:tcW w:w="4310" w:type="dxa"/>
            <w:gridSpan w:val="3"/>
            <w:tcBorders>
              <w:top w:val="single" w:color="000000" w:sz="4" w:space="0"/>
              <w:left w:val="single" w:color="000000" w:sz="4" w:space="0"/>
              <w:right w:val="single" w:color="000000" w:sz="4" w:space="0"/>
            </w:tcBorders>
            <w:noWrap w:val="0"/>
            <w:vAlign w:val="center"/>
          </w:tcPr>
          <w:p w14:paraId="32745C61">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rPr>
              <w:t>产业空间资源不断拓展,“高精尖”产业体系加快构建,高端要素加快聚集。全年注册招商目标重点企业不少于200家。</w:t>
            </w:r>
          </w:p>
        </w:tc>
        <w:tc>
          <w:tcPr>
            <w:tcW w:w="1290" w:type="dxa"/>
            <w:tcBorders>
              <w:top w:val="single" w:color="000000" w:sz="4" w:space="0"/>
              <w:left w:val="single" w:color="000000" w:sz="4" w:space="0"/>
              <w:right w:val="single" w:color="000000" w:sz="4" w:space="0"/>
            </w:tcBorders>
            <w:noWrap w:val="0"/>
            <w:vAlign w:val="center"/>
          </w:tcPr>
          <w:p w14:paraId="6D9551C5">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eastAsia="zh-CN"/>
              </w:rPr>
              <w:t>≥</w:t>
            </w:r>
            <w:r>
              <w:rPr>
                <w:rFonts w:hint="eastAsia" w:ascii="仿宋_GB2312" w:hAnsi="宋体" w:eastAsia="仿宋_GB2312" w:cs="仿宋_GB2312"/>
                <w:i w:val="0"/>
                <w:color w:val="000000"/>
                <w:sz w:val="21"/>
                <w:szCs w:val="21"/>
                <w:u w:val="none"/>
                <w:lang w:val="en-US" w:eastAsia="zh-CN"/>
              </w:rPr>
              <w:t>200</w:t>
            </w:r>
          </w:p>
        </w:tc>
        <w:tc>
          <w:tcPr>
            <w:tcW w:w="1290" w:type="dxa"/>
            <w:tcBorders>
              <w:top w:val="single" w:color="000000" w:sz="4" w:space="0"/>
              <w:left w:val="single" w:color="000000" w:sz="4" w:space="0"/>
              <w:right w:val="single" w:color="000000" w:sz="4" w:space="0"/>
            </w:tcBorders>
            <w:noWrap w:val="0"/>
            <w:vAlign w:val="center"/>
          </w:tcPr>
          <w:p w14:paraId="4248B1DD">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w:t>
            </w:r>
            <w:r>
              <w:rPr>
                <w:rFonts w:hint="eastAsia" w:ascii="仿宋_GB2312" w:hAnsi="宋体" w:eastAsia="仿宋_GB2312" w:cs="仿宋_GB2312"/>
                <w:i w:val="0"/>
                <w:color w:val="000000"/>
                <w:sz w:val="21"/>
                <w:szCs w:val="21"/>
                <w:u w:val="none"/>
                <w:lang w:val="en-US" w:eastAsia="zh-CN"/>
              </w:rPr>
              <w:t>200</w:t>
            </w:r>
          </w:p>
        </w:tc>
        <w:tc>
          <w:tcPr>
            <w:tcW w:w="780" w:type="dxa"/>
            <w:gridSpan w:val="2"/>
            <w:tcBorders>
              <w:top w:val="single" w:color="000000" w:sz="4" w:space="0"/>
              <w:left w:val="single" w:color="000000" w:sz="4" w:space="0"/>
              <w:right w:val="single" w:color="000000" w:sz="4" w:space="0"/>
            </w:tcBorders>
            <w:noWrap w:val="0"/>
            <w:vAlign w:val="center"/>
          </w:tcPr>
          <w:p w14:paraId="3C69F37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820" w:type="dxa"/>
            <w:gridSpan w:val="2"/>
            <w:tcBorders>
              <w:top w:val="single" w:color="000000" w:sz="4" w:space="0"/>
              <w:left w:val="single" w:color="000000" w:sz="4" w:space="0"/>
              <w:right w:val="single" w:color="000000" w:sz="4" w:space="0"/>
            </w:tcBorders>
            <w:noWrap w:val="0"/>
            <w:vAlign w:val="center"/>
          </w:tcPr>
          <w:p w14:paraId="7486D609">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16AC8B16">
            <w:pPr>
              <w:jc w:val="center"/>
              <w:rPr>
                <w:rFonts w:hint="eastAsia" w:ascii="仿宋_GB2312" w:hAnsi="宋体" w:eastAsia="仿宋_GB2312" w:cs="仿宋_GB2312"/>
                <w:i w:val="0"/>
                <w:color w:val="000000"/>
                <w:sz w:val="21"/>
                <w:szCs w:val="21"/>
                <w:u w:val="none"/>
              </w:rPr>
            </w:pPr>
          </w:p>
        </w:tc>
      </w:tr>
      <w:tr w14:paraId="1CFE5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6" w:hRule="atLeast"/>
        </w:trPr>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5F8A4">
            <w:pPr>
              <w:jc w:val="center"/>
              <w:rPr>
                <w:rFonts w:hint="eastAsia" w:ascii="仿宋_GB2312" w:hAnsi="宋体" w:eastAsia="仿宋_GB2312" w:cs="仿宋_GB2312"/>
                <w:i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147BF">
            <w:pPr>
              <w:jc w:val="center"/>
              <w:rPr>
                <w:rFonts w:hint="eastAsia" w:ascii="仿宋_GB2312" w:hAnsi="宋体" w:eastAsia="仿宋_GB2312" w:cs="仿宋_GB2312"/>
                <w:i w:val="0"/>
                <w:color w:val="000000"/>
                <w:sz w:val="21"/>
                <w:szCs w:val="21"/>
                <w:u w:val="non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FA0D0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社会效益指标</w:t>
            </w:r>
          </w:p>
        </w:tc>
        <w:tc>
          <w:tcPr>
            <w:tcW w:w="4310" w:type="dxa"/>
            <w:gridSpan w:val="3"/>
            <w:tcBorders>
              <w:top w:val="single" w:color="000000" w:sz="4" w:space="0"/>
              <w:left w:val="single" w:color="000000" w:sz="4" w:space="0"/>
              <w:right w:val="single" w:color="000000" w:sz="4" w:space="0"/>
            </w:tcBorders>
            <w:noWrap w:val="0"/>
            <w:vAlign w:val="center"/>
          </w:tcPr>
          <w:p w14:paraId="16783DD2">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大力开展企业服务工作，做好服务当好企业服务管家为重点企业提供专属管家式服务。2.打造对外展示窗口和交流合作平台，创新建设城市副中心会客厅。为落户通州企业，提供政务一站式服务、项目对接洽商、园区资源展示、投资咨询服务、企业家交流合作、媒体宣传推介等功能，让企业更直观感受副中心营商环境和投资商机。</w:t>
            </w:r>
          </w:p>
        </w:tc>
        <w:tc>
          <w:tcPr>
            <w:tcW w:w="1290" w:type="dxa"/>
            <w:tcBorders>
              <w:top w:val="single" w:color="000000" w:sz="4" w:space="0"/>
              <w:left w:val="single" w:color="000000" w:sz="4" w:space="0"/>
              <w:right w:val="single" w:color="000000" w:sz="4" w:space="0"/>
            </w:tcBorders>
            <w:noWrap w:val="0"/>
            <w:vAlign w:val="center"/>
          </w:tcPr>
          <w:p w14:paraId="43086CD9">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right w:val="single" w:color="000000" w:sz="4" w:space="0"/>
            </w:tcBorders>
            <w:noWrap w:val="0"/>
            <w:vAlign w:val="center"/>
          </w:tcPr>
          <w:p w14:paraId="6DA9F1C0">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100%</w:t>
            </w:r>
          </w:p>
        </w:tc>
        <w:tc>
          <w:tcPr>
            <w:tcW w:w="780" w:type="dxa"/>
            <w:gridSpan w:val="2"/>
            <w:tcBorders>
              <w:top w:val="single" w:color="000000" w:sz="4" w:space="0"/>
              <w:left w:val="single" w:color="000000" w:sz="4" w:space="0"/>
              <w:right w:val="single" w:color="000000" w:sz="4" w:space="0"/>
            </w:tcBorders>
            <w:noWrap w:val="0"/>
            <w:vAlign w:val="center"/>
          </w:tcPr>
          <w:p w14:paraId="4E899C36">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820" w:type="dxa"/>
            <w:gridSpan w:val="2"/>
            <w:tcBorders>
              <w:top w:val="single" w:color="000000" w:sz="4" w:space="0"/>
              <w:left w:val="single" w:color="000000" w:sz="4" w:space="0"/>
              <w:right w:val="single" w:color="000000" w:sz="4" w:space="0"/>
            </w:tcBorders>
            <w:noWrap w:val="0"/>
            <w:vAlign w:val="center"/>
          </w:tcPr>
          <w:p w14:paraId="3B40B96A">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0D395C4F">
            <w:pPr>
              <w:jc w:val="center"/>
              <w:rPr>
                <w:rFonts w:hint="eastAsia" w:ascii="仿宋_GB2312" w:hAnsi="宋体" w:eastAsia="仿宋_GB2312" w:cs="仿宋_GB2312"/>
                <w:i w:val="0"/>
                <w:color w:val="000000"/>
                <w:sz w:val="21"/>
                <w:szCs w:val="21"/>
                <w:u w:val="none"/>
              </w:rPr>
            </w:pPr>
          </w:p>
        </w:tc>
      </w:tr>
      <w:tr w14:paraId="5C92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8462B8">
            <w:pPr>
              <w:jc w:val="center"/>
              <w:rPr>
                <w:rFonts w:hint="eastAsia" w:ascii="仿宋_GB2312" w:hAnsi="宋体" w:eastAsia="仿宋_GB2312" w:cs="仿宋_GB2312"/>
                <w:i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C9A8A">
            <w:pPr>
              <w:jc w:val="center"/>
              <w:rPr>
                <w:rFonts w:hint="eastAsia" w:ascii="仿宋_GB2312" w:hAnsi="宋体" w:eastAsia="仿宋_GB2312" w:cs="仿宋_GB2312"/>
                <w:i w:val="0"/>
                <w:color w:val="000000"/>
                <w:sz w:val="21"/>
                <w:szCs w:val="21"/>
                <w:u w:val="non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A9274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生态效益指标</w:t>
            </w:r>
          </w:p>
        </w:tc>
        <w:tc>
          <w:tcPr>
            <w:tcW w:w="4310" w:type="dxa"/>
            <w:gridSpan w:val="3"/>
            <w:tcBorders>
              <w:top w:val="single" w:color="000000" w:sz="4" w:space="0"/>
              <w:left w:val="single" w:color="000000" w:sz="4" w:space="0"/>
              <w:right w:val="single" w:color="000000" w:sz="4" w:space="0"/>
            </w:tcBorders>
            <w:noWrap w:val="0"/>
            <w:vAlign w:val="center"/>
          </w:tcPr>
          <w:p w14:paraId="091E5DFF">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rPr>
              <w:t>1.推介北京城市副中心营商环境，收集企业基本情况、面临问题及需求，为政府决策提供参考，引导金融机构提供精准服务。2.对“通八条”实施细则和相关知识进行了详细的解读，并针对企业提出的问题逐一解答，营造良好的营商环境。</w:t>
            </w:r>
          </w:p>
        </w:tc>
        <w:tc>
          <w:tcPr>
            <w:tcW w:w="1290" w:type="dxa"/>
            <w:tcBorders>
              <w:top w:val="single" w:color="000000" w:sz="4" w:space="0"/>
              <w:left w:val="single" w:color="000000" w:sz="4" w:space="0"/>
              <w:right w:val="single" w:color="000000" w:sz="4" w:space="0"/>
            </w:tcBorders>
            <w:noWrap w:val="0"/>
            <w:vAlign w:val="center"/>
          </w:tcPr>
          <w:p w14:paraId="613DEF2E">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right w:val="single" w:color="000000" w:sz="4" w:space="0"/>
            </w:tcBorders>
            <w:noWrap w:val="0"/>
            <w:vAlign w:val="center"/>
          </w:tcPr>
          <w:p w14:paraId="5F5A5D1A">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100%</w:t>
            </w:r>
          </w:p>
        </w:tc>
        <w:tc>
          <w:tcPr>
            <w:tcW w:w="780" w:type="dxa"/>
            <w:gridSpan w:val="2"/>
            <w:tcBorders>
              <w:top w:val="single" w:color="000000" w:sz="4" w:space="0"/>
              <w:left w:val="single" w:color="000000" w:sz="4" w:space="0"/>
              <w:right w:val="single" w:color="000000" w:sz="4" w:space="0"/>
            </w:tcBorders>
            <w:noWrap w:val="0"/>
            <w:vAlign w:val="center"/>
          </w:tcPr>
          <w:p w14:paraId="074EA903">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820" w:type="dxa"/>
            <w:gridSpan w:val="2"/>
            <w:tcBorders>
              <w:top w:val="single" w:color="000000" w:sz="4" w:space="0"/>
              <w:left w:val="single" w:color="000000" w:sz="4" w:space="0"/>
              <w:right w:val="single" w:color="000000" w:sz="4" w:space="0"/>
            </w:tcBorders>
            <w:noWrap w:val="0"/>
            <w:vAlign w:val="center"/>
          </w:tcPr>
          <w:p w14:paraId="77F0F26E">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48FBE57B">
            <w:pPr>
              <w:jc w:val="center"/>
              <w:rPr>
                <w:rFonts w:hint="eastAsia" w:ascii="仿宋_GB2312" w:hAnsi="宋体" w:eastAsia="仿宋_GB2312" w:cs="仿宋_GB2312"/>
                <w:i w:val="0"/>
                <w:color w:val="000000"/>
                <w:sz w:val="21"/>
                <w:szCs w:val="21"/>
                <w:u w:val="none"/>
              </w:rPr>
            </w:pPr>
          </w:p>
        </w:tc>
      </w:tr>
      <w:tr w14:paraId="707E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7E331">
            <w:pPr>
              <w:jc w:val="center"/>
              <w:rPr>
                <w:rFonts w:hint="eastAsia" w:ascii="仿宋_GB2312" w:hAnsi="宋体" w:eastAsia="仿宋_GB2312" w:cs="仿宋_GB2312"/>
                <w:i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0867C">
            <w:pPr>
              <w:jc w:val="center"/>
              <w:rPr>
                <w:rFonts w:hint="eastAsia" w:ascii="仿宋_GB2312" w:hAnsi="宋体" w:eastAsia="仿宋_GB2312" w:cs="仿宋_GB2312"/>
                <w:i w:val="0"/>
                <w:color w:val="000000"/>
                <w:sz w:val="21"/>
                <w:szCs w:val="21"/>
                <w:u w:val="non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BC0EF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4310" w:type="dxa"/>
            <w:gridSpan w:val="3"/>
            <w:tcBorders>
              <w:top w:val="single" w:color="000000" w:sz="4" w:space="0"/>
              <w:left w:val="single" w:color="000000" w:sz="4" w:space="0"/>
              <w:right w:val="single" w:color="000000" w:sz="4" w:space="0"/>
            </w:tcBorders>
            <w:noWrap w:val="0"/>
            <w:vAlign w:val="center"/>
          </w:tcPr>
          <w:p w14:paraId="7AEE8334">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rPr>
              <w:t>逐步健全区级产业统筹协调机制，着力打造“一口进一口出”全流程服务体系。加强全区招商统筹和项目统计工作，定期形成项目专报。</w:t>
            </w:r>
          </w:p>
        </w:tc>
        <w:tc>
          <w:tcPr>
            <w:tcW w:w="1290" w:type="dxa"/>
            <w:tcBorders>
              <w:top w:val="single" w:color="000000" w:sz="4" w:space="0"/>
              <w:left w:val="single" w:color="000000" w:sz="4" w:space="0"/>
              <w:right w:val="single" w:color="000000" w:sz="4" w:space="0"/>
            </w:tcBorders>
            <w:noWrap w:val="0"/>
            <w:vAlign w:val="center"/>
          </w:tcPr>
          <w:p w14:paraId="42E8E571">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right w:val="single" w:color="000000" w:sz="4" w:space="0"/>
            </w:tcBorders>
            <w:noWrap w:val="0"/>
            <w:vAlign w:val="center"/>
          </w:tcPr>
          <w:p w14:paraId="1D6E1AE9">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100%</w:t>
            </w:r>
          </w:p>
        </w:tc>
        <w:tc>
          <w:tcPr>
            <w:tcW w:w="780" w:type="dxa"/>
            <w:gridSpan w:val="2"/>
            <w:tcBorders>
              <w:top w:val="single" w:color="000000" w:sz="4" w:space="0"/>
              <w:left w:val="single" w:color="000000" w:sz="4" w:space="0"/>
              <w:right w:val="single" w:color="000000" w:sz="4" w:space="0"/>
            </w:tcBorders>
            <w:noWrap w:val="0"/>
            <w:vAlign w:val="center"/>
          </w:tcPr>
          <w:p w14:paraId="556D81F8">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820" w:type="dxa"/>
            <w:gridSpan w:val="2"/>
            <w:tcBorders>
              <w:top w:val="single" w:color="000000" w:sz="4" w:space="0"/>
              <w:left w:val="single" w:color="000000" w:sz="4" w:space="0"/>
              <w:right w:val="single" w:color="000000" w:sz="4" w:space="0"/>
            </w:tcBorders>
            <w:noWrap w:val="0"/>
            <w:vAlign w:val="center"/>
          </w:tcPr>
          <w:p w14:paraId="72FE03A2">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3F595AB3">
            <w:pPr>
              <w:jc w:val="center"/>
              <w:rPr>
                <w:rFonts w:hint="eastAsia" w:ascii="仿宋_GB2312" w:hAnsi="宋体" w:eastAsia="仿宋_GB2312" w:cs="仿宋_GB2312"/>
                <w:i w:val="0"/>
                <w:color w:val="000000"/>
                <w:sz w:val="21"/>
                <w:szCs w:val="21"/>
                <w:u w:val="none"/>
              </w:rPr>
            </w:pPr>
          </w:p>
        </w:tc>
      </w:tr>
      <w:tr w14:paraId="3395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205C7">
            <w:pPr>
              <w:jc w:val="center"/>
              <w:rPr>
                <w:rFonts w:hint="eastAsia" w:ascii="仿宋_GB2312" w:hAnsi="宋体" w:eastAsia="仿宋_GB2312" w:cs="仿宋_GB2312"/>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D5038E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55AB6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4310" w:type="dxa"/>
            <w:gridSpan w:val="3"/>
            <w:tcBorders>
              <w:top w:val="single" w:color="000000" w:sz="4" w:space="0"/>
              <w:left w:val="single" w:color="000000" w:sz="4" w:space="0"/>
              <w:right w:val="single" w:color="000000" w:sz="4" w:space="0"/>
            </w:tcBorders>
            <w:noWrap w:val="0"/>
            <w:vAlign w:val="center"/>
          </w:tcPr>
          <w:p w14:paraId="605A6481">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rPr>
              <w:t>1.被服务的企业单位对我局提供的服务满意度不等于90%；2.上级部门对我局部门履职的考评不低于93%。</w:t>
            </w:r>
          </w:p>
        </w:tc>
        <w:tc>
          <w:tcPr>
            <w:tcW w:w="1290" w:type="dxa"/>
            <w:tcBorders>
              <w:top w:val="single" w:color="000000" w:sz="4" w:space="0"/>
              <w:left w:val="single" w:color="000000" w:sz="4" w:space="0"/>
              <w:right w:val="single" w:color="000000" w:sz="4" w:space="0"/>
            </w:tcBorders>
            <w:noWrap w:val="0"/>
            <w:vAlign w:val="center"/>
          </w:tcPr>
          <w:p w14:paraId="78CF5C36">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right w:val="single" w:color="000000" w:sz="4" w:space="0"/>
            </w:tcBorders>
            <w:noWrap w:val="0"/>
            <w:vAlign w:val="center"/>
          </w:tcPr>
          <w:p w14:paraId="41D572EB">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100%</w:t>
            </w:r>
          </w:p>
        </w:tc>
        <w:tc>
          <w:tcPr>
            <w:tcW w:w="780" w:type="dxa"/>
            <w:gridSpan w:val="2"/>
            <w:tcBorders>
              <w:top w:val="single" w:color="000000" w:sz="4" w:space="0"/>
              <w:left w:val="single" w:color="000000" w:sz="4" w:space="0"/>
              <w:right w:val="single" w:color="000000" w:sz="4" w:space="0"/>
            </w:tcBorders>
            <w:noWrap w:val="0"/>
            <w:vAlign w:val="center"/>
          </w:tcPr>
          <w:p w14:paraId="7C5C4627">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820" w:type="dxa"/>
            <w:gridSpan w:val="2"/>
            <w:tcBorders>
              <w:top w:val="single" w:color="000000" w:sz="4" w:space="0"/>
              <w:left w:val="single" w:color="000000" w:sz="4" w:space="0"/>
              <w:right w:val="single" w:color="000000" w:sz="4" w:space="0"/>
            </w:tcBorders>
            <w:noWrap w:val="0"/>
            <w:vAlign w:val="center"/>
          </w:tcPr>
          <w:p w14:paraId="3E961609">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072F1463">
            <w:pPr>
              <w:jc w:val="center"/>
              <w:rPr>
                <w:rFonts w:hint="eastAsia" w:ascii="仿宋_GB2312" w:hAnsi="宋体" w:eastAsia="仿宋_GB2312" w:cs="仿宋_GB2312"/>
                <w:i w:val="0"/>
                <w:color w:val="000000"/>
                <w:sz w:val="21"/>
                <w:szCs w:val="21"/>
                <w:u w:val="none"/>
              </w:rPr>
            </w:pPr>
          </w:p>
        </w:tc>
      </w:tr>
      <w:tr w14:paraId="66174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22A8115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250246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820" w:type="dxa"/>
            <w:gridSpan w:val="2"/>
            <w:tcBorders>
              <w:top w:val="single" w:color="000000" w:sz="4" w:space="0"/>
              <w:left w:val="single" w:color="000000" w:sz="4" w:space="0"/>
              <w:bottom w:val="single" w:color="000000" w:sz="4" w:space="0"/>
              <w:right w:val="single" w:color="000000" w:sz="4" w:space="0"/>
            </w:tcBorders>
            <w:noWrap w:val="0"/>
            <w:vAlign w:val="center"/>
          </w:tcPr>
          <w:p w14:paraId="15AEE2CA">
            <w:pPr>
              <w:jc w:val="center"/>
              <w:rPr>
                <w:rFonts w:hint="eastAsia" w:ascii="仿宋_GB2312" w:hAnsi="宋体" w:eastAsia="仿宋_GB2312" w:cs="仿宋_GB2312"/>
                <w:i w:val="0"/>
                <w:color w:val="000000"/>
                <w:sz w:val="21"/>
                <w:szCs w:val="21"/>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2A063DDD">
            <w:pPr>
              <w:jc w:val="center"/>
              <w:rPr>
                <w:rFonts w:hint="eastAsia" w:ascii="宋体" w:hAnsi="宋体" w:eastAsia="宋体" w:cs="宋体"/>
                <w:i w:val="0"/>
                <w:color w:val="000000"/>
                <w:sz w:val="24"/>
                <w:szCs w:val="24"/>
                <w:u w:val="none"/>
              </w:rPr>
            </w:pPr>
          </w:p>
        </w:tc>
      </w:tr>
    </w:tbl>
    <w:p w14:paraId="7C5290E9">
      <w:pPr>
        <w:spacing w:line="480" w:lineRule="exact"/>
        <w:jc w:val="both"/>
      </w:pPr>
      <w:r>
        <w:rPr>
          <w:rFonts w:hint="eastAsia" w:ascii="黑体" w:eastAsia="黑体"/>
          <w:sz w:val="28"/>
          <w:szCs w:val="28"/>
          <w:highlight w:val="none"/>
          <w:lang w:val="en-US" w:eastAsia="zh-CN"/>
        </w:rPr>
        <w:t xml:space="preserve"> （注：一级预算部门“一、二”均公开；二级预算单位仅公开“二”。）</w:t>
      </w: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　 宋体">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C388D">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3</w:t>
    </w:r>
    <w:r>
      <w:fldChar w:fldCharType="end"/>
    </w:r>
  </w:p>
  <w:p w14:paraId="7184E89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60268">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5</w:t>
    </w:r>
    <w:r>
      <w:fldChar w:fldCharType="end"/>
    </w:r>
  </w:p>
  <w:p w14:paraId="5B240B64">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741C8">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15</w:t>
    </w:r>
    <w:r>
      <w:fldChar w:fldCharType="end"/>
    </w:r>
  </w:p>
  <w:p w14:paraId="1C633830">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6A1BC"/>
    <w:multiLevelType w:val="singleLevel"/>
    <w:tmpl w:val="DA66A1B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ODM0MDc3Mzg2Yzc0NzVhYzZmNzM5NDMwZTA1NmQ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79004AC"/>
    <w:rsid w:val="07EC1CA1"/>
    <w:rsid w:val="0F8E2C57"/>
    <w:rsid w:val="1059665E"/>
    <w:rsid w:val="10AC13BA"/>
    <w:rsid w:val="131A684E"/>
    <w:rsid w:val="1AD31C39"/>
    <w:rsid w:val="1AEC0734"/>
    <w:rsid w:val="1DEF20B0"/>
    <w:rsid w:val="1E58679F"/>
    <w:rsid w:val="1F474E38"/>
    <w:rsid w:val="202C3EC3"/>
    <w:rsid w:val="214243FA"/>
    <w:rsid w:val="23A44173"/>
    <w:rsid w:val="257A14F5"/>
    <w:rsid w:val="27196C26"/>
    <w:rsid w:val="27F91143"/>
    <w:rsid w:val="28941167"/>
    <w:rsid w:val="28995288"/>
    <w:rsid w:val="29EF086F"/>
    <w:rsid w:val="2EFFE297"/>
    <w:rsid w:val="301437CA"/>
    <w:rsid w:val="31C05F3E"/>
    <w:rsid w:val="340503CB"/>
    <w:rsid w:val="433E495C"/>
    <w:rsid w:val="466E0628"/>
    <w:rsid w:val="4AC27CB3"/>
    <w:rsid w:val="4BF72BEF"/>
    <w:rsid w:val="51DB3C59"/>
    <w:rsid w:val="55762E42"/>
    <w:rsid w:val="57A7B272"/>
    <w:rsid w:val="58470068"/>
    <w:rsid w:val="58A75226"/>
    <w:rsid w:val="5A1720F9"/>
    <w:rsid w:val="5B9C37C2"/>
    <w:rsid w:val="5BA7C654"/>
    <w:rsid w:val="63186930"/>
    <w:rsid w:val="64C0607C"/>
    <w:rsid w:val="668F3467"/>
    <w:rsid w:val="676F09E1"/>
    <w:rsid w:val="68CA0D57"/>
    <w:rsid w:val="68E654DD"/>
    <w:rsid w:val="6CF41341"/>
    <w:rsid w:val="728312C0"/>
    <w:rsid w:val="796A233E"/>
    <w:rsid w:val="7A7F1C49"/>
    <w:rsid w:val="7B5B7AE6"/>
    <w:rsid w:val="7B68086A"/>
    <w:rsid w:val="7BA7071E"/>
    <w:rsid w:val="7BDF6DA8"/>
    <w:rsid w:val="7C7EDC1A"/>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w:basedOn w:val="1"/>
    <w:semiHidden/>
    <w:unhideWhenUsed/>
    <w:qFormat/>
    <w:uiPriority w:val="99"/>
    <w:pPr>
      <w:spacing w:after="12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index 9"/>
    <w:basedOn w:val="1"/>
    <w:next w:val="1"/>
    <w:qFormat/>
    <w:uiPriority w:val="99"/>
    <w:pPr>
      <w:spacing w:line="560" w:lineRule="exact"/>
      <w:ind w:firstLine="643" w:firstLineChars="200"/>
      <w:jc w:val="left"/>
    </w:pPr>
    <w:rPr>
      <w:rFonts w:ascii="仿宋_GB2312" w:hAnsi="仿宋_GB2312" w:eastAsia="仿宋_GB2312" w:cs="Times New Roman"/>
      <w:sz w:val="32"/>
    </w:rPr>
  </w:style>
  <w:style w:type="paragraph" w:styleId="11">
    <w:name w:val="Normal (Web)"/>
    <w:basedOn w:val="1"/>
    <w:unhideWhenUsed/>
    <w:qFormat/>
    <w:uiPriority w:val="0"/>
    <w:pPr>
      <w:spacing w:before="100" w:beforeAutospacing="1" w:after="100" w:afterAutospacing="1"/>
      <w:ind w:right="238"/>
      <w:jc w:val="left"/>
    </w:pPr>
    <w:rPr>
      <w:b/>
      <w:kern w:val="0"/>
      <w:sz w:val="24"/>
      <w:szCs w:val="20"/>
    </w:rPr>
  </w:style>
  <w:style w:type="paragraph" w:styleId="12">
    <w:name w:val="Body Text First Indent"/>
    <w:basedOn w:val="4"/>
    <w:unhideWhenUsed/>
    <w:qFormat/>
    <w:uiPriority w:val="99"/>
    <w:pPr>
      <w:ind w:firstLine="420" w:firstLineChars="100"/>
    </w:pPr>
    <w:rPr>
      <w:rFonts w:ascii="Calibri" w:hAnsi="Calibri" w:eastAsia="宋体" w:cs="Times New Roman"/>
      <w:kern w:val="0"/>
      <w:sz w:val="20"/>
      <w:szCs w:val="20"/>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rPr>
  </w:style>
  <w:style w:type="character" w:styleId="17">
    <w:name w:val="page number"/>
    <w:qFormat/>
    <w:uiPriority w:val="0"/>
  </w:style>
  <w:style w:type="character" w:customStyle="1" w:styleId="18">
    <w:name w:val="页脚 Char"/>
    <w:link w:val="8"/>
    <w:qFormat/>
    <w:uiPriority w:val="0"/>
    <w:rPr>
      <w:rFonts w:eastAsia="宋体"/>
      <w:kern w:val="2"/>
      <w:sz w:val="18"/>
      <w:szCs w:val="18"/>
      <w:lang w:val="en-US" w:eastAsia="zh-CN" w:bidi="ar-SA"/>
    </w:rPr>
  </w:style>
  <w:style w:type="character" w:customStyle="1" w:styleId="19">
    <w:name w:val="页眉 Char"/>
    <w:link w:val="9"/>
    <w:qFormat/>
    <w:uiPriority w:val="0"/>
    <w:rPr>
      <w:rFonts w:ascii="Calibri" w:hAnsi="Calibri" w:eastAsia="宋体"/>
      <w:kern w:val="2"/>
      <w:sz w:val="18"/>
      <w:szCs w:val="18"/>
      <w:lang w:val="en-US" w:eastAsia="zh-CN" w:bidi="ar-SA"/>
    </w:rPr>
  </w:style>
  <w:style w:type="paragraph" w:customStyle="1" w:styleId="20">
    <w:name w:val="Char Char Char Char Char Char Char"/>
    <w:basedOn w:val="1"/>
    <w:qFormat/>
    <w:uiPriority w:val="0"/>
    <w:rPr>
      <w:rFonts w:ascii="Tahoma" w:hAnsi="Tahoma"/>
      <w:sz w:val="24"/>
      <w:szCs w:val="20"/>
    </w:rPr>
  </w:style>
  <w:style w:type="paragraph" w:customStyle="1" w:styleId="21">
    <w:name w:val="Char1 Char Char Char"/>
    <w:basedOn w:val="1"/>
    <w:qFormat/>
    <w:uiPriority w:val="0"/>
    <w:pPr>
      <w:widowControl/>
      <w:spacing w:after="160" w:line="240" w:lineRule="exact"/>
      <w:jc w:val="left"/>
    </w:pPr>
    <w:rPr>
      <w:szCs w:val="20"/>
    </w:rPr>
  </w:style>
  <w:style w:type="paragraph" w:customStyle="1" w:styleId="22">
    <w:name w:val="Char"/>
    <w:basedOn w:val="1"/>
    <w:qFormat/>
    <w:uiPriority w:val="0"/>
    <w:rPr>
      <w:rFonts w:ascii="Tahoma" w:hAnsi="Tahoma"/>
      <w:sz w:val="24"/>
      <w:szCs w:val="20"/>
    </w:rPr>
  </w:style>
  <w:style w:type="paragraph" w:customStyle="1" w:styleId="23">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收入决算</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财政拨款收入21378.83万元</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1</c:v>
                </c:pt>
                <c:pt idx="1">
                  <c:v>0</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416358c-a99e-4f88-85c1-4631eb86de2b}"/>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rPr altLang="zh-CN"/>
              <a:t>支出决算</a:t>
            </a:r>
            <a:endParaRPr altLang="zh-CN"/>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a:ln w="15875">
              <a:solidFill>
                <a:schemeClr val="bg1"/>
              </a:solidFill>
            </a:ln>
            <a:effectLst>
              <a:outerShdw blurRad="50800" dist="38100" dir="2700000" algn="tl" rotWithShape="0">
                <a:prstClr val="black">
                  <a:alpha val="40000"/>
                </a:prstClr>
              </a:outerShdw>
            </a:effectLst>
            <a:sp3d contourW="15875"/>
          </c:spPr>
          <c:explosion val="0"/>
          <c:dPt>
            <c:idx val="0"/>
            <c:bubble3D val="0"/>
            <c:spPr>
              <a:gradFill>
                <a:gsLst>
                  <a:gs pos="0">
                    <a:schemeClr val="accent6">
                      <a:lumMod val="60000"/>
                      <a:lumOff val="40000"/>
                    </a:schemeClr>
                  </a:gs>
                  <a:gs pos="83000">
                    <a:schemeClr val="accent6"/>
                  </a:gs>
                </a:gsLst>
                <a:lin ang="2700000"/>
              </a:gradFill>
              <a:ln w="15875">
                <a:solidFill>
                  <a:schemeClr val="bg1"/>
                </a:solidFill>
              </a:ln>
              <a:effectLst>
                <a:outerShdw blurRad="50800" dist="38100" dir="2700000" algn="tl" rotWithShape="0">
                  <a:schemeClr val="accent6">
                    <a:lumMod val="50000"/>
                    <a:alpha val="40000"/>
                  </a:schemeClr>
                </a:outerShdw>
              </a:effectLst>
              <a:sp3d contourW="15875"/>
            </c:spPr>
          </c:dPt>
          <c:dPt>
            <c:idx val="1"/>
            <c:bubble3D val="0"/>
            <c:spPr>
              <a:gradFill>
                <a:gsLst>
                  <a:gs pos="0">
                    <a:schemeClr val="accent3">
                      <a:lumMod val="60000"/>
                      <a:lumOff val="40000"/>
                    </a:schemeClr>
                  </a:gs>
                  <a:gs pos="83000">
                    <a:schemeClr val="accent3"/>
                  </a:gs>
                </a:gsLst>
                <a:lin ang="2700000"/>
              </a:gradFill>
              <a:ln w="15875">
                <a:solidFill>
                  <a:schemeClr val="bg1"/>
                </a:solidFill>
              </a:ln>
              <a:effectLst>
                <a:outerShdw blurRad="50800" dist="38100" dir="2700000" algn="tl" rotWithShape="0">
                  <a:schemeClr val="accent2">
                    <a:lumMod val="50000"/>
                    <a:alpha val="40000"/>
                  </a:schemeClr>
                </a:outerShdw>
              </a:effectLst>
              <a:sp3d contourW="15875"/>
            </c:spPr>
          </c:dPt>
          <c:dPt>
            <c:idx val="2"/>
            <c:bubble3D val="0"/>
            <c:spPr>
              <a:gradFill>
                <a:gsLst>
                  <a:gs pos="0">
                    <a:schemeClr val="accent5">
                      <a:lumMod val="60000"/>
                      <a:lumOff val="40000"/>
                    </a:schemeClr>
                  </a:gs>
                  <a:gs pos="83000">
                    <a:schemeClr val="accent5"/>
                  </a:gs>
                </a:gsLst>
                <a:lin ang="2700000"/>
              </a:gradFill>
              <a:ln w="19050">
                <a:solidFill>
                  <a:schemeClr val="bg1"/>
                </a:solidFill>
              </a:ln>
              <a:effectLst>
                <a:outerShdw blurRad="50800" dist="38100" dir="2700000" algn="tl" rotWithShape="0">
                  <a:schemeClr val="accent5">
                    <a:lumMod val="50000"/>
                    <a:alpha val="40000"/>
                  </a:schemeClr>
                </a:outerShdw>
              </a:effectLst>
              <a:sp3d contourW="19050"/>
            </c:spPr>
          </c:dPt>
          <c:dPt>
            <c:idx val="3"/>
            <c:bubble3D val="0"/>
            <c:spPr>
              <a:solidFill>
                <a:schemeClr val="accent4"/>
              </a:solidFill>
              <a:ln w="15875">
                <a:solidFill>
                  <a:schemeClr val="bg1"/>
                </a:solidFill>
              </a:ln>
              <a:effectLst>
                <a:outerShdw blurRad="50800" dist="38100" dir="2700000" algn="tl" rotWithShape="0">
                  <a:prstClr val="black">
                    <a:alpha val="40000"/>
                  </a:prstClr>
                </a:outerShdw>
              </a:effectLst>
              <a:sp3d contourW="15875"/>
            </c:spPr>
          </c:dPt>
          <c:dPt>
            <c:idx val="4"/>
            <c:bubble3D val="0"/>
            <c:spPr>
              <a:solidFill>
                <a:schemeClr val="accent5"/>
              </a:solidFill>
              <a:ln w="15875">
                <a:solidFill>
                  <a:schemeClr val="bg1"/>
                </a:solidFill>
              </a:ln>
              <a:effectLst>
                <a:outerShdw blurRad="50800" dist="38100" dir="2700000" algn="tl" rotWithShape="0">
                  <a:prstClr val="black">
                    <a:alpha val="40000"/>
                  </a:prstClr>
                </a:outerShdw>
              </a:effectLst>
              <a:sp3d contourW="15875"/>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effectLst/>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基本支出1058.58万元</c:v>
                </c:pt>
                <c:pt idx="1">
                  <c:v>项目支出20632.76万元</c:v>
                </c:pt>
                <c:pt idx="2">
                  <c:v>上缴上级支出0万元</c:v>
                </c:pt>
                <c:pt idx="3">
                  <c:v>经营支出0万元</c:v>
                </c:pt>
                <c:pt idx="4">
                  <c:v>对附属单位补助支出0万元</c:v>
                </c:pt>
              </c:strCache>
            </c:strRef>
          </c:cat>
          <c:val>
            <c:numRef>
              <c:f>Sheet1!$B$2:$B$6</c:f>
              <c:numCache>
                <c:formatCode>General</c:formatCode>
                <c:ptCount val="5"/>
                <c:pt idx="0">
                  <c:v>4.88</c:v>
                </c:pt>
                <c:pt idx="1">
                  <c:v>95.11</c:v>
                </c:pt>
                <c:pt idx="2">
                  <c:v>0</c:v>
                </c:pt>
                <c:pt idx="3">
                  <c:v>0</c:v>
                </c:pt>
                <c:pt idx="4">
                  <c:v>0</c:v>
                </c:pt>
              </c:numCache>
            </c:numRef>
          </c:val>
        </c:ser>
        <c:dLbls>
          <c:showLegendKey val="0"/>
          <c:showVal val="1"/>
          <c:showCatName val="0"/>
          <c:showSerName val="0"/>
          <c:showPercent val="0"/>
          <c:showBubbleSize val="0"/>
          <c:showLeaderLines val="1"/>
        </c:dLbls>
        <c:firstSliceAng val="36"/>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extLst>
      <c:ext uri="{0b15fc19-7d7d-44ad-8c2d-2c3a37ce22c3}">
        <chartProps xmlns="https://web.wps.cn/et/2018/main" chartId="{15bbb360-e1d4-4c39-9264-1eebc445d587}"/>
      </c:ext>
    </c:extLst>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8">
    <a:dk1>
      <a:srgbClr val="000000"/>
    </a:dk1>
    <a:lt1>
      <a:srgbClr val="FFFFFF"/>
    </a:lt1>
    <a:dk2>
      <a:srgbClr val="372824"/>
    </a:dk2>
    <a:lt2>
      <a:srgbClr val="FFFFFF"/>
    </a:lt2>
    <a:accent1>
      <a:srgbClr val="FFE84B"/>
    </a:accent1>
    <a:accent2>
      <a:srgbClr val="FFC529"/>
    </a:accent2>
    <a:accent3>
      <a:srgbClr val="FF9F15"/>
    </a:accent3>
    <a:accent4>
      <a:srgbClr val="FA7C00"/>
    </a:accent4>
    <a:accent5>
      <a:srgbClr val="FC6500"/>
    </a:accent5>
    <a:accent6>
      <a:srgbClr val="BE4828"/>
    </a:accent6>
    <a:hlink>
      <a:srgbClr val="F46B1C"/>
    </a:hlink>
    <a:folHlink>
      <a:srgbClr val="C2361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32</Pages>
  <Words>12445</Words>
  <Characters>13538</Characters>
  <Lines>44</Lines>
  <Paragraphs>12</Paragraphs>
  <TotalTime>2</TotalTime>
  <ScaleCrop>false</ScaleCrop>
  <LinksUpToDate>false</LinksUpToDate>
  <CharactersWithSpaces>13614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豌豆妈妈</cp:lastModifiedBy>
  <cp:lastPrinted>2020-08-07T11:39:00Z</cp:lastPrinted>
  <dcterms:modified xsi:type="dcterms:W3CDTF">2025-03-25T08:04:01Z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C53E0049DD7D4F56A956C4A3BA3D12CC_13</vt:lpwstr>
  </property>
  <property fmtid="{D5CDD505-2E9C-101B-9397-08002B2CF9AE}" pid="4" name="KSOTemplateDocerSaveRecord">
    <vt:lpwstr>eyJoZGlkIjoiMDY5ODM0MDc3Mzg2Yzc0NzVhYzZmNzM5NDMwZTA1NmQiLCJ1c2VySWQiOiIzNDgxNTY0MDcifQ==</vt:lpwstr>
  </property>
</Properties>
</file>