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761"/>
        <w:gridCol w:w="950"/>
        <w:gridCol w:w="1062"/>
        <w:gridCol w:w="851"/>
        <w:gridCol w:w="263"/>
        <w:gridCol w:w="697"/>
        <w:gridCol w:w="1243"/>
        <w:gridCol w:w="817"/>
        <w:gridCol w:w="171"/>
        <w:gridCol w:w="512"/>
        <w:gridCol w:w="324"/>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89"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2023年通州区社会体育指导员培训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38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通州区体育局</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5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通州区社会体育事务中心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38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尚依侬</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5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18519160798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33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5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7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58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在2025年实现十四五规划中社会体育指导员数量达到总人口千分之三点四指标。</w:t>
            </w:r>
          </w:p>
        </w:tc>
        <w:tc>
          <w:tcPr>
            <w:tcW w:w="37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rPr>
              <w:t>举办1次冰雪社会体育指导员培训班，2000人次参加培训班，共</w:t>
            </w:r>
            <w:r>
              <w:rPr>
                <w:rFonts w:hint="eastAsia" w:ascii="宋体" w:hAnsi="宋体" w:cs="宋体"/>
                <w:kern w:val="0"/>
                <w:sz w:val="20"/>
                <w:szCs w:val="20"/>
                <w:lang w:eastAsia="zh-CN"/>
              </w:rPr>
              <w:t>培训</w:t>
            </w:r>
            <w:r>
              <w:rPr>
                <w:rFonts w:hint="eastAsia" w:ascii="宋体" w:hAnsi="宋体" w:cs="宋体"/>
                <w:kern w:val="0"/>
                <w:sz w:val="20"/>
                <w:szCs w:val="20"/>
                <w:lang w:val="en-US" w:eastAsia="zh-CN"/>
              </w:rPr>
              <w:t>2002人</w:t>
            </w:r>
            <w:r>
              <w:rPr>
                <w:rFonts w:hint="eastAsia" w:ascii="宋体" w:hAnsi="宋体" w:cs="宋体"/>
                <w:kern w:val="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7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bidi="ar"/>
              </w:rPr>
              <w:t>活动参与率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eastAsia="宋体" w:cs="宋体"/>
                <w:i w:val="0"/>
                <w:iCs w:val="0"/>
                <w:color w:val="000000"/>
                <w:kern w:val="0"/>
                <w:sz w:val="18"/>
                <w:szCs w:val="18"/>
                <w:u w:val="none"/>
                <w:lang w:val="en-US" w:eastAsia="zh-CN" w:bidi="ar"/>
              </w:rPr>
              <w:t>活动覆盖率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bidi="ar"/>
              </w:rPr>
              <w:t>活动按期完成率</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举办社会体育指导员培训班</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59.86</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bidi="ar"/>
              </w:rPr>
              <w:t>提高</w:t>
            </w:r>
            <w:r>
              <w:rPr>
                <w:rFonts w:hint="eastAsia" w:ascii="宋体" w:hAnsi="宋体" w:cs="宋体"/>
                <w:i w:val="0"/>
                <w:iCs w:val="0"/>
                <w:color w:val="000000"/>
                <w:kern w:val="0"/>
                <w:sz w:val="18"/>
                <w:szCs w:val="18"/>
                <w:u w:val="none"/>
                <w:lang w:val="en-US" w:eastAsia="zh-CN" w:bidi="ar"/>
              </w:rPr>
              <w:t>健身知识</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有所增长</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9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i w:val="0"/>
                <w:iCs w:val="0"/>
                <w:color w:val="000000"/>
                <w:kern w:val="0"/>
                <w:sz w:val="18"/>
                <w:szCs w:val="18"/>
                <w:u w:val="none"/>
                <w:lang w:val="en-US" w:eastAsia="zh-CN" w:bidi="ar"/>
              </w:rPr>
              <w:t>活动参与者满意度</w:t>
            </w:r>
          </w:p>
        </w:tc>
        <w:tc>
          <w:tcPr>
            <w:tcW w:w="9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eastAsia="宋体" w:cs="宋体"/>
                <w:i w:val="0"/>
                <w:iCs w:val="0"/>
                <w:color w:val="000000"/>
                <w:kern w:val="0"/>
                <w:sz w:val="18"/>
                <w:szCs w:val="18"/>
                <w:u w:val="none"/>
                <w:lang w:val="en-US" w:eastAsia="zh-CN" w:bidi="ar"/>
              </w:rPr>
              <w:t>参与单位满意度</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6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9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2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exact"/>
          <w:jc w:val="center"/>
        </w:trPr>
        <w:tc>
          <w:tcPr>
            <w:tcW w:w="640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99.97</w:t>
            </w:r>
          </w:p>
        </w:tc>
        <w:tc>
          <w:tcPr>
            <w:tcW w:w="10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widowControl/>
        <w:wordWrap/>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widowControl/>
        <w:wordWrap/>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numPr>
          <w:ilvl w:val="0"/>
          <w:numId w:val="0"/>
        </w:numPr>
        <w:pBdr>
          <w:bottom w:val="single" w:color="FFFFFF" w:sz="4" w:space="17"/>
        </w:pBdr>
        <w:wordWrap/>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hint="eastAsia" w:ascii="仿宋_GB2312"/>
          <w:color w:val="auto"/>
        </w:rPr>
      </w:pPr>
      <w:r>
        <w:rPr>
          <w:rFonts w:hint="eastAsia" w:ascii="仿宋_GB2312"/>
          <w:color w:val="auto"/>
        </w:rPr>
        <w:t>（参考提纲）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全面贯彻落实党的二十大精神，持续巩固深化全民健身国家战略，助推“十四五”通州区体育工作稳步推进，全面落实《北京市全民健身条例》和《社会体育指导员管理办法》，加强科学健身指导，提高社会体育指导员健身指导水平，根据通州区社会体育事务中心全民健身工作计划，举办2023年通州区社会体育指导员培训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（一）项目组织情况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为确保活动顺利进行，成立领导小组：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长：邓小民  区体育局党组书记、局长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副组长：刘月刚  区体育局副局长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组  员：曹新月、王洪武、尚依侬、李宝栋、王昱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1.筹备阶段：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根据年初工作安排，经局党组研究决定后制定了活动总体方案，将培训报名通知下发各乡镇街道和各单项体育运动协会。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2.报名阶段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按照工作方案，确定授课教师及授课内容，确定授课地点及参与人数，报名2000人。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3.具体实施阶段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6月5日和6月7日，通州区各体育运动单项协会参与了本次的课程培训及考试。在7月5日和7月6日通州区的18个乡镇、街道参加了本次的课程培训及考试，张家湾镇、永乐店镇、杨庄街道和九棵树街道，作为今年的创城单位，分别在6月17日、6月20日、6月27日和7月28日参加了本次的可成培训及考试。本次活动预计参与培训报名的人数为2000人，最终实际参与人数共计2002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二、年度预算执行情况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在2023年在东方宾馆举办了冰雪社会体育指导员培训班。活动预算为60万元。实际支出59.86万元。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三、绩效目标情况及分析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完成冰雪社会体育指导员培训班，应支出金额59.86万元，实际支出金额59.86万元。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四、主要经验及做法、存在的问题及原因分析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在2025年实现十四五规划中社会体育指导员数量达到总人口千分之三点四指标，预计完成2000人，</w:t>
      </w:r>
      <w:r>
        <w:rPr>
          <w:rFonts w:hint="eastAsia" w:ascii="仿宋_GB2312"/>
          <w:color w:val="auto"/>
          <w:sz w:val="32"/>
          <w:szCs w:val="32"/>
          <w:lang w:eastAsia="zh-CN"/>
        </w:rPr>
        <w:t>实际</w:t>
      </w:r>
      <w:r>
        <w:rPr>
          <w:rFonts w:hint="eastAsia" w:ascii="仿宋_GB2312"/>
          <w:color w:val="auto"/>
          <w:sz w:val="32"/>
          <w:szCs w:val="32"/>
        </w:rPr>
        <w:t>完成2002人，达到指标数。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五、有关建议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无</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color w:val="auto"/>
          <w:sz w:val="32"/>
          <w:szCs w:val="32"/>
        </w:rPr>
      </w:pPr>
      <w:r>
        <w:rPr>
          <w:rFonts w:hint="eastAsia" w:ascii="仿宋_GB2312"/>
          <w:color w:val="auto"/>
          <w:sz w:val="32"/>
          <w:szCs w:val="32"/>
        </w:rPr>
        <w:t>六、其他需要说明的问题</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附件：《评分表》</w:t>
      </w:r>
      <w:r>
        <w:rPr>
          <w:rFonts w:hint="eastAsia" w:ascii="宋体" w:hAnsi="宋体" w:cs="宋体"/>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eastAsia" w:ascii="黑体" w:hAnsi="黑体" w:eastAsia="黑体" w:cs="Times New Roman"/>
          <w:color w:val="auto"/>
          <w:kern w:val="2"/>
          <w:sz w:val="32"/>
          <w:szCs w:val="32"/>
        </w:rPr>
      </w:pPr>
    </w:p>
    <w:p>
      <w:pPr>
        <w:widowControl/>
        <w:spacing w:line="360" w:lineRule="auto"/>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1-3-1</w:t>
      </w:r>
    </w:p>
    <w:p>
      <w:pPr>
        <w:widowControl/>
        <w:spacing w:line="360" w:lineRule="auto"/>
        <w:ind w:firstLine="0" w:firstLineChars="0"/>
        <w:jc w:val="center"/>
        <w:outlineLvl w:val="9"/>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自评项目汇总表</w:t>
      </w:r>
    </w:p>
    <w:p>
      <w:pPr>
        <w:widowControl/>
        <w:spacing w:line="360" w:lineRule="auto"/>
        <w:ind w:firstLine="0" w:firstLineChars="0"/>
        <w:jc w:val="left"/>
        <w:outlineLvl w:val="9"/>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部门名称：</w:t>
      </w:r>
    </w:p>
    <w:tbl>
      <w:tblPr>
        <w:tblStyle w:val="8"/>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412"/>
        <w:gridCol w:w="1404"/>
        <w:gridCol w:w="886"/>
        <w:gridCol w:w="850"/>
        <w:gridCol w:w="851"/>
        <w:gridCol w:w="845"/>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915" w:type="dxa"/>
            <w:vMerge w:val="restart"/>
            <w:vAlign w:val="top"/>
          </w:tcPr>
          <w:p>
            <w:pPr>
              <w:spacing w:line="300" w:lineRule="exact"/>
              <w:ind w:left="0" w:firstLine="0" w:firstLineChars="0"/>
              <w:jc w:val="center"/>
              <w:outlineLvl w:val="0"/>
              <w:rPr>
                <w:rFonts w:hint="eastAsia" w:ascii="宋体" w:hAnsi="宋体" w:eastAsia="宋体" w:cs="宋体"/>
                <w:color w:val="auto"/>
                <w:kern w:val="0"/>
                <w:sz w:val="15"/>
                <w:szCs w:val="16"/>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序号</w:t>
            </w:r>
          </w:p>
        </w:tc>
        <w:tc>
          <w:tcPr>
            <w:tcW w:w="1412" w:type="dxa"/>
            <w:vMerge w:val="restart"/>
            <w:vAlign w:val="top"/>
          </w:tcPr>
          <w:p>
            <w:pPr>
              <w:spacing w:line="300" w:lineRule="exact"/>
              <w:ind w:left="0" w:firstLine="0" w:firstLineChars="0"/>
              <w:jc w:val="both"/>
              <w:outlineLvl w:val="0"/>
              <w:rPr>
                <w:rFonts w:hint="eastAsia" w:ascii="宋体" w:hAnsi="宋体" w:eastAsia="宋体" w:cs="宋体"/>
                <w:color w:val="auto"/>
                <w:kern w:val="0"/>
                <w:sz w:val="22"/>
                <w:szCs w:val="24"/>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项目名称</w:t>
            </w:r>
          </w:p>
        </w:tc>
        <w:tc>
          <w:tcPr>
            <w:tcW w:w="1404" w:type="dxa"/>
            <w:vMerge w:val="restart"/>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项目金额(万元)</w:t>
            </w:r>
          </w:p>
        </w:tc>
        <w:tc>
          <w:tcPr>
            <w:tcW w:w="3432" w:type="dxa"/>
            <w:gridSpan w:val="4"/>
            <w:vAlign w:val="top"/>
          </w:tcPr>
          <w:p>
            <w:pPr>
              <w:spacing w:line="36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评价结果</w:t>
            </w:r>
          </w:p>
        </w:tc>
        <w:tc>
          <w:tcPr>
            <w:tcW w:w="1917" w:type="dxa"/>
            <w:vMerge w:val="restart"/>
            <w:vAlign w:val="top"/>
          </w:tcPr>
          <w:p>
            <w:pPr>
              <w:spacing w:line="320" w:lineRule="exact"/>
              <w:ind w:firstLine="660" w:firstLineChars="300"/>
              <w:jc w:val="both"/>
              <w:outlineLvl w:val="0"/>
              <w:rPr>
                <w:rFonts w:hint="eastAsia" w:ascii="宋体" w:hAnsi="宋体" w:eastAsia="宋体" w:cs="宋体"/>
                <w:color w:val="auto"/>
                <w:kern w:val="0"/>
                <w:sz w:val="22"/>
                <w:szCs w:val="24"/>
              </w:rPr>
            </w:pPr>
          </w:p>
          <w:p>
            <w:pPr>
              <w:spacing w:line="320" w:lineRule="exact"/>
              <w:ind w:firstLine="660" w:firstLineChars="300"/>
              <w:jc w:val="both"/>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5"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12"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优</w:t>
            </w:r>
          </w:p>
        </w:tc>
        <w:tc>
          <w:tcPr>
            <w:tcW w:w="850"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良</w:t>
            </w:r>
          </w:p>
        </w:tc>
        <w:tc>
          <w:tcPr>
            <w:tcW w:w="851" w:type="dxa"/>
            <w:vAlign w:val="top"/>
          </w:tcPr>
          <w:p>
            <w:pPr>
              <w:spacing w:line="400" w:lineRule="exact"/>
              <w:ind w:firstLine="0" w:firstLineChars="0"/>
              <w:jc w:val="center"/>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中</w:t>
            </w:r>
          </w:p>
        </w:tc>
        <w:tc>
          <w:tcPr>
            <w:tcW w:w="845" w:type="dxa"/>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差</w:t>
            </w:r>
          </w:p>
        </w:tc>
        <w:tc>
          <w:tcPr>
            <w:tcW w:w="1917" w:type="dxa"/>
            <w:vMerge w:val="continue"/>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1</w:t>
            </w:r>
          </w:p>
        </w:tc>
        <w:tc>
          <w:tcPr>
            <w:tcW w:w="1412"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240" w:lineRule="auto"/>
              <w:jc w:val="both"/>
              <w:outlineLvl w:val="0"/>
              <w:rPr>
                <w:rFonts w:hint="default" w:ascii="宋体" w:hAnsi="宋体" w:eastAsia="宋体" w:cs="宋体"/>
                <w:color w:val="auto"/>
                <w:kern w:val="0"/>
                <w:sz w:val="2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2</w:t>
            </w:r>
          </w:p>
        </w:tc>
        <w:tc>
          <w:tcPr>
            <w:tcW w:w="1412"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w:t>
            </w:r>
          </w:p>
        </w:tc>
        <w:tc>
          <w:tcPr>
            <w:tcW w:w="1412" w:type="dxa"/>
            <w:vAlign w:val="top"/>
          </w:tcPr>
          <w:p>
            <w:pPr>
              <w:spacing w:line="600" w:lineRule="exact"/>
              <w:ind w:firstLine="440" w:firstLineChars="200"/>
              <w:jc w:val="center"/>
              <w:outlineLvl w:val="0"/>
              <w:rPr>
                <w:rFonts w:hint="eastAsia" w:ascii="宋体" w:hAnsi="宋体" w:eastAsia="宋体" w:cs="宋体"/>
                <w:color w:val="auto"/>
                <w:kern w:val="0"/>
                <w:sz w:val="22"/>
                <w:szCs w:val="24"/>
              </w:rPr>
            </w:pPr>
          </w:p>
        </w:tc>
        <w:tc>
          <w:tcPr>
            <w:tcW w:w="1404"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pPr>
              <w:spacing w:line="600" w:lineRule="exact"/>
              <w:ind w:firstLine="440" w:firstLineChars="200"/>
              <w:outlineLvl w:val="0"/>
              <w:rPr>
                <w:rFonts w:hint="eastAsia" w:ascii="宋体" w:hAnsi="宋体" w:eastAsia="宋体" w:cs="宋体"/>
                <w:color w:val="auto"/>
                <w:kern w:val="0"/>
                <w:sz w:val="22"/>
                <w:szCs w:val="24"/>
              </w:rPr>
            </w:pPr>
          </w:p>
        </w:tc>
      </w:tr>
    </w:tbl>
    <w:p>
      <w:pPr>
        <w:spacing w:line="600" w:lineRule="exact"/>
        <w:ind w:firstLine="0" w:firstLineChars="0"/>
        <w:outlineLvl w:val="0"/>
        <w:rPr>
          <w:rFonts w:hint="eastAsia" w:ascii="宋体" w:hAnsi="宋体" w:eastAsia="宋体" w:cs="宋体"/>
          <w:b w:val="0"/>
          <w:color w:val="auto"/>
          <w:kern w:val="0"/>
          <w:sz w:val="22"/>
          <w:szCs w:val="24"/>
        </w:rPr>
      </w:pPr>
    </w:p>
    <w:p>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注：</w:t>
      </w: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绩效</w:t>
      </w:r>
      <w:r>
        <w:rPr>
          <w:rFonts w:hint="eastAsia" w:ascii="宋体" w:hAnsi="宋体" w:eastAsia="宋体" w:cs="宋体"/>
          <w:color w:val="auto"/>
          <w:kern w:val="0"/>
          <w:sz w:val="22"/>
          <w:szCs w:val="24"/>
          <w:lang w:val="en-US" w:eastAsia="zh-CN"/>
        </w:rPr>
        <w:t>自评</w:t>
      </w:r>
      <w:r>
        <w:rPr>
          <w:rFonts w:hint="eastAsia" w:ascii="宋体" w:hAnsi="宋体" w:eastAsia="宋体" w:cs="宋体"/>
          <w:color w:val="auto"/>
          <w:kern w:val="0"/>
          <w:sz w:val="22"/>
          <w:szCs w:val="24"/>
        </w:rPr>
        <w:t>实施百分制和四级分类。四个级别分别是：优（90（含）分-100分）、良（</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（含）分-90分）、</w:t>
      </w:r>
      <w:r>
        <w:rPr>
          <w:rFonts w:hint="eastAsia" w:ascii="宋体" w:hAnsi="宋体" w:cs="宋体"/>
          <w:color w:val="auto"/>
          <w:kern w:val="0"/>
          <w:sz w:val="22"/>
          <w:szCs w:val="24"/>
          <w:lang w:eastAsia="zh-CN"/>
        </w:rPr>
        <w:t>中</w:t>
      </w:r>
      <w:r>
        <w:rPr>
          <w:rFonts w:hint="eastAsia" w:ascii="宋体" w:hAnsi="宋体" w:eastAsia="宋体" w:cs="宋体"/>
          <w:color w:val="auto"/>
          <w:kern w:val="0"/>
          <w:sz w:val="22"/>
          <w:szCs w:val="24"/>
        </w:rPr>
        <w:t>（60（含）分-</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分）、差（60（不含）分以下）。</w:t>
      </w:r>
    </w:p>
    <w:p>
      <w:pPr>
        <w:pStyle w:val="3"/>
        <w:widowControl w:val="0"/>
        <w:wordWrap/>
        <w:adjustRightInd/>
        <w:snapToGrid/>
        <w:spacing w:line="240" w:lineRule="auto"/>
        <w:textAlignment w:val="auto"/>
        <w:rPr>
          <w:rFonts w:hint="default" w:ascii="宋体" w:hAnsi="宋体" w:eastAsia="宋体" w:cs="宋体"/>
          <w:color w:val="auto"/>
          <w:kern w:val="0"/>
          <w:sz w:val="22"/>
          <w:szCs w:val="24"/>
          <w:lang w:val="en-US" w:eastAsia="zh-CN" w:bidi="ar-SA"/>
        </w:rPr>
      </w:pPr>
      <w:r>
        <w:rPr>
          <w:rFonts w:hint="eastAsia" w:ascii="宋体" w:hAnsi="宋体" w:eastAsia="宋体" w:cs="宋体"/>
          <w:color w:val="auto"/>
          <w:kern w:val="0"/>
          <w:sz w:val="22"/>
          <w:szCs w:val="24"/>
          <w:lang w:val="en-US" w:eastAsia="zh-CN" w:bidi="ar-SA"/>
        </w:rPr>
        <w:t xml:space="preserve">    2.部门重点自评项目请在备注栏填写“部门重点自评”。</w:t>
      </w:r>
    </w:p>
    <w:p>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
      <w:pPr>
        <w:pStyle w:val="3"/>
      </w:pPr>
    </w:p>
    <w:p>
      <w:pPr>
        <w:pStyle w:val="3"/>
      </w:pPr>
    </w:p>
    <w:p>
      <w:pPr>
        <w:pStyle w:val="3"/>
      </w:pPr>
    </w:p>
    <w:p>
      <w:pPr>
        <w:pStyle w:val="3"/>
      </w:pPr>
    </w:p>
    <w:p>
      <w:pPr>
        <w:pStyle w:val="3"/>
      </w:pPr>
    </w:p>
    <w:p>
      <w:pPr>
        <w:pStyle w:val="3"/>
      </w:pPr>
    </w:p>
    <w:p>
      <w:pPr>
        <w:pStyle w:val="3"/>
      </w:pPr>
    </w:p>
    <w:p>
      <w:pPr>
        <w:widowControl/>
        <w:spacing w:line="560" w:lineRule="exact"/>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1-3-2</w:t>
      </w:r>
    </w:p>
    <w:p>
      <w:pPr>
        <w:spacing w:line="600" w:lineRule="exact"/>
        <w:ind w:firstLine="0" w:firstLineChars="0"/>
        <w:outlineLvl w:val="0"/>
        <w:rPr>
          <w:rFonts w:hint="eastAsia" w:ascii="宋体" w:hAnsi="宋体" w:eastAsia="宋体" w:cs="宋体"/>
          <w:color w:val="auto"/>
          <w:kern w:val="0"/>
          <w:sz w:val="22"/>
        </w:rPr>
      </w:pPr>
    </w:p>
    <w:p>
      <w:pPr>
        <w:spacing w:line="560" w:lineRule="exact"/>
        <w:ind w:firstLine="0" w:firstLineChars="0"/>
        <w:jc w:val="center"/>
        <w:rPr>
          <w:rFonts w:hint="eastAsia" w:ascii="方正小标宋简体" w:eastAsia="方正小标宋简体"/>
          <w:b w:val="0"/>
          <w:sz w:val="36"/>
          <w:szCs w:val="36"/>
          <w:lang w:val="en-US" w:eastAsia="zh-CN"/>
        </w:rPr>
      </w:pPr>
      <w:r>
        <w:rPr>
          <w:rFonts w:hint="eastAsia" w:ascii="方正小标宋简体" w:eastAsia="方正小标宋简体"/>
          <w:b w:val="0"/>
          <w:sz w:val="36"/>
          <w:szCs w:val="36"/>
        </w:rPr>
        <w:t>预算绩效</w:t>
      </w:r>
      <w:r>
        <w:rPr>
          <w:rFonts w:hint="eastAsia" w:ascii="方正小标宋简体" w:eastAsia="方正小标宋简体"/>
          <w:b w:val="0"/>
          <w:sz w:val="36"/>
          <w:szCs w:val="36"/>
          <w:lang w:eastAsia="zh-CN"/>
        </w:rPr>
        <w:t>管理</w:t>
      </w:r>
      <w:r>
        <w:rPr>
          <w:rFonts w:hint="eastAsia" w:ascii="方正小标宋简体" w:eastAsia="方正小标宋简体"/>
          <w:b w:val="0"/>
          <w:sz w:val="36"/>
          <w:szCs w:val="36"/>
        </w:rPr>
        <w:t>工作开展情况</w:t>
      </w:r>
      <w:r>
        <w:rPr>
          <w:rFonts w:hint="eastAsia" w:ascii="方正小标宋简体" w:eastAsia="方正小标宋简体"/>
          <w:b w:val="0"/>
          <w:sz w:val="36"/>
          <w:szCs w:val="36"/>
          <w:lang w:val="en-US" w:eastAsia="zh-CN"/>
        </w:rPr>
        <w:t>报告</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（参考模板）</w:t>
      </w:r>
    </w:p>
    <w:p>
      <w:pPr>
        <w:ind w:firstLine="643" w:firstLineChars="200"/>
        <w:jc w:val="center"/>
        <w:rPr>
          <w:rFonts w:ascii="仿宋_GB2312" w:eastAsia="仿宋_GB2312"/>
          <w:b/>
          <w:sz w:val="32"/>
          <w:szCs w:val="32"/>
        </w:rPr>
      </w:pPr>
    </w:p>
    <w:p>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一、基本情况</w:t>
      </w:r>
    </w:p>
    <w:p>
      <w:pPr>
        <w:spacing w:line="600" w:lineRule="exact"/>
        <w:ind w:firstLine="641"/>
        <w:rPr>
          <w:rFonts w:hint="eastAsia" w:ascii="仿宋_GB2312" w:hAnsi="Calibri" w:eastAsia="仿宋_GB2312" w:cs="黑体"/>
          <w:sz w:val="32"/>
          <w:szCs w:val="32"/>
        </w:rPr>
      </w:pPr>
      <w:r>
        <w:rPr>
          <w:rFonts w:hint="eastAsia" w:ascii="仿宋_GB2312" w:hAnsi="Calibri" w:eastAsia="仿宋_GB2312" w:cs="黑体"/>
          <w:sz w:val="32"/>
          <w:szCs w:val="32"/>
        </w:rPr>
        <w:t>20××年，××（部门名称）对20××年度部门项目支出实施了绩效评价，</w:t>
      </w:r>
      <w:r>
        <w:rPr>
          <w:rFonts w:hint="eastAsia" w:ascii="仿宋_GB2312" w:eastAsia="仿宋_GB2312" w:cs="黑体"/>
          <w:sz w:val="32"/>
          <w:szCs w:val="32"/>
          <w:lang w:eastAsia="zh-CN"/>
        </w:rPr>
        <w:t>单位自评项目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，部门重点自评项目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w:t>
      </w:r>
      <w:r>
        <w:rPr>
          <w:rFonts w:hint="eastAsia" w:ascii="仿宋_GB2312" w:hAnsi="Calibri" w:eastAsia="仿宋_GB2312" w:cs="黑体"/>
          <w:sz w:val="32"/>
          <w:szCs w:val="32"/>
        </w:rPr>
        <w:t>评价项目</w:t>
      </w:r>
      <w:r>
        <w:rPr>
          <w:rFonts w:hint="eastAsia" w:ascii="仿宋_GB2312" w:eastAsia="仿宋_GB2312" w:cs="黑体"/>
          <w:sz w:val="32"/>
          <w:szCs w:val="32"/>
          <w:lang w:eastAsia="zh-CN"/>
        </w:rPr>
        <w:t>共计</w:t>
      </w:r>
      <w:r>
        <w:rPr>
          <w:rFonts w:hint="eastAsia" w:ascii="仿宋_GB2312" w:hAnsi="Calibri" w:eastAsia="仿宋_GB2312" w:cs="黑体"/>
          <w:sz w:val="32"/>
          <w:szCs w:val="32"/>
        </w:rPr>
        <w:t>××个，占部门项目总数的××%，涉及金额××万元。其中，评价得分在90分（含90分）以上的××个、评价得分在</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-90分（含</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分）的××个、评价得分在60-</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 xml:space="preserve">分（含60分）的××个、评价得分在60分以下的××个。 </w:t>
      </w:r>
    </w:p>
    <w:p>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二、主要经验或存在问题</w:t>
      </w:r>
    </w:p>
    <w:p>
      <w:pPr>
        <w:spacing w:line="600" w:lineRule="exact"/>
        <w:ind w:firstLine="640" w:firstLineChars="200"/>
      </w:pPr>
      <w:r>
        <w:rPr>
          <w:rFonts w:hint="eastAsia" w:ascii="黑体" w:hAnsi="黑体" w:eastAsia="黑体" w:cs="黑体"/>
          <w:color w:val="auto"/>
          <w:sz w:val="32"/>
          <w:szCs w:val="32"/>
        </w:rPr>
        <w:t>三、下一步工作措施或建议</w:t>
      </w:r>
    </w:p>
    <w:p/>
    <w:p/>
    <w:p>
      <w:pPr>
        <w:pStyle w:val="3"/>
        <w:rPr>
          <w:rFonts w:hint="eastAsia"/>
          <w:lang w:val="en-US"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TljNDc4YjAxZjM5MWIxZDg5N2I2N2Y4Zjk4MWFhM2QifQ=="/>
  </w:docVars>
  <w:rsids>
    <w:rsidRoot w:val="5EDB0B63"/>
    <w:rsid w:val="01534994"/>
    <w:rsid w:val="05104339"/>
    <w:rsid w:val="06935222"/>
    <w:rsid w:val="078A03D3"/>
    <w:rsid w:val="090D12BC"/>
    <w:rsid w:val="0C8165E0"/>
    <w:rsid w:val="0D1150F2"/>
    <w:rsid w:val="122B4561"/>
    <w:rsid w:val="15BD5E17"/>
    <w:rsid w:val="19A52E4A"/>
    <w:rsid w:val="1B980CA0"/>
    <w:rsid w:val="1C3D55BC"/>
    <w:rsid w:val="1C6B3FC2"/>
    <w:rsid w:val="1DD26069"/>
    <w:rsid w:val="1EA03416"/>
    <w:rsid w:val="1FD06747"/>
    <w:rsid w:val="255816B9"/>
    <w:rsid w:val="25D961D0"/>
    <w:rsid w:val="26F62AC9"/>
    <w:rsid w:val="28445F24"/>
    <w:rsid w:val="2CBF8107"/>
    <w:rsid w:val="2CE636B8"/>
    <w:rsid w:val="2DFA155F"/>
    <w:rsid w:val="2EB07E70"/>
    <w:rsid w:val="2EB70209"/>
    <w:rsid w:val="30FF2B40"/>
    <w:rsid w:val="35D339CB"/>
    <w:rsid w:val="36E96615"/>
    <w:rsid w:val="37677539"/>
    <w:rsid w:val="38D96215"/>
    <w:rsid w:val="3A52627F"/>
    <w:rsid w:val="3A7F0552"/>
    <w:rsid w:val="3FF79B31"/>
    <w:rsid w:val="4015635A"/>
    <w:rsid w:val="424961B9"/>
    <w:rsid w:val="43122A4F"/>
    <w:rsid w:val="433E3844"/>
    <w:rsid w:val="4B7720CB"/>
    <w:rsid w:val="4BA31FDB"/>
    <w:rsid w:val="4BFF9656"/>
    <w:rsid w:val="4E816CDB"/>
    <w:rsid w:val="4EF02A66"/>
    <w:rsid w:val="52102850"/>
    <w:rsid w:val="537B9DA3"/>
    <w:rsid w:val="55517407"/>
    <w:rsid w:val="56694C24"/>
    <w:rsid w:val="5A166E71"/>
    <w:rsid w:val="5A2F7BE3"/>
    <w:rsid w:val="5A474F5C"/>
    <w:rsid w:val="5DDF52D1"/>
    <w:rsid w:val="5EDB0B63"/>
    <w:rsid w:val="5F9F33EB"/>
    <w:rsid w:val="6037369D"/>
    <w:rsid w:val="61F817B0"/>
    <w:rsid w:val="69AC0C58"/>
    <w:rsid w:val="6A3B1398"/>
    <w:rsid w:val="6AC7B1A3"/>
    <w:rsid w:val="6B396C74"/>
    <w:rsid w:val="6B77FB6F"/>
    <w:rsid w:val="6EE9A86C"/>
    <w:rsid w:val="6FD43E60"/>
    <w:rsid w:val="763E871D"/>
    <w:rsid w:val="769A4403"/>
    <w:rsid w:val="79EBFCAD"/>
    <w:rsid w:val="7B1F26C5"/>
    <w:rsid w:val="7B57151E"/>
    <w:rsid w:val="7BBD97BD"/>
    <w:rsid w:val="7BFE4A5B"/>
    <w:rsid w:val="7BFFEC6B"/>
    <w:rsid w:val="7CBD099E"/>
    <w:rsid w:val="7D2D1C58"/>
    <w:rsid w:val="7DBF4FBB"/>
    <w:rsid w:val="7DCD9330"/>
    <w:rsid w:val="7DD758A1"/>
    <w:rsid w:val="7E562264"/>
    <w:rsid w:val="7E5EB5A1"/>
    <w:rsid w:val="7EC2199F"/>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10">
    <w:name w:val="Hyperlink"/>
    <w:basedOn w:val="9"/>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9"/>
    <w:qFormat/>
    <w:uiPriority w:val="0"/>
    <w:rPr>
      <w:rFonts w:hint="eastAsia" w:ascii="宋体" w:hAnsi="宋体" w:eastAsia="宋体" w:cs="宋体"/>
      <w:color w:val="000000"/>
      <w:sz w:val="20"/>
      <w:szCs w:val="20"/>
      <w:u w:val="none"/>
    </w:r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61"/>
    <w:basedOn w:val="9"/>
    <w:qFormat/>
    <w:uiPriority w:val="0"/>
    <w:rPr>
      <w:rFonts w:hint="eastAsia" w:ascii="仿宋_GB2312" w:eastAsia="仿宋_GB2312" w:cs="仿宋_GB2312"/>
      <w:color w:val="000000"/>
      <w:sz w:val="24"/>
      <w:szCs w:val="24"/>
      <w:u w:val="none"/>
    </w:rPr>
  </w:style>
  <w:style w:type="character" w:customStyle="1" w:styleId="16">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2024-04-18T03:48:00Z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369447EB9E634915A5E53A06B85B53F2_12</vt:lpwstr>
  </property>
</Properties>
</file>