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236"/>
        <w:gridCol w:w="600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通州区二、三级裁判员等级培训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通州区社会体育事务中心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王洪武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80888125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9.9160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8"/>
              <w:tblW w:w="8841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732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57" w:hRule="exact"/>
                <w:jc w:val="center"/>
              </w:trPr>
              <w:tc>
                <w:tcPr>
                  <w:tcW w:w="373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240" w:lineRule="exact"/>
                    <w:ind w:firstLine="400"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提高提高我区各体育项目裁判员业务水平，提升我区赛事活动品质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产出指标</w:t>
            </w:r>
          </w:p>
          <w:p>
            <w:pPr>
              <w:pStyle w:val="2"/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培训人数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培训次数不低于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不低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大于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2023年1-12月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9.9160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lang w:val="en-US" w:eastAsia="zh-CN"/>
              </w:rPr>
            </w:pP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裁判员水平提升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裁判员水平提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裁判员水平提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持续提高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持续提高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受训人满意率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承办方满意率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99.8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widowControl/>
        <w:wordWrap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widowControl/>
        <w:wordWrap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numPr>
          <w:ilvl w:val="0"/>
          <w:numId w:val="0"/>
        </w:numPr>
        <w:pBdr>
          <w:bottom w:val="single" w:color="FFFFFF" w:sz="4" w:space="17"/>
        </w:pBdr>
        <w:wordWrap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3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>
      <w:pPr>
        <w:jc w:val="center"/>
        <w:rPr>
          <w:rFonts w:ascii="Arial" w:hAnsi="Arial" w:cs="Arial"/>
          <w:b/>
          <w:bCs/>
          <w:color w:val="auto"/>
          <w:sz w:val="44"/>
          <w:szCs w:val="44"/>
        </w:rPr>
      </w:pPr>
      <w:r>
        <w:rPr>
          <w:rFonts w:hint="eastAsia" w:ascii="宋体" w:hAnsi="宋体" w:cs="宋体"/>
          <w:b/>
          <w:bCs/>
          <w:kern w:val="0"/>
          <w:sz w:val="44"/>
          <w:szCs w:val="44"/>
        </w:rPr>
        <w:t>通州区二、三级裁判员等级培训</w:t>
      </w:r>
      <w:r>
        <w:rPr>
          <w:rFonts w:hint="eastAsia" w:ascii="宋体" w:hAnsi="宋体" w:cs="Arial"/>
          <w:b/>
          <w:bCs/>
          <w:color w:val="auto"/>
          <w:sz w:val="44"/>
          <w:szCs w:val="44"/>
        </w:rPr>
        <w:t>项目支出</w:t>
      </w:r>
      <w:r>
        <w:rPr>
          <w:rFonts w:ascii="宋体" w:hAnsi="宋体" w:cs="Arial"/>
          <w:b/>
          <w:bCs/>
          <w:color w:val="auto"/>
          <w:sz w:val="44"/>
          <w:szCs w:val="44"/>
        </w:rPr>
        <w:t>绩效</w:t>
      </w:r>
      <w:r>
        <w:rPr>
          <w:rFonts w:hint="eastAsia" w:ascii="宋体" w:hAnsi="宋体" w:cs="Arial"/>
          <w:b/>
          <w:bCs/>
          <w:color w:val="auto"/>
          <w:sz w:val="44"/>
          <w:szCs w:val="44"/>
        </w:rPr>
        <w:t>评价报告</w:t>
      </w:r>
    </w:p>
    <w:p>
      <w:pPr>
        <w:jc w:val="center"/>
        <w:rPr>
          <w:rFonts w:ascii="仿宋_GB2312"/>
          <w:color w:val="auto"/>
          <w:szCs w:val="30"/>
        </w:rPr>
      </w:pPr>
    </w:p>
    <w:p>
      <w:pPr>
        <w:spacing w:line="600" w:lineRule="exact"/>
        <w:ind w:firstLine="643" w:firstLineChars="200"/>
        <w:rPr>
          <w:rFonts w:ascii="宋体" w:hAnsi="宋体" w:cs="宋体"/>
          <w:b/>
          <w:color w:val="auto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auto"/>
          <w:kern w:val="0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宋体" w:hAnsi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cs="宋体"/>
          <w:color w:val="auto"/>
          <w:kern w:val="0"/>
          <w:sz w:val="32"/>
          <w:szCs w:val="32"/>
        </w:rPr>
        <w:t>（一）项目概况。包括项目背景、主要内容及实施情况、资金投入和使用情况等。</w:t>
      </w:r>
    </w:p>
    <w:p>
      <w:pPr>
        <w:pStyle w:val="2"/>
        <w:rPr>
          <w:rFonts w:hint="eastAsia" w:ascii="宋体" w:hAnsi="宋体" w:eastAsia="宋体" w:cs="宋体"/>
          <w:color w:val="auto"/>
          <w:kern w:val="0"/>
          <w:sz w:val="32"/>
          <w:szCs w:val="32"/>
          <w:lang w:eastAsia="zh-CN"/>
        </w:rPr>
      </w:pPr>
      <w:r>
        <w:rPr>
          <w:rFonts w:hint="eastAsia" w:ascii="宋体" w:hAnsi="宋体" w:cs="宋体"/>
          <w:color w:val="auto"/>
          <w:kern w:val="0"/>
          <w:sz w:val="32"/>
          <w:szCs w:val="32"/>
          <w:lang w:eastAsia="zh-CN"/>
        </w:rPr>
        <w:t>为了进一步贯彻《体育法》《北京市全民健身条例》，推动我区相关单项运动发展，提高裁判队伍质量，提升赛事质量，为城市副中心相关赛事提供保障。2023年培训篮球等7个运动项目，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302名二三级裁判员。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eastAsia="zh-CN"/>
        </w:rPr>
        <w:t>内容涉及场地租赁，相应等级资质的裁判员讲师，教材，裁判证，保险等。年初项目资金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10万元，实际支出</w:t>
      </w:r>
      <w:r>
        <w:rPr>
          <w:rFonts w:hint="eastAsia" w:ascii="宋体" w:hAnsi="宋体" w:cs="宋体"/>
          <w:kern w:val="0"/>
          <w:sz w:val="32"/>
          <w:szCs w:val="32"/>
          <w:lang w:val="en-US" w:eastAsia="zh-CN"/>
        </w:rPr>
        <w:t>9.9160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eastAsia="zh-CN"/>
        </w:rPr>
        <w:t xml:space="preserve">万元。                             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宋体" w:hAnsi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cs="宋体"/>
          <w:color w:val="auto"/>
          <w:kern w:val="0"/>
          <w:sz w:val="32"/>
          <w:szCs w:val="32"/>
        </w:rPr>
        <w:t>项目绩效目标</w:t>
      </w:r>
    </w:p>
    <w:p>
      <w:pPr>
        <w:pStyle w:val="2"/>
        <w:numPr>
          <w:ilvl w:val="0"/>
          <w:numId w:val="0"/>
        </w:numPr>
        <w:rPr>
          <w:rFonts w:hint="default" w:eastAsia="宋体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sz w:val="32"/>
          <w:szCs w:val="32"/>
          <w:lang w:val="en-US" w:eastAsia="zh-CN"/>
        </w:rPr>
        <w:t>通过培训相关项目裁判员，进一步壮大了我区裁判员队伍，提高了制裁水平，规范了赛场秩序，为副中心相关赛事提供了有力保障。</w:t>
      </w:r>
    </w:p>
    <w:p>
      <w:pPr>
        <w:spacing w:line="600" w:lineRule="exact"/>
        <w:ind w:firstLine="643" w:firstLineChars="200"/>
        <w:rPr>
          <w:rFonts w:ascii="宋体" w:hAnsi="宋体" w:cs="宋体"/>
          <w:b/>
          <w:color w:val="auto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auto"/>
          <w:kern w:val="0"/>
          <w:sz w:val="32"/>
          <w:szCs w:val="32"/>
        </w:rPr>
        <w:t>二、开展情况</w:t>
      </w:r>
    </w:p>
    <w:p>
      <w:pPr>
        <w:ind w:firstLine="640" w:firstLineChars="200"/>
        <w:rPr>
          <w:rFonts w:hint="default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2023年我区共培训裁判项目7项，毽球、篮球、定向、风筝、跆拳道、武术套路、健身气功共计302人，二级74人，三级228人。具体如下：</w:t>
      </w:r>
    </w:p>
    <w:p>
      <w:pPr>
        <w:numPr>
          <w:ilvl w:val="0"/>
          <w:numId w:val="2"/>
        </w:numP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毽球：共计30人。二级9人，三级21人</w:t>
      </w:r>
    </w:p>
    <w:p>
      <w:pPr>
        <w:numPr>
          <w:ilvl w:val="0"/>
          <w:numId w:val="2"/>
        </w:numP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篮球：共计41人。二级4人，三级37人</w:t>
      </w:r>
    </w:p>
    <w:p>
      <w:pPr>
        <w:numPr>
          <w:ilvl w:val="0"/>
          <w:numId w:val="2"/>
        </w:numP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定向：共计91人。二级26人，三级65人</w:t>
      </w:r>
    </w:p>
    <w:p>
      <w:pPr>
        <w:numPr>
          <w:ilvl w:val="0"/>
          <w:numId w:val="2"/>
        </w:numP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风筝：共计36人。二级10人，三级26人。</w:t>
      </w:r>
    </w:p>
    <w:p>
      <w:pPr>
        <w:numPr>
          <w:ilvl w:val="0"/>
          <w:numId w:val="2"/>
        </w:numP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跆拳道：共计28人。二级10人，三级18人</w:t>
      </w:r>
    </w:p>
    <w:p>
      <w:pPr>
        <w:numPr>
          <w:ilvl w:val="0"/>
          <w:numId w:val="2"/>
        </w:numP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武术套路：46人。二级15人，三级31人</w:t>
      </w:r>
    </w:p>
    <w:p>
      <w:pPr>
        <w:numPr>
          <w:ilvl w:val="0"/>
          <w:numId w:val="2"/>
        </w:numP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 xml:space="preserve">健身气功：30人。三级30人                                   </w:t>
      </w:r>
    </w:p>
    <w:p>
      <w:pPr>
        <w:numPr>
          <w:ilvl w:val="0"/>
          <w:numId w:val="3"/>
        </w:numPr>
        <w:spacing w:line="600" w:lineRule="exact"/>
        <w:ind w:firstLine="643" w:firstLineChars="200"/>
        <w:rPr>
          <w:rFonts w:hint="eastAsia" w:ascii="宋体" w:hAnsi="宋体" w:cs="宋体"/>
          <w:b/>
          <w:color w:val="auto"/>
          <w:kern w:val="0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color w:val="auto"/>
          <w:kern w:val="0"/>
          <w:sz w:val="32"/>
          <w:szCs w:val="32"/>
          <w:lang w:eastAsia="zh-CN"/>
        </w:rPr>
        <w:t>执行情况</w:t>
      </w:r>
    </w:p>
    <w:p>
      <w:pPr>
        <w:spacing w:line="560" w:lineRule="exact"/>
        <w:ind w:firstLine="640" w:firstLineChars="200"/>
        <w:jc w:val="left"/>
        <w:outlineLvl w:val="2"/>
        <w:rPr>
          <w:rFonts w:hint="eastAsia" w:asciiTheme="majorEastAsia" w:hAnsiTheme="majorEastAsia" w:eastAsiaTheme="majorEastAsia" w:cstheme="majorEastAsia"/>
          <w:bCs/>
          <w:kern w:val="28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Cs/>
          <w:kern w:val="28"/>
          <w:sz w:val="32"/>
          <w:szCs w:val="32"/>
        </w:rPr>
        <w:t>（一）项目组织情况</w:t>
      </w:r>
    </w:p>
    <w:p>
      <w:pPr>
        <w:spacing w:line="560" w:lineRule="exact"/>
        <w:ind w:firstLine="640" w:firstLineChars="200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为确保总会各项比赛活动顺利进行，特成立领导小组：</w:t>
      </w:r>
    </w:p>
    <w:p>
      <w:pPr>
        <w:spacing w:line="560" w:lineRule="exact"/>
        <w:ind w:firstLine="640" w:firstLineChars="200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组  长：邓小民  区体育局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  <w:t>党组书记、</w:t>
      </w:r>
      <w:r>
        <w:rPr>
          <w:rFonts w:hint="eastAsia" w:asciiTheme="majorEastAsia" w:hAnsiTheme="majorEastAsia" w:eastAsiaTheme="majorEastAsia" w:cstheme="majorEastAsia"/>
          <w:sz w:val="32"/>
          <w:szCs w:val="32"/>
        </w:rPr>
        <w:t>局长</w:t>
      </w:r>
    </w:p>
    <w:p>
      <w:pPr>
        <w:spacing w:line="560" w:lineRule="exact"/>
        <w:ind w:firstLine="640" w:firstLineChars="200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副组长：刘月刚  区体育局副局长</w:t>
      </w:r>
    </w:p>
    <w:p>
      <w:pPr>
        <w:spacing w:line="560" w:lineRule="exact"/>
        <w:ind w:firstLine="640" w:firstLineChars="200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设立秘书处：</w:t>
      </w:r>
    </w:p>
    <w:p>
      <w:pPr>
        <w:spacing w:line="560" w:lineRule="exact"/>
        <w:ind w:firstLine="640" w:firstLineChars="200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秘书长：郎燕庚  区体育总会负责人</w:t>
      </w:r>
    </w:p>
    <w:p>
      <w:pPr>
        <w:spacing w:line="560" w:lineRule="exact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 xml:space="preserve">    组  员：曹新月、李宝栋、安山、王昱</w:t>
      </w:r>
    </w:p>
    <w:p>
      <w:pPr>
        <w:spacing w:line="560" w:lineRule="exact"/>
        <w:ind w:firstLine="640" w:firstLineChars="200"/>
        <w:jc w:val="left"/>
        <w:outlineLvl w:val="2"/>
        <w:rPr>
          <w:rFonts w:hint="eastAsia" w:asciiTheme="majorEastAsia" w:hAnsiTheme="majorEastAsia" w:eastAsiaTheme="majorEastAsia" w:cstheme="majorEastAsia"/>
          <w:bCs/>
          <w:kern w:val="28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Cs/>
          <w:kern w:val="28"/>
          <w:sz w:val="32"/>
          <w:szCs w:val="32"/>
        </w:rPr>
        <w:t>（二）项目管理情况</w:t>
      </w:r>
    </w:p>
    <w:p>
      <w:pPr>
        <w:spacing w:line="560" w:lineRule="exact"/>
        <w:ind w:firstLine="640" w:firstLineChars="200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1、筹备阶段：</w:t>
      </w:r>
    </w:p>
    <w:p>
      <w:pPr>
        <w:spacing w:line="560" w:lineRule="exact"/>
        <w:ind w:firstLine="640" w:firstLineChars="200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根据市级及以上通知工作安排，经局党组研究决定后，召开部门会议进行分工。</w:t>
      </w:r>
    </w:p>
    <w:p>
      <w:pPr>
        <w:spacing w:line="560" w:lineRule="exact"/>
        <w:ind w:firstLine="640" w:firstLineChars="200"/>
        <w:rPr>
          <w:rFonts w:hint="eastAsia" w:asciiTheme="majorEastAsia" w:hAnsiTheme="majorEastAsia" w:eastAsiaTheme="majorEastAsia" w:cstheme="majorEastAsia"/>
          <w:kern w:val="0"/>
          <w:sz w:val="32"/>
          <w:szCs w:val="32"/>
          <w:lang w:bidi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32"/>
          <w:szCs w:val="32"/>
          <w:lang w:bidi="en-US"/>
        </w:rPr>
        <w:t>2.报名阶段</w:t>
      </w:r>
    </w:p>
    <w:p>
      <w:pPr>
        <w:spacing w:line="560" w:lineRule="exact"/>
        <w:ind w:firstLine="640" w:firstLineChars="200"/>
        <w:rPr>
          <w:rFonts w:hint="eastAsia" w:asciiTheme="majorEastAsia" w:hAnsiTheme="majorEastAsia" w:eastAsiaTheme="majorEastAsia" w:cstheme="majorEastAsia"/>
          <w:kern w:val="0"/>
          <w:sz w:val="32"/>
          <w:szCs w:val="32"/>
          <w:lang w:bidi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32"/>
          <w:szCs w:val="32"/>
          <w:lang w:bidi="en-US"/>
        </w:rPr>
        <w:t>根据工作安排，按照各项</w:t>
      </w:r>
      <w:r>
        <w:rPr>
          <w:rFonts w:hint="eastAsia" w:asciiTheme="majorEastAsia" w:hAnsiTheme="majorEastAsia" w:eastAsiaTheme="majorEastAsia" w:cstheme="majorEastAsia"/>
          <w:kern w:val="0"/>
          <w:sz w:val="32"/>
          <w:szCs w:val="32"/>
          <w:lang w:eastAsia="zh-CN" w:bidi="en-US"/>
        </w:rPr>
        <w:t>培训</w:t>
      </w:r>
      <w:r>
        <w:rPr>
          <w:rFonts w:hint="eastAsia" w:asciiTheme="majorEastAsia" w:hAnsiTheme="majorEastAsia" w:eastAsiaTheme="majorEastAsia" w:cstheme="majorEastAsia"/>
          <w:kern w:val="0"/>
          <w:sz w:val="32"/>
          <w:szCs w:val="32"/>
          <w:lang w:bidi="en-US"/>
        </w:rPr>
        <w:t>通知</w:t>
      </w:r>
      <w:r>
        <w:rPr>
          <w:rFonts w:hint="eastAsia" w:asciiTheme="majorEastAsia" w:hAnsiTheme="majorEastAsia" w:eastAsiaTheme="majorEastAsia" w:cstheme="majorEastAsia"/>
          <w:kern w:val="0"/>
          <w:sz w:val="32"/>
          <w:szCs w:val="32"/>
          <w:lang w:eastAsia="zh-CN" w:bidi="en-US"/>
        </w:rPr>
        <w:t>组织</w:t>
      </w:r>
      <w:r>
        <w:rPr>
          <w:rFonts w:hint="eastAsia" w:asciiTheme="majorEastAsia" w:hAnsiTheme="majorEastAsia" w:eastAsiaTheme="majorEastAsia" w:cstheme="majorEastAsia"/>
          <w:kern w:val="0"/>
          <w:sz w:val="32"/>
          <w:szCs w:val="32"/>
          <w:lang w:bidi="en-US"/>
        </w:rPr>
        <w:t>报名。</w:t>
      </w:r>
    </w:p>
    <w:p>
      <w:pPr>
        <w:spacing w:line="560" w:lineRule="exact"/>
        <w:ind w:firstLine="640" w:firstLineChars="200"/>
        <w:rPr>
          <w:rFonts w:hint="eastAsia" w:asciiTheme="majorEastAsia" w:hAnsiTheme="majorEastAsia" w:eastAsiaTheme="majorEastAsia" w:cstheme="majorEastAsia"/>
          <w:kern w:val="0"/>
          <w:sz w:val="32"/>
          <w:szCs w:val="32"/>
          <w:lang w:bidi="en-US"/>
        </w:rPr>
      </w:pPr>
      <w:r>
        <w:rPr>
          <w:rFonts w:hint="eastAsia" w:asciiTheme="majorEastAsia" w:hAnsiTheme="majorEastAsia" w:eastAsiaTheme="majorEastAsia" w:cstheme="majorEastAsia"/>
          <w:kern w:val="0"/>
          <w:sz w:val="32"/>
          <w:szCs w:val="32"/>
          <w:lang w:bidi="en-US"/>
        </w:rPr>
        <w:t>3.具体实施阶段</w:t>
      </w:r>
    </w:p>
    <w:p>
      <w:pPr>
        <w:spacing w:line="560" w:lineRule="exact"/>
        <w:ind w:firstLine="640" w:firstLineChars="200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kern w:val="0"/>
          <w:sz w:val="32"/>
          <w:szCs w:val="32"/>
          <w:lang w:bidi="en-US"/>
        </w:rPr>
        <w:t>各项报名结束后，召开部门分工会，做到分工明确，责任到人。</w:t>
      </w:r>
    </w:p>
    <w:p>
      <w:pPr>
        <w:spacing w:line="560" w:lineRule="exact"/>
        <w:ind w:firstLine="640" w:firstLineChars="200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由于加强了对该项目管理</w:t>
      </w:r>
      <w:r>
        <w:rPr>
          <w:rFonts w:hint="eastAsia" w:asciiTheme="majorEastAsia" w:hAnsiTheme="majorEastAsia" w:eastAsiaTheme="majorEastAsia" w:cstheme="majorEastAsia"/>
          <w:kern w:val="0"/>
          <w:sz w:val="32"/>
          <w:szCs w:val="32"/>
          <w:lang w:bidi="en-US"/>
        </w:rPr>
        <w:t>，</w:t>
      </w:r>
      <w:r>
        <w:rPr>
          <w:rFonts w:hint="eastAsia" w:asciiTheme="majorEastAsia" w:hAnsiTheme="majorEastAsia" w:eastAsiaTheme="majorEastAsia" w:cstheme="majorEastAsia"/>
          <w:color w:val="000000"/>
          <w:sz w:val="32"/>
          <w:szCs w:val="32"/>
        </w:rPr>
        <w:t>从而确保参赛活动安全、顺利进行。</w:t>
      </w:r>
    </w:p>
    <w:p>
      <w:pPr>
        <w:spacing w:line="600" w:lineRule="exact"/>
        <w:ind w:firstLine="643" w:firstLineChars="200"/>
        <w:rPr>
          <w:rFonts w:hint="eastAsia" w:ascii="宋体" w:hAnsi="宋体" w:cs="宋体"/>
          <w:b/>
          <w:color w:val="auto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auto"/>
          <w:kern w:val="0"/>
          <w:sz w:val="32"/>
          <w:szCs w:val="32"/>
        </w:rPr>
        <w:t>五、主要经验及做法、存在的问题及原因分析</w:t>
      </w:r>
    </w:p>
    <w:p>
      <w:pPr>
        <w:pStyle w:val="2"/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2023年我区共培训裁判项目7项，毽球、篮球、定向、风筝、跆拳道、武术套路、健身气功共计302人，二级74人，三级228人。</w:t>
      </w:r>
      <w:bookmarkStart w:id="0" w:name="_GoBack"/>
      <w:bookmarkEnd w:id="0"/>
    </w:p>
    <w:p>
      <w:pPr>
        <w:spacing w:line="600" w:lineRule="exact"/>
        <w:ind w:firstLine="643" w:firstLineChars="200"/>
        <w:rPr>
          <w:rFonts w:hint="eastAsia" w:ascii="宋体" w:hAnsi="宋体" w:cs="宋体"/>
          <w:b/>
          <w:color w:val="auto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auto"/>
          <w:kern w:val="0"/>
          <w:sz w:val="32"/>
          <w:szCs w:val="32"/>
        </w:rPr>
        <w:t>六、有关建议</w:t>
      </w:r>
    </w:p>
    <w:p>
      <w:pPr>
        <w:pStyle w:val="2"/>
        <w:rPr>
          <w:rFonts w:hint="eastAsia" w:eastAsia="宋体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color w:val="auto"/>
          <w:kern w:val="0"/>
          <w:sz w:val="32"/>
          <w:szCs w:val="32"/>
          <w:lang w:eastAsia="zh-CN"/>
        </w:rPr>
        <w:t>无</w:t>
      </w:r>
    </w:p>
    <w:p>
      <w:pPr>
        <w:spacing w:line="600" w:lineRule="exact"/>
        <w:ind w:firstLine="643" w:firstLineChars="200"/>
        <w:rPr>
          <w:sz w:val="32"/>
          <w:szCs w:val="32"/>
        </w:rPr>
      </w:pPr>
      <w:r>
        <w:rPr>
          <w:rFonts w:hint="eastAsia" w:ascii="宋体" w:hAnsi="宋体" w:cs="宋体"/>
          <w:b/>
          <w:color w:val="auto"/>
          <w:kern w:val="0"/>
          <w:sz w:val="32"/>
          <w:szCs w:val="32"/>
        </w:rPr>
        <w:t>七、其他需要说明的问题</w:t>
      </w:r>
    </w:p>
    <w:p>
      <w:pPr>
        <w:pStyle w:val="2"/>
        <w:rPr>
          <w:rFonts w:hint="eastAsia" w:eastAsia="宋体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无</w:t>
      </w:r>
    </w:p>
    <w:p>
      <w:pPr>
        <w:pStyle w:val="2"/>
        <w:rPr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default" w:ascii="黑体" w:hAnsi="黑体" w:eastAsia="黑体" w:cs="Times New Roman"/>
          <w:b w:val="0"/>
          <w:color w:val="auto"/>
          <w:kern w:val="2"/>
          <w:sz w:val="32"/>
          <w:szCs w:val="32"/>
          <w:lang w:val="en-US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  <w:t>附件</w:t>
      </w: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  <w:lang w:val="en-US" w:eastAsia="zh-CN"/>
        </w:rPr>
        <w:t>1-3-1</w:t>
      </w:r>
    </w:p>
    <w:p>
      <w:pPr>
        <w:widowControl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  <w:t>自评项目汇总表</w:t>
      </w:r>
    </w:p>
    <w:p>
      <w:pPr>
        <w:widowControl/>
        <w:spacing w:line="360" w:lineRule="auto"/>
        <w:ind w:firstLine="0" w:firstLineChars="0"/>
        <w:jc w:val="left"/>
        <w:outlineLvl w:val="9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部门名称：</w:t>
      </w:r>
    </w:p>
    <w:tbl>
      <w:tblPr>
        <w:tblStyle w:val="8"/>
        <w:tblW w:w="9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412"/>
        <w:gridCol w:w="1404"/>
        <w:gridCol w:w="886"/>
        <w:gridCol w:w="850"/>
        <w:gridCol w:w="851"/>
        <w:gridCol w:w="845"/>
        <w:gridCol w:w="1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915" w:type="dxa"/>
            <w:vMerge w:val="restart"/>
            <w:vAlign w:val="top"/>
          </w:tcPr>
          <w:p>
            <w:pPr>
              <w:spacing w:line="300" w:lineRule="exact"/>
              <w:ind w:left="0"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6"/>
              </w:rPr>
            </w:pPr>
          </w:p>
          <w:p>
            <w:pPr>
              <w:spacing w:line="300" w:lineRule="exact"/>
              <w:ind w:left="0"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序号</w:t>
            </w:r>
          </w:p>
        </w:tc>
        <w:tc>
          <w:tcPr>
            <w:tcW w:w="1412" w:type="dxa"/>
            <w:vMerge w:val="restart"/>
            <w:vAlign w:val="top"/>
          </w:tcPr>
          <w:p>
            <w:pPr>
              <w:spacing w:line="300" w:lineRule="exact"/>
              <w:ind w:left="0" w:firstLine="0" w:firstLineChars="0"/>
              <w:jc w:val="both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  <w:p>
            <w:pPr>
              <w:spacing w:line="300" w:lineRule="exact"/>
              <w:ind w:left="0"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项目名称</w:t>
            </w:r>
          </w:p>
        </w:tc>
        <w:tc>
          <w:tcPr>
            <w:tcW w:w="1404" w:type="dxa"/>
            <w:vMerge w:val="restart"/>
            <w:vAlign w:val="top"/>
          </w:tcPr>
          <w:p>
            <w:pPr>
              <w:spacing w:line="44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项目金额(万元)</w:t>
            </w:r>
          </w:p>
        </w:tc>
        <w:tc>
          <w:tcPr>
            <w:tcW w:w="3432" w:type="dxa"/>
            <w:gridSpan w:val="4"/>
            <w:vAlign w:val="top"/>
          </w:tcPr>
          <w:p>
            <w:pPr>
              <w:spacing w:line="36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评价结果</w:t>
            </w:r>
          </w:p>
        </w:tc>
        <w:tc>
          <w:tcPr>
            <w:tcW w:w="1917" w:type="dxa"/>
            <w:vMerge w:val="restart"/>
            <w:vAlign w:val="top"/>
          </w:tcPr>
          <w:p>
            <w:pPr>
              <w:spacing w:line="320" w:lineRule="exact"/>
              <w:ind w:firstLine="660" w:firstLineChars="300"/>
              <w:jc w:val="both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  <w:p>
            <w:pPr>
              <w:spacing w:line="320" w:lineRule="exact"/>
              <w:ind w:firstLine="660" w:firstLineChars="300"/>
              <w:jc w:val="both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15" w:type="dxa"/>
            <w:vMerge w:val="continue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1412" w:type="dxa"/>
            <w:vMerge w:val="continue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1404" w:type="dxa"/>
            <w:vMerge w:val="continue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86" w:type="dxa"/>
            <w:vAlign w:val="top"/>
          </w:tcPr>
          <w:p>
            <w:pPr>
              <w:spacing w:line="40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优</w:t>
            </w:r>
          </w:p>
        </w:tc>
        <w:tc>
          <w:tcPr>
            <w:tcW w:w="850" w:type="dxa"/>
            <w:vAlign w:val="top"/>
          </w:tcPr>
          <w:p>
            <w:pPr>
              <w:spacing w:line="40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良</w:t>
            </w:r>
          </w:p>
        </w:tc>
        <w:tc>
          <w:tcPr>
            <w:tcW w:w="851" w:type="dxa"/>
            <w:vAlign w:val="top"/>
          </w:tcPr>
          <w:p>
            <w:pPr>
              <w:spacing w:line="40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4"/>
                <w:lang w:eastAsia="zh-CN"/>
              </w:rPr>
              <w:t>中</w:t>
            </w:r>
          </w:p>
        </w:tc>
        <w:tc>
          <w:tcPr>
            <w:tcW w:w="845" w:type="dxa"/>
            <w:vAlign w:val="top"/>
          </w:tcPr>
          <w:p>
            <w:pPr>
              <w:spacing w:line="40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差</w:t>
            </w:r>
          </w:p>
        </w:tc>
        <w:tc>
          <w:tcPr>
            <w:tcW w:w="1917" w:type="dxa"/>
            <w:vMerge w:val="continue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915" w:type="dxa"/>
            <w:vAlign w:val="top"/>
          </w:tcPr>
          <w:p>
            <w:pPr>
              <w:spacing w:line="44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1</w:t>
            </w:r>
          </w:p>
        </w:tc>
        <w:tc>
          <w:tcPr>
            <w:tcW w:w="1412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1404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86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50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51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45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1917" w:type="dxa"/>
            <w:vAlign w:val="top"/>
          </w:tcPr>
          <w:p>
            <w:pPr>
              <w:spacing w:line="240" w:lineRule="auto"/>
              <w:jc w:val="both"/>
              <w:outlineLvl w:val="0"/>
              <w:rPr>
                <w:rFonts w:hint="default" w:ascii="宋体" w:hAnsi="宋体" w:eastAsia="宋体" w:cs="宋体"/>
                <w:color w:val="auto"/>
                <w:kern w:val="0"/>
                <w:sz w:val="22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915" w:type="dxa"/>
            <w:vAlign w:val="top"/>
          </w:tcPr>
          <w:p>
            <w:pPr>
              <w:spacing w:line="44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2</w:t>
            </w:r>
          </w:p>
        </w:tc>
        <w:tc>
          <w:tcPr>
            <w:tcW w:w="1412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1404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86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50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51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45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1917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915" w:type="dxa"/>
            <w:vAlign w:val="top"/>
          </w:tcPr>
          <w:p>
            <w:pPr>
              <w:spacing w:line="440" w:lineRule="exact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…</w:t>
            </w:r>
          </w:p>
        </w:tc>
        <w:tc>
          <w:tcPr>
            <w:tcW w:w="1412" w:type="dxa"/>
            <w:vAlign w:val="top"/>
          </w:tcPr>
          <w:p>
            <w:pPr>
              <w:spacing w:line="600" w:lineRule="exact"/>
              <w:ind w:firstLine="440" w:firstLineChars="200"/>
              <w:jc w:val="center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1404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86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50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51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845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1917" w:type="dxa"/>
            <w:vAlign w:val="top"/>
          </w:tcPr>
          <w:p>
            <w:pPr>
              <w:spacing w:line="600" w:lineRule="exact"/>
              <w:ind w:firstLine="440" w:firstLineChars="200"/>
              <w:outlineLvl w:val="0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</w:pPr>
          </w:p>
        </w:tc>
      </w:tr>
    </w:tbl>
    <w:p>
      <w:pPr>
        <w:spacing w:line="600" w:lineRule="exact"/>
        <w:ind w:firstLine="0" w:firstLineChars="0"/>
        <w:outlineLvl w:val="0"/>
        <w:rPr>
          <w:rFonts w:hint="eastAsia" w:ascii="宋体" w:hAnsi="宋体" w:eastAsia="宋体" w:cs="宋体"/>
          <w:b w:val="0"/>
          <w:color w:val="auto"/>
          <w:kern w:val="0"/>
          <w:sz w:val="22"/>
          <w:szCs w:val="24"/>
        </w:rPr>
      </w:pPr>
    </w:p>
    <w:p>
      <w:pPr>
        <w:widowControl w:val="0"/>
        <w:wordWrap/>
        <w:adjustRightInd/>
        <w:snapToGrid/>
        <w:spacing w:line="240" w:lineRule="auto"/>
        <w:ind w:firstLine="440" w:firstLineChars="200"/>
        <w:textAlignment w:val="auto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注：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绩效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自评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实施百分制和四级分类。四个级别分别是：优（90（含）分-100分）、良（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80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（含）分-90分）、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（60（含）分-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80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分）、差（60（不含）分以下）。</w:t>
      </w:r>
    </w:p>
    <w:p>
      <w:pPr>
        <w:pStyle w:val="2"/>
        <w:widowControl w:val="0"/>
        <w:wordWrap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  <w:t xml:space="preserve">    2.部门重点自评项目请在备注栏填写“部门重点自评”。</w:t>
      </w:r>
    </w:p>
    <w:p>
      <w:pPr>
        <w:widowControl w:val="0"/>
        <w:wordWrap/>
        <w:adjustRightInd/>
        <w:snapToGrid/>
        <w:spacing w:line="240" w:lineRule="auto"/>
        <w:ind w:firstLine="440" w:firstLineChars="200"/>
        <w:textAlignment w:val="auto"/>
        <w:outlineLvl w:val="0"/>
        <w:rPr>
          <w:rFonts w:hint="eastAsia" w:ascii="宋体" w:hAnsi="宋体" w:eastAsia="宋体" w:cs="宋体"/>
          <w:color w:val="auto"/>
          <w:kern w:val="0"/>
          <w:sz w:val="22"/>
        </w:rPr>
      </w:pP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auto"/>
          <w:kern w:val="0"/>
          <w:sz w:val="22"/>
        </w:rPr>
      </w:pP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auto"/>
          <w:kern w:val="0"/>
          <w:sz w:val="22"/>
        </w:rPr>
      </w:pP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auto"/>
          <w:kern w:val="0"/>
          <w:sz w:val="22"/>
        </w:rPr>
      </w:pP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auto"/>
          <w:kern w:val="0"/>
          <w:sz w:val="22"/>
        </w:rPr>
      </w:pP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auto"/>
          <w:kern w:val="0"/>
          <w:sz w:val="22"/>
        </w:rPr>
      </w:pP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auto"/>
          <w:kern w:val="0"/>
          <w:sz w:val="22"/>
        </w:rPr>
      </w:pP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auto"/>
          <w:kern w:val="0"/>
          <w:sz w:val="22"/>
        </w:rPr>
      </w:pP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auto"/>
          <w:kern w:val="0"/>
          <w:sz w:val="22"/>
        </w:rPr>
      </w:pPr>
    </w:p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widowControl/>
        <w:spacing w:line="560" w:lineRule="exact"/>
        <w:ind w:firstLine="0" w:firstLineChars="0"/>
        <w:outlineLvl w:val="9"/>
        <w:rPr>
          <w:rFonts w:hint="default" w:ascii="黑体" w:hAnsi="黑体" w:eastAsia="黑体" w:cs="Times New Roman"/>
          <w:b w:val="0"/>
          <w:color w:val="auto"/>
          <w:kern w:val="2"/>
          <w:sz w:val="32"/>
          <w:szCs w:val="32"/>
          <w:lang w:val="en-US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  <w:t>附件</w:t>
      </w: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  <w:lang w:val="en-US" w:eastAsia="zh-CN"/>
        </w:rPr>
        <w:t>1-3-2</w:t>
      </w:r>
    </w:p>
    <w:p>
      <w:pPr>
        <w:spacing w:line="600" w:lineRule="exact"/>
        <w:ind w:firstLine="0" w:firstLineChars="0"/>
        <w:outlineLvl w:val="0"/>
        <w:rPr>
          <w:rFonts w:hint="eastAsia" w:ascii="宋体" w:hAnsi="宋体" w:eastAsia="宋体" w:cs="宋体"/>
          <w:color w:val="auto"/>
          <w:kern w:val="0"/>
          <w:sz w:val="22"/>
        </w:rPr>
      </w:pPr>
    </w:p>
    <w:p>
      <w:pPr>
        <w:spacing w:line="560" w:lineRule="exact"/>
        <w:ind w:firstLine="0" w:firstLineChars="0"/>
        <w:jc w:val="center"/>
        <w:rPr>
          <w:rFonts w:hint="eastAsia" w:ascii="方正小标宋简体" w:eastAsia="方正小标宋简体"/>
          <w:b w:val="0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b w:val="0"/>
          <w:sz w:val="36"/>
          <w:szCs w:val="36"/>
        </w:rPr>
        <w:t>预算绩效</w:t>
      </w:r>
      <w:r>
        <w:rPr>
          <w:rFonts w:hint="eastAsia" w:ascii="方正小标宋简体" w:eastAsia="方正小标宋简体"/>
          <w:b w:val="0"/>
          <w:sz w:val="36"/>
          <w:szCs w:val="36"/>
          <w:lang w:eastAsia="zh-CN"/>
        </w:rPr>
        <w:t>管理</w:t>
      </w:r>
      <w:r>
        <w:rPr>
          <w:rFonts w:hint="eastAsia" w:ascii="方正小标宋简体" w:eastAsia="方正小标宋简体"/>
          <w:b w:val="0"/>
          <w:sz w:val="36"/>
          <w:szCs w:val="36"/>
        </w:rPr>
        <w:t>工作开展情况</w:t>
      </w:r>
      <w:r>
        <w:rPr>
          <w:rFonts w:hint="eastAsia" w:ascii="方正小标宋简体" w:eastAsia="方正小标宋简体"/>
          <w:b w:val="0"/>
          <w:sz w:val="36"/>
          <w:szCs w:val="36"/>
          <w:lang w:val="en-US" w:eastAsia="zh-CN"/>
        </w:rPr>
        <w:t>报告</w:t>
      </w:r>
    </w:p>
    <w:p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（参考模板）</w:t>
      </w:r>
    </w:p>
    <w:p>
      <w:pPr>
        <w:ind w:firstLine="643" w:firstLineChars="200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一、基本情况</w:t>
      </w:r>
    </w:p>
    <w:p>
      <w:pPr>
        <w:spacing w:line="600" w:lineRule="exact"/>
        <w:ind w:firstLine="641"/>
        <w:rPr>
          <w:rFonts w:hint="eastAsia" w:ascii="仿宋_GB2312" w:hAnsi="Calibri" w:eastAsia="仿宋_GB2312" w:cs="黑体"/>
          <w:sz w:val="32"/>
          <w:szCs w:val="32"/>
        </w:rPr>
      </w:pPr>
      <w:r>
        <w:rPr>
          <w:rFonts w:hint="eastAsia" w:ascii="仿宋_GB2312" w:hAnsi="Calibri" w:eastAsia="仿宋_GB2312" w:cs="黑体"/>
          <w:sz w:val="32"/>
          <w:szCs w:val="32"/>
        </w:rPr>
        <w:t>20××年，××（部门名称）对20××年度部门项目支出实施了绩效评价，</w:t>
      </w:r>
      <w:r>
        <w:rPr>
          <w:rFonts w:hint="eastAsia" w:ascii="仿宋_GB2312" w:eastAsia="仿宋_GB2312" w:cs="黑体"/>
          <w:sz w:val="32"/>
          <w:szCs w:val="32"/>
          <w:lang w:eastAsia="zh-CN"/>
        </w:rPr>
        <w:t>单位自评项目</w:t>
      </w:r>
      <w:r>
        <w:rPr>
          <w:rFonts w:hint="eastAsia" w:ascii="仿宋_GB2312" w:hAnsi="Calibri" w:eastAsia="仿宋_GB2312" w:cs="黑体"/>
          <w:sz w:val="32"/>
          <w:szCs w:val="32"/>
        </w:rPr>
        <w:t>××个</w:t>
      </w:r>
      <w:r>
        <w:rPr>
          <w:rFonts w:hint="eastAsia" w:ascii="仿宋_GB2312" w:eastAsia="仿宋_GB2312" w:cs="黑体"/>
          <w:sz w:val="32"/>
          <w:szCs w:val="32"/>
          <w:lang w:eastAsia="zh-CN"/>
        </w:rPr>
        <w:t>，部门重点自评项目</w:t>
      </w:r>
      <w:r>
        <w:rPr>
          <w:rFonts w:hint="eastAsia" w:ascii="仿宋_GB2312" w:hAnsi="Calibri" w:eastAsia="仿宋_GB2312" w:cs="黑体"/>
          <w:sz w:val="32"/>
          <w:szCs w:val="32"/>
        </w:rPr>
        <w:t>××个</w:t>
      </w:r>
      <w:r>
        <w:rPr>
          <w:rFonts w:hint="eastAsia" w:ascii="仿宋_GB2312" w:eastAsia="仿宋_GB2312" w:cs="黑体"/>
          <w:sz w:val="32"/>
          <w:szCs w:val="32"/>
          <w:lang w:eastAsia="zh-CN"/>
        </w:rPr>
        <w:t>，</w:t>
      </w:r>
      <w:r>
        <w:rPr>
          <w:rFonts w:hint="eastAsia" w:ascii="仿宋_GB2312" w:hAnsi="Calibri" w:eastAsia="仿宋_GB2312" w:cs="黑体"/>
          <w:sz w:val="32"/>
          <w:szCs w:val="32"/>
        </w:rPr>
        <w:t>评价项目</w:t>
      </w:r>
      <w:r>
        <w:rPr>
          <w:rFonts w:hint="eastAsia" w:ascii="仿宋_GB2312" w:eastAsia="仿宋_GB2312" w:cs="黑体"/>
          <w:sz w:val="32"/>
          <w:szCs w:val="32"/>
          <w:lang w:eastAsia="zh-CN"/>
        </w:rPr>
        <w:t>共计</w:t>
      </w:r>
      <w:r>
        <w:rPr>
          <w:rFonts w:hint="eastAsia" w:ascii="仿宋_GB2312" w:hAnsi="Calibri" w:eastAsia="仿宋_GB2312" w:cs="黑体"/>
          <w:sz w:val="32"/>
          <w:szCs w:val="32"/>
        </w:rPr>
        <w:t>××个，占部门项目总数的××%，涉及金额××万元。其中，评价得分在90分（含90分）以上的××个、评价得分在</w:t>
      </w:r>
      <w:r>
        <w:rPr>
          <w:rFonts w:hint="eastAsia" w:ascii="仿宋_GB2312" w:hAnsi="Calibri" w:eastAsia="仿宋_GB2312" w:cs="黑体"/>
          <w:sz w:val="32"/>
          <w:szCs w:val="32"/>
          <w:lang w:val="en-US" w:eastAsia="zh-CN"/>
        </w:rPr>
        <w:t>80</w:t>
      </w:r>
      <w:r>
        <w:rPr>
          <w:rFonts w:hint="eastAsia" w:ascii="仿宋_GB2312" w:hAnsi="Calibri" w:eastAsia="仿宋_GB2312" w:cs="黑体"/>
          <w:sz w:val="32"/>
          <w:szCs w:val="32"/>
        </w:rPr>
        <w:t>-90分（含</w:t>
      </w:r>
      <w:r>
        <w:rPr>
          <w:rFonts w:hint="eastAsia" w:ascii="仿宋_GB2312" w:hAnsi="Calibri" w:eastAsia="仿宋_GB2312" w:cs="黑体"/>
          <w:sz w:val="32"/>
          <w:szCs w:val="32"/>
          <w:lang w:val="en-US" w:eastAsia="zh-CN"/>
        </w:rPr>
        <w:t>80</w:t>
      </w:r>
      <w:r>
        <w:rPr>
          <w:rFonts w:hint="eastAsia" w:ascii="仿宋_GB2312" w:hAnsi="Calibri" w:eastAsia="仿宋_GB2312" w:cs="黑体"/>
          <w:sz w:val="32"/>
          <w:szCs w:val="32"/>
        </w:rPr>
        <w:t>分）的××个、评价得分在60-</w:t>
      </w:r>
      <w:r>
        <w:rPr>
          <w:rFonts w:hint="eastAsia" w:ascii="仿宋_GB2312" w:hAnsi="Calibri" w:eastAsia="仿宋_GB2312" w:cs="黑体"/>
          <w:sz w:val="32"/>
          <w:szCs w:val="32"/>
          <w:lang w:val="en-US" w:eastAsia="zh-CN"/>
        </w:rPr>
        <w:t>80</w:t>
      </w:r>
      <w:r>
        <w:rPr>
          <w:rFonts w:hint="eastAsia" w:ascii="仿宋_GB2312" w:hAnsi="Calibri" w:eastAsia="仿宋_GB2312" w:cs="黑体"/>
          <w:sz w:val="32"/>
          <w:szCs w:val="32"/>
        </w:rPr>
        <w:t xml:space="preserve">分（含60分）的××个、评价得分在60分以下的××个。 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二、主要经验或存在问题</w:t>
      </w:r>
    </w:p>
    <w:p>
      <w:pPr>
        <w:spacing w:line="600" w:lineRule="exact"/>
        <w:ind w:firstLine="640" w:firstLineChars="200"/>
      </w:pPr>
      <w:r>
        <w:rPr>
          <w:rFonts w:hint="eastAsia" w:ascii="黑体" w:hAnsi="黑体" w:eastAsia="黑体" w:cs="黑体"/>
          <w:color w:val="auto"/>
          <w:sz w:val="32"/>
          <w:szCs w:val="32"/>
        </w:rPr>
        <w:t>三、下一步工作措施或建议</w:t>
      </w:r>
    </w:p>
    <w:p/>
    <w:p/>
    <w:p>
      <w:pPr>
        <w:pStyle w:val="2"/>
        <w:rPr>
          <w:rFonts w:hint="eastAsia"/>
          <w:lang w:val="en-US" w:eastAsia="zh-CN"/>
        </w:rPr>
      </w:pPr>
    </w:p>
    <w:p>
      <w:pPr>
        <w:widowControl w:val="0"/>
        <w:wordWrap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2" o:spid="_x0000_s4097" o:spt="1" style="position:absolute;left:0pt;margin-top:0pt;height:144pt;width:144pt;mso-position-horizontal:center;mso-position-horizontal-relative:margin;mso-wrap-style:none;z-index:251659264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DCE168"/>
    <w:multiLevelType w:val="singleLevel"/>
    <w:tmpl w:val="8FDCE16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A1A10AB"/>
    <w:multiLevelType w:val="singleLevel"/>
    <w:tmpl w:val="CA1A10A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2AFB6BF"/>
    <w:multiLevelType w:val="singleLevel"/>
    <w:tmpl w:val="22AFB6B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EDB0B63"/>
    <w:rsid w:val="01534994"/>
    <w:rsid w:val="070D6DF4"/>
    <w:rsid w:val="0C8165E0"/>
    <w:rsid w:val="1D027272"/>
    <w:rsid w:val="1EA03416"/>
    <w:rsid w:val="2CBF8107"/>
    <w:rsid w:val="2CC16BBB"/>
    <w:rsid w:val="2E3E5848"/>
    <w:rsid w:val="2EB70209"/>
    <w:rsid w:val="30FF2B40"/>
    <w:rsid w:val="35D339CB"/>
    <w:rsid w:val="3FF79B31"/>
    <w:rsid w:val="4BA31FDB"/>
    <w:rsid w:val="4BFF9656"/>
    <w:rsid w:val="537B9DA3"/>
    <w:rsid w:val="57B97C90"/>
    <w:rsid w:val="5A474F5C"/>
    <w:rsid w:val="5DDF52D1"/>
    <w:rsid w:val="5EDB0B63"/>
    <w:rsid w:val="5F9F33EB"/>
    <w:rsid w:val="61F21620"/>
    <w:rsid w:val="63447D67"/>
    <w:rsid w:val="63716DD6"/>
    <w:rsid w:val="6AC7B1A3"/>
    <w:rsid w:val="6B77FB6F"/>
    <w:rsid w:val="6EE9A86C"/>
    <w:rsid w:val="6FD43E60"/>
    <w:rsid w:val="763E871D"/>
    <w:rsid w:val="79623D7B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2024-04-18T06:42:21Z</dcterms:modified>
  <dc:title>附件1-1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