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78"/>
        <w:gridCol w:w="982"/>
        <w:gridCol w:w="992"/>
        <w:gridCol w:w="799"/>
        <w:gridCol w:w="1114"/>
        <w:gridCol w:w="213"/>
        <w:gridCol w:w="894"/>
        <w:gridCol w:w="848"/>
        <w:gridCol w:w="202"/>
        <w:gridCol w:w="466"/>
        <w:gridCol w:w="305"/>
        <w:gridCol w:w="404"/>
        <w:gridCol w:w="432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参加市级及以上群众体育赛事活动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体育总会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-80888125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14.9675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14.9675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14.9675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组队参加市级群众体育赛事活动，充分展现副中心风采，提高广大群众全民健身活动的参与度和积极性，组队参加市级及以上群众体育赛事活动。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2023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年组队参加国家体育锻炼标准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全民健身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交流团队、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毽球、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门球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篮球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等专项或综合性体育活动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次以上，参与人数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198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人，经费支出共计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 xml:space="preserve">      14.9675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指标1：参加市级及以上群众体育赛事活动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指标1：通州区健身爱好者参与率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指标1：按时组队参赛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指标1：资金保障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16.5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14.9675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9.1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指标1：社会效益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提高群体活动参与度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指标1：活动参与者满意度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2%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指标2： 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1-2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参加市级及以上群众体育赛事活动项目支出绩效评价报告</w:t>
      </w:r>
    </w:p>
    <w:p>
      <w:pPr>
        <w:spacing w:line="520" w:lineRule="exact"/>
        <w:jc w:val="center"/>
        <w:rPr>
          <w:rFonts w:ascii="宋体" w:hAnsi="宋体" w:cs="宋体"/>
          <w:bCs/>
          <w:kern w:val="0"/>
          <w:sz w:val="24"/>
        </w:rPr>
      </w:pP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Toc169183181"/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一、绩效跟踪工作组织实施情况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为了贯彻党的二十大精神，进一步落实《北京市全民健身条例》、《北京市全民健身实施计划（</w:t>
      </w:r>
      <w:r>
        <w:rPr>
          <w:rFonts w:ascii="仿宋" w:hAnsi="仿宋" w:eastAsia="仿宋" w:cs="仿宋_GB2312"/>
          <w:sz w:val="32"/>
          <w:szCs w:val="32"/>
        </w:rPr>
        <w:t>2021</w:t>
      </w:r>
      <w:r>
        <w:rPr>
          <w:rFonts w:hint="eastAsia" w:ascii="仿宋" w:hAnsi="仿宋" w:eastAsia="仿宋" w:cs="仿宋_GB2312"/>
          <w:sz w:val="32"/>
          <w:szCs w:val="32"/>
        </w:rPr>
        <w:t>-20</w:t>
      </w:r>
      <w:r>
        <w:rPr>
          <w:rFonts w:ascii="仿宋" w:hAnsi="仿宋" w:eastAsia="仿宋" w:cs="仿宋_GB2312"/>
          <w:sz w:val="32"/>
          <w:szCs w:val="32"/>
        </w:rPr>
        <w:t>25</w:t>
      </w:r>
      <w:r>
        <w:rPr>
          <w:rFonts w:hint="eastAsia" w:ascii="仿宋" w:hAnsi="仿宋" w:eastAsia="仿宋" w:cs="仿宋_GB2312"/>
          <w:sz w:val="32"/>
          <w:szCs w:val="32"/>
        </w:rPr>
        <w:t>年）》，完成《通州区全民健身实施计划（20</w:t>
      </w:r>
      <w:r>
        <w:rPr>
          <w:rFonts w:ascii="仿宋" w:hAnsi="仿宋" w:eastAsia="仿宋" w:cs="仿宋_GB2312"/>
          <w:sz w:val="32"/>
          <w:szCs w:val="32"/>
        </w:rPr>
        <w:t>21</w:t>
      </w:r>
      <w:r>
        <w:rPr>
          <w:rFonts w:hint="eastAsia" w:ascii="仿宋" w:hAnsi="仿宋" w:eastAsia="仿宋" w:cs="仿宋_GB2312"/>
          <w:sz w:val="32"/>
          <w:szCs w:val="32"/>
        </w:rPr>
        <w:t>-20</w:t>
      </w:r>
      <w:r>
        <w:rPr>
          <w:rFonts w:ascii="仿宋" w:hAnsi="仿宋" w:eastAsia="仿宋" w:cs="仿宋_GB2312"/>
          <w:sz w:val="32"/>
          <w:szCs w:val="32"/>
        </w:rPr>
        <w:t>25</w:t>
      </w:r>
      <w:r>
        <w:rPr>
          <w:rFonts w:hint="eastAsia" w:ascii="仿宋" w:hAnsi="仿宋" w:eastAsia="仿宋" w:cs="仿宋_GB2312"/>
          <w:sz w:val="32"/>
          <w:szCs w:val="32"/>
        </w:rPr>
        <w:t>年）》各项任务指标，根据2023年区体育局工作思路，开展参加市级及以上群众体育赛事活动。</w:t>
      </w:r>
    </w:p>
    <w:p>
      <w:pPr>
        <w:spacing w:line="560" w:lineRule="exact"/>
        <w:ind w:firstLine="640" w:firstLineChars="200"/>
        <w:jc w:val="left"/>
        <w:outlineLvl w:val="2"/>
        <w:rPr>
          <w:rFonts w:ascii="仿宋" w:hAnsi="仿宋" w:eastAsia="仿宋" w:cs="Times New Roman"/>
          <w:bCs/>
          <w:kern w:val="28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28"/>
          <w:sz w:val="32"/>
          <w:szCs w:val="32"/>
        </w:rPr>
        <w:t>（一）项目组织情况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为确保总会各项比赛活动顺利进行，特成立领导小组：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组  长：邓小民  区体育局局长、区体育总会主席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副组长：刘月刚  区体育局副局长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设立秘书处：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秘书长：郎燕庚  区体育总会负责人</w:t>
      </w: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组  员：曹新月</w:t>
      </w:r>
      <w:r>
        <w:rPr>
          <w:rFonts w:ascii="仿宋" w:hAnsi="仿宋" w:eastAsia="仿宋" w:cs="Times New Roman"/>
          <w:sz w:val="32"/>
          <w:szCs w:val="32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李宝栋、安山</w:t>
      </w:r>
      <w:r>
        <w:rPr>
          <w:rFonts w:ascii="仿宋" w:hAnsi="仿宋" w:eastAsia="仿宋" w:cs="Times New Roman"/>
          <w:sz w:val="32"/>
          <w:szCs w:val="32"/>
        </w:rPr>
        <w:t>、王昱</w:t>
      </w:r>
    </w:p>
    <w:p>
      <w:pPr>
        <w:spacing w:line="560" w:lineRule="exact"/>
        <w:ind w:firstLine="640" w:firstLineChars="200"/>
        <w:jc w:val="left"/>
        <w:outlineLvl w:val="2"/>
        <w:rPr>
          <w:rFonts w:ascii="仿宋" w:hAnsi="仿宋" w:eastAsia="仿宋" w:cs="Times New Roman"/>
          <w:bCs/>
          <w:kern w:val="28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28"/>
          <w:sz w:val="32"/>
          <w:szCs w:val="32"/>
        </w:rPr>
        <w:t>（二）项目管理情况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1、筹备阶段：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根据市级及</w:t>
      </w:r>
      <w:r>
        <w:rPr>
          <w:rFonts w:ascii="仿宋" w:hAnsi="仿宋" w:eastAsia="仿宋" w:cs="Times New Roman"/>
          <w:sz w:val="32"/>
          <w:szCs w:val="32"/>
        </w:rPr>
        <w:t>以上</w:t>
      </w:r>
      <w:r>
        <w:rPr>
          <w:rFonts w:hint="eastAsia" w:ascii="仿宋" w:hAnsi="仿宋" w:eastAsia="仿宋" w:cs="Times New Roman"/>
          <w:sz w:val="32"/>
          <w:szCs w:val="32"/>
        </w:rPr>
        <w:t>通知工作安排，经局党组研究决定后，召开部门会议进行分工。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2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.报名阶段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根据市级及</w:t>
      </w: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以上通知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工作安排，按照各项比赛活动通知、规程积极进行组队报名。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3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.具体实施阶段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各项比赛报名结束后，召开部门分工会，做到分工明确，责任到人。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由于加强了对该项目管理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，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从而确保参赛活动安全、顺利进行。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二、年度预算执行情况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2023</w:t>
      </w:r>
      <w:r>
        <w:rPr>
          <w:rFonts w:hint="eastAsia" w:ascii="仿宋_GB2312" w:hAnsi="宋体" w:eastAsia="仿宋_GB2312"/>
          <w:bCs/>
          <w:sz w:val="32"/>
          <w:szCs w:val="32"/>
        </w:rPr>
        <w:t>年组队参加国家体育锻炼标准</w:t>
      </w:r>
      <w:r>
        <w:rPr>
          <w:rFonts w:ascii="仿宋_GB2312" w:hAnsi="宋体" w:eastAsia="仿宋_GB2312"/>
          <w:bCs/>
          <w:sz w:val="32"/>
          <w:szCs w:val="32"/>
        </w:rPr>
        <w:t>、</w:t>
      </w:r>
      <w:r>
        <w:rPr>
          <w:rFonts w:hint="eastAsia" w:ascii="仿宋_GB2312" w:hAnsi="宋体" w:eastAsia="仿宋_GB2312"/>
          <w:bCs/>
          <w:sz w:val="32"/>
          <w:szCs w:val="32"/>
        </w:rPr>
        <w:t>全民健身</w:t>
      </w:r>
      <w:r>
        <w:rPr>
          <w:rFonts w:ascii="仿宋_GB2312" w:hAnsi="宋体" w:eastAsia="仿宋_GB2312"/>
          <w:bCs/>
          <w:sz w:val="32"/>
          <w:szCs w:val="32"/>
        </w:rPr>
        <w:t>交流团队、</w:t>
      </w:r>
      <w:r>
        <w:rPr>
          <w:rFonts w:hint="eastAsia" w:ascii="仿宋_GB2312" w:hAnsi="宋体" w:eastAsia="仿宋_GB2312"/>
          <w:bCs/>
          <w:sz w:val="32"/>
          <w:szCs w:val="32"/>
        </w:rPr>
        <w:t>毽球、</w:t>
      </w:r>
      <w:r>
        <w:rPr>
          <w:rFonts w:ascii="仿宋_GB2312" w:hAnsi="宋体" w:eastAsia="仿宋_GB2312"/>
          <w:bCs/>
          <w:sz w:val="32"/>
          <w:szCs w:val="32"/>
        </w:rPr>
        <w:t>门球</w:t>
      </w:r>
      <w:r>
        <w:rPr>
          <w:rFonts w:hint="eastAsia" w:ascii="仿宋_GB2312" w:hAnsi="宋体" w:eastAsia="仿宋_GB2312"/>
          <w:bCs/>
          <w:sz w:val="32"/>
          <w:szCs w:val="32"/>
        </w:rPr>
        <w:t>、</w:t>
      </w:r>
      <w:r>
        <w:rPr>
          <w:rFonts w:ascii="仿宋_GB2312" w:hAnsi="宋体" w:eastAsia="仿宋_GB2312"/>
          <w:bCs/>
          <w:sz w:val="32"/>
          <w:szCs w:val="32"/>
        </w:rPr>
        <w:t>篮球</w:t>
      </w:r>
      <w:r>
        <w:rPr>
          <w:rFonts w:hint="eastAsia" w:ascii="仿宋_GB2312" w:hAnsi="宋体" w:eastAsia="仿宋_GB2312"/>
          <w:bCs/>
          <w:sz w:val="32"/>
          <w:szCs w:val="32"/>
        </w:rPr>
        <w:t>等专项或综合性体育活动</w:t>
      </w:r>
      <w:r>
        <w:rPr>
          <w:rFonts w:ascii="仿宋_GB2312" w:hAnsi="宋体" w:eastAsia="仿宋_GB2312"/>
          <w:bCs/>
          <w:sz w:val="32"/>
          <w:szCs w:val="32"/>
        </w:rPr>
        <w:t>8</w:t>
      </w:r>
      <w:r>
        <w:rPr>
          <w:rFonts w:hint="eastAsia" w:ascii="仿宋_GB2312" w:hAnsi="宋体" w:eastAsia="仿宋_GB2312"/>
          <w:bCs/>
          <w:sz w:val="32"/>
          <w:szCs w:val="32"/>
        </w:rPr>
        <w:t>次以上，参与人数</w:t>
      </w:r>
      <w:r>
        <w:rPr>
          <w:rFonts w:ascii="仿宋_GB2312" w:hAnsi="宋体" w:eastAsia="仿宋_GB2312"/>
          <w:bCs/>
          <w:sz w:val="32"/>
          <w:szCs w:val="32"/>
        </w:rPr>
        <w:t>198</w:t>
      </w:r>
      <w:r>
        <w:rPr>
          <w:rFonts w:hint="eastAsia" w:ascii="仿宋_GB2312" w:hAnsi="宋体" w:eastAsia="仿宋_GB2312"/>
          <w:bCs/>
          <w:sz w:val="32"/>
          <w:szCs w:val="32"/>
        </w:rPr>
        <w:t>人，经费支出共计</w:t>
      </w:r>
      <w:r>
        <w:rPr>
          <w:rFonts w:ascii="仿宋_GB2312" w:hAnsi="宋体" w:eastAsia="仿宋_GB2312"/>
          <w:bCs/>
          <w:sz w:val="32"/>
          <w:szCs w:val="32"/>
        </w:rPr>
        <w:t>14.9675</w:t>
      </w:r>
      <w:r>
        <w:rPr>
          <w:rFonts w:hint="eastAsia" w:ascii="仿宋_GB2312" w:hAnsi="宋体" w:eastAsia="仿宋_GB2312"/>
          <w:bCs/>
          <w:sz w:val="32"/>
          <w:szCs w:val="32"/>
        </w:rPr>
        <w:t>万元。</w:t>
      </w:r>
      <w:r>
        <w:rPr>
          <w:rFonts w:ascii="仿宋_GB2312" w:hAnsi="宋体" w:eastAsia="仿宋_GB2312"/>
          <w:bCs/>
          <w:sz w:val="32"/>
          <w:szCs w:val="32"/>
        </w:rPr>
        <w:t xml:space="preserve">       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三、</w:t>
      </w:r>
      <w:bookmarkEnd w:id="0"/>
      <w:r>
        <w:rPr>
          <w:rFonts w:hint="eastAsia" w:ascii="黑体" w:hAnsi="黑体" w:eastAsia="黑体" w:cs="宋体"/>
          <w:bCs/>
          <w:kern w:val="0"/>
          <w:sz w:val="32"/>
          <w:szCs w:val="32"/>
        </w:rPr>
        <w:t>绩效目标情况及分析</w:t>
      </w:r>
    </w:p>
    <w:p>
      <w:pPr>
        <w:spacing w:line="520" w:lineRule="exact"/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（一）绩效目标完成情况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2023</w:t>
      </w:r>
      <w:r>
        <w:rPr>
          <w:rFonts w:hint="eastAsia" w:ascii="仿宋_GB2312" w:hAnsi="宋体" w:eastAsia="仿宋_GB2312"/>
          <w:bCs/>
          <w:sz w:val="32"/>
          <w:szCs w:val="32"/>
        </w:rPr>
        <w:t>年组队参加国家体育锻炼标准</w:t>
      </w:r>
      <w:r>
        <w:rPr>
          <w:rFonts w:ascii="仿宋_GB2312" w:hAnsi="宋体" w:eastAsia="仿宋_GB2312"/>
          <w:bCs/>
          <w:sz w:val="32"/>
          <w:szCs w:val="32"/>
        </w:rPr>
        <w:t>、</w:t>
      </w:r>
      <w:r>
        <w:rPr>
          <w:rFonts w:hint="eastAsia" w:ascii="仿宋_GB2312" w:hAnsi="宋体" w:eastAsia="仿宋_GB2312"/>
          <w:bCs/>
          <w:sz w:val="32"/>
          <w:szCs w:val="32"/>
        </w:rPr>
        <w:t>全民健身</w:t>
      </w:r>
      <w:r>
        <w:rPr>
          <w:rFonts w:ascii="仿宋_GB2312" w:hAnsi="宋体" w:eastAsia="仿宋_GB2312"/>
          <w:bCs/>
          <w:sz w:val="32"/>
          <w:szCs w:val="32"/>
        </w:rPr>
        <w:t>交流团队、</w:t>
      </w:r>
      <w:r>
        <w:rPr>
          <w:rFonts w:hint="eastAsia" w:ascii="仿宋_GB2312" w:hAnsi="宋体" w:eastAsia="仿宋_GB2312"/>
          <w:bCs/>
          <w:sz w:val="32"/>
          <w:szCs w:val="32"/>
        </w:rPr>
        <w:t>毽球、</w:t>
      </w:r>
      <w:r>
        <w:rPr>
          <w:rFonts w:ascii="仿宋_GB2312" w:hAnsi="宋体" w:eastAsia="仿宋_GB2312"/>
          <w:bCs/>
          <w:sz w:val="32"/>
          <w:szCs w:val="32"/>
        </w:rPr>
        <w:t>门球</w:t>
      </w:r>
      <w:r>
        <w:rPr>
          <w:rFonts w:hint="eastAsia" w:ascii="仿宋_GB2312" w:hAnsi="宋体" w:eastAsia="仿宋_GB2312"/>
          <w:bCs/>
          <w:sz w:val="32"/>
          <w:szCs w:val="32"/>
        </w:rPr>
        <w:t>、</w:t>
      </w:r>
      <w:r>
        <w:rPr>
          <w:rFonts w:ascii="仿宋_GB2312" w:hAnsi="宋体" w:eastAsia="仿宋_GB2312"/>
          <w:bCs/>
          <w:sz w:val="32"/>
          <w:szCs w:val="32"/>
        </w:rPr>
        <w:t>篮球</w:t>
      </w:r>
      <w:r>
        <w:rPr>
          <w:rFonts w:hint="eastAsia" w:ascii="仿宋_GB2312" w:hAnsi="宋体" w:eastAsia="仿宋_GB2312"/>
          <w:bCs/>
          <w:sz w:val="32"/>
          <w:szCs w:val="32"/>
        </w:rPr>
        <w:t>等专项或综合性体育活动</w:t>
      </w:r>
      <w:r>
        <w:rPr>
          <w:rFonts w:ascii="仿宋_GB2312" w:hAnsi="宋体" w:eastAsia="仿宋_GB2312"/>
          <w:bCs/>
          <w:sz w:val="32"/>
          <w:szCs w:val="32"/>
        </w:rPr>
        <w:t>8</w:t>
      </w:r>
      <w:r>
        <w:rPr>
          <w:rFonts w:hint="eastAsia" w:ascii="仿宋_GB2312" w:hAnsi="宋体" w:eastAsia="仿宋_GB2312"/>
          <w:bCs/>
          <w:sz w:val="32"/>
          <w:szCs w:val="32"/>
        </w:rPr>
        <w:t>次以上，参与人数</w:t>
      </w:r>
      <w:r>
        <w:rPr>
          <w:rFonts w:ascii="仿宋_GB2312" w:hAnsi="宋体" w:eastAsia="仿宋_GB2312"/>
          <w:bCs/>
          <w:sz w:val="32"/>
          <w:szCs w:val="32"/>
        </w:rPr>
        <w:t>198</w:t>
      </w:r>
      <w:r>
        <w:rPr>
          <w:rFonts w:hint="eastAsia" w:ascii="仿宋_GB2312" w:hAnsi="宋体" w:eastAsia="仿宋_GB2312"/>
          <w:bCs/>
          <w:sz w:val="32"/>
          <w:szCs w:val="32"/>
        </w:rPr>
        <w:t>人，经费支出共计</w:t>
      </w:r>
      <w:r>
        <w:rPr>
          <w:rFonts w:ascii="仿宋_GB2312" w:hAnsi="宋体" w:eastAsia="仿宋_GB2312"/>
          <w:bCs/>
          <w:sz w:val="32"/>
          <w:szCs w:val="32"/>
        </w:rPr>
        <w:t>14.9675</w:t>
      </w:r>
      <w:r>
        <w:rPr>
          <w:rFonts w:hint="eastAsia" w:ascii="仿宋_GB2312" w:hAnsi="宋体" w:eastAsia="仿宋_GB2312"/>
          <w:bCs/>
          <w:sz w:val="32"/>
          <w:szCs w:val="32"/>
        </w:rPr>
        <w:t>万元。</w:t>
      </w:r>
      <w:r>
        <w:rPr>
          <w:rFonts w:ascii="仿宋_GB2312" w:hAnsi="宋体" w:eastAsia="仿宋_GB2312"/>
          <w:bCs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 </w:t>
      </w:r>
      <w:r>
        <w:rPr>
          <w:rFonts w:ascii="仿宋_GB2312" w:hAnsi="宋体" w:eastAsia="仿宋_GB2312"/>
          <w:bCs/>
          <w:sz w:val="32"/>
          <w:szCs w:val="32"/>
        </w:rPr>
        <w:t xml:space="preserve"> </w:t>
      </w:r>
    </w:p>
    <w:p>
      <w:pPr>
        <w:spacing w:line="520" w:lineRule="exact"/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（二）原因分析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仿宋_GB2312" w:hAnsi="宋体" w:eastAsia="仿宋_GB2312"/>
          <w:bCs/>
          <w:sz w:val="32"/>
          <w:szCs w:val="32"/>
        </w:rPr>
      </w:pPr>
      <w:bookmarkStart w:id="1" w:name="_Toc169183188"/>
      <w:r>
        <w:rPr>
          <w:rFonts w:hint="eastAsia" w:ascii="仿宋_GB2312" w:hAnsi="宋体" w:eastAsia="仿宋_GB2312"/>
          <w:bCs/>
          <w:sz w:val="32"/>
          <w:szCs w:val="32"/>
        </w:rPr>
        <w:t>无调整。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</w:t>
      </w:r>
      <w:bookmarkEnd w:id="1"/>
      <w:r>
        <w:rPr>
          <w:rFonts w:hint="eastAsia" w:ascii="黑体" w:hAnsi="黑体" w:eastAsia="黑体" w:cs="宋体"/>
          <w:bCs/>
          <w:kern w:val="0"/>
          <w:sz w:val="32"/>
          <w:szCs w:val="32"/>
        </w:rPr>
        <w:t>意见和建议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无意见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2" w:name="_Toc169183194"/>
      <w:r>
        <w:rPr>
          <w:rFonts w:hint="eastAsia" w:ascii="黑体" w:hAnsi="黑体" w:eastAsia="黑体" w:cs="宋体"/>
          <w:bCs/>
          <w:kern w:val="0"/>
          <w:sz w:val="32"/>
          <w:szCs w:val="32"/>
        </w:rPr>
        <w:t>五、</w:t>
      </w:r>
      <w:bookmarkEnd w:id="2"/>
      <w:r>
        <w:rPr>
          <w:rFonts w:hint="eastAsia" w:ascii="黑体" w:hAnsi="黑体" w:eastAsia="黑体" w:cs="宋体"/>
          <w:bCs/>
          <w:kern w:val="0"/>
          <w:sz w:val="32"/>
          <w:szCs w:val="32"/>
        </w:rPr>
        <w:t>其他需要说明的问题</w:t>
      </w:r>
    </w:p>
    <w:p>
      <w:pPr>
        <w:pStyle w:val="5"/>
        <w:spacing w:line="560" w:lineRule="exact"/>
        <w:ind w:firstLine="643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（一）主要经验及做法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领导重视，组织健全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为了保证组队参赛顺利进行，成立了以局主要领导挂帅的组织机构，召开部门协调会，做到分工明确，责任到人。</w:t>
      </w:r>
    </w:p>
    <w:p>
      <w:pPr>
        <w:pStyle w:val="5"/>
        <w:spacing w:line="560" w:lineRule="exact"/>
        <w:ind w:firstLine="643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（二）存在问题和建议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．赛后宣传工作需进一步加强。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．经济带动作用不够。</w:t>
      </w:r>
    </w:p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3. 生态</w:t>
      </w:r>
      <w:r>
        <w:rPr>
          <w:rFonts w:ascii="仿宋_GB2312" w:eastAsia="仿宋_GB2312"/>
          <w:sz w:val="32"/>
          <w:szCs w:val="32"/>
        </w:rPr>
        <w:t>带动作用不足。</w:t>
      </w: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通州区</w:t>
      </w:r>
      <w:r>
        <w:rPr>
          <w:rFonts w:ascii="仿宋_GB2312" w:eastAsia="仿宋_GB2312"/>
          <w:sz w:val="32"/>
          <w:szCs w:val="32"/>
        </w:rPr>
        <w:t>体育</w:t>
      </w:r>
      <w:r>
        <w:rPr>
          <w:rFonts w:hint="eastAsia" w:ascii="仿宋_GB2312" w:eastAsia="仿宋_GB2312"/>
          <w:sz w:val="32"/>
          <w:szCs w:val="32"/>
        </w:rPr>
        <w:t>总会</w:t>
      </w:r>
    </w:p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日</w:t>
      </w:r>
      <w:bookmarkStart w:id="3" w:name="_GoBack"/>
      <w:bookmarkEnd w:id="3"/>
    </w:p>
    <w:sectPr>
      <w:pgSz w:w="11906" w:h="16838"/>
      <w:pgMar w:top="1803" w:right="1440" w:bottom="180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529AF"/>
    <w:rsid w:val="0000279D"/>
    <w:rsid w:val="00020235"/>
    <w:rsid w:val="000A0E87"/>
    <w:rsid w:val="000A35B0"/>
    <w:rsid w:val="000A56A7"/>
    <w:rsid w:val="000D7AC8"/>
    <w:rsid w:val="000F76B3"/>
    <w:rsid w:val="00114CB4"/>
    <w:rsid w:val="00120504"/>
    <w:rsid w:val="00157171"/>
    <w:rsid w:val="001719FE"/>
    <w:rsid w:val="00190F2B"/>
    <w:rsid w:val="00194618"/>
    <w:rsid w:val="001A5ABF"/>
    <w:rsid w:val="001C12BD"/>
    <w:rsid w:val="001C1B65"/>
    <w:rsid w:val="001C7F0A"/>
    <w:rsid w:val="001D3BAA"/>
    <w:rsid w:val="001F162B"/>
    <w:rsid w:val="00224EB5"/>
    <w:rsid w:val="00254467"/>
    <w:rsid w:val="00267552"/>
    <w:rsid w:val="002B0E2A"/>
    <w:rsid w:val="002D2634"/>
    <w:rsid w:val="002E190B"/>
    <w:rsid w:val="0037029A"/>
    <w:rsid w:val="0037527C"/>
    <w:rsid w:val="00396020"/>
    <w:rsid w:val="003C0306"/>
    <w:rsid w:val="003E5994"/>
    <w:rsid w:val="003F1ED4"/>
    <w:rsid w:val="003F56C0"/>
    <w:rsid w:val="00405EEF"/>
    <w:rsid w:val="004138BE"/>
    <w:rsid w:val="0044469F"/>
    <w:rsid w:val="00465AF9"/>
    <w:rsid w:val="00486110"/>
    <w:rsid w:val="004904A7"/>
    <w:rsid w:val="0049152F"/>
    <w:rsid w:val="00493CBB"/>
    <w:rsid w:val="004C022F"/>
    <w:rsid w:val="004C79E9"/>
    <w:rsid w:val="005622C2"/>
    <w:rsid w:val="00592004"/>
    <w:rsid w:val="00594247"/>
    <w:rsid w:val="005E57E7"/>
    <w:rsid w:val="006247CE"/>
    <w:rsid w:val="00626D99"/>
    <w:rsid w:val="00631181"/>
    <w:rsid w:val="006535C2"/>
    <w:rsid w:val="00654E08"/>
    <w:rsid w:val="00671F69"/>
    <w:rsid w:val="006A1DFB"/>
    <w:rsid w:val="006A6CD3"/>
    <w:rsid w:val="006B4A7A"/>
    <w:rsid w:val="006D2D02"/>
    <w:rsid w:val="006F705D"/>
    <w:rsid w:val="0070488C"/>
    <w:rsid w:val="00713649"/>
    <w:rsid w:val="00736FFC"/>
    <w:rsid w:val="007529AF"/>
    <w:rsid w:val="00780AD5"/>
    <w:rsid w:val="007F55D6"/>
    <w:rsid w:val="00830212"/>
    <w:rsid w:val="00852955"/>
    <w:rsid w:val="008A4D82"/>
    <w:rsid w:val="008B4C02"/>
    <w:rsid w:val="008E3479"/>
    <w:rsid w:val="00932F53"/>
    <w:rsid w:val="009509AE"/>
    <w:rsid w:val="00951F5E"/>
    <w:rsid w:val="00976CF6"/>
    <w:rsid w:val="009F6C3B"/>
    <w:rsid w:val="00A0496B"/>
    <w:rsid w:val="00A272DC"/>
    <w:rsid w:val="00A37D8B"/>
    <w:rsid w:val="00A47A74"/>
    <w:rsid w:val="00A5375F"/>
    <w:rsid w:val="00A64858"/>
    <w:rsid w:val="00A7065A"/>
    <w:rsid w:val="00A90952"/>
    <w:rsid w:val="00AA76B7"/>
    <w:rsid w:val="00AB0615"/>
    <w:rsid w:val="00AB2E65"/>
    <w:rsid w:val="00AB39DE"/>
    <w:rsid w:val="00AB4EB9"/>
    <w:rsid w:val="00AE4D83"/>
    <w:rsid w:val="00AF228A"/>
    <w:rsid w:val="00B04396"/>
    <w:rsid w:val="00B345F5"/>
    <w:rsid w:val="00B70175"/>
    <w:rsid w:val="00BB6C0B"/>
    <w:rsid w:val="00BF5185"/>
    <w:rsid w:val="00C40C7B"/>
    <w:rsid w:val="00C73103"/>
    <w:rsid w:val="00C74520"/>
    <w:rsid w:val="00C944B5"/>
    <w:rsid w:val="00C9624D"/>
    <w:rsid w:val="00CA7094"/>
    <w:rsid w:val="00CD0CD9"/>
    <w:rsid w:val="00CD5DBB"/>
    <w:rsid w:val="00CE6FBF"/>
    <w:rsid w:val="00CF777B"/>
    <w:rsid w:val="00D051CA"/>
    <w:rsid w:val="00D132E9"/>
    <w:rsid w:val="00D63E12"/>
    <w:rsid w:val="00D7024B"/>
    <w:rsid w:val="00D86FEA"/>
    <w:rsid w:val="00DD53FF"/>
    <w:rsid w:val="00E15E8A"/>
    <w:rsid w:val="00E17654"/>
    <w:rsid w:val="00E7493B"/>
    <w:rsid w:val="00E848F7"/>
    <w:rsid w:val="00EA12BA"/>
    <w:rsid w:val="00EA419E"/>
    <w:rsid w:val="00EC6651"/>
    <w:rsid w:val="00F325D5"/>
    <w:rsid w:val="00F57AA8"/>
    <w:rsid w:val="00F8462F"/>
    <w:rsid w:val="00FC656D"/>
    <w:rsid w:val="00FD1F76"/>
    <w:rsid w:val="09FD0D99"/>
    <w:rsid w:val="22D56551"/>
    <w:rsid w:val="2CF077F9"/>
    <w:rsid w:val="325C2CBB"/>
    <w:rsid w:val="33554BCC"/>
    <w:rsid w:val="374522F0"/>
    <w:rsid w:val="3BA80795"/>
    <w:rsid w:val="4AD0241A"/>
    <w:rsid w:val="4F6F3786"/>
    <w:rsid w:val="5CD61BFF"/>
    <w:rsid w:val="64AA2E81"/>
    <w:rsid w:val="7486531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2"/>
    <w:qFormat/>
    <w:uiPriority w:val="0"/>
    <w:pPr>
      <w:ind w:firstLine="200" w:firstLineChars="200"/>
      <w:jc w:val="left"/>
      <w:outlineLvl w:val="2"/>
    </w:pPr>
    <w:rPr>
      <w:rFonts w:ascii="Cambria" w:hAnsi="Cambria" w:eastAsia="黑体" w:cs="Times New Roman"/>
      <w:bCs/>
      <w:kern w:val="28"/>
      <w:sz w:val="28"/>
      <w:szCs w:val="32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副标题 Char"/>
    <w:aliases w:val="标题3副 Char"/>
    <w:basedOn w:val="7"/>
    <w:link w:val="5"/>
    <w:locked/>
    <w:uiPriority w:val="0"/>
    <w:rPr>
      <w:rFonts w:ascii="Cambria" w:hAnsi="Cambria" w:eastAsia="黑体"/>
      <w:bCs/>
      <w:kern w:val="28"/>
      <w:sz w:val="28"/>
      <w:szCs w:val="32"/>
    </w:rPr>
  </w:style>
  <w:style w:type="character" w:customStyle="1" w:styleId="13">
    <w:name w:val="副标题 Char1"/>
    <w:basedOn w:val="7"/>
    <w:uiPriority w:val="11"/>
    <w:rPr>
      <w:rFonts w:ascii="Cambria" w:hAnsi="Cambria" w:cs="黑体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297</Words>
  <Characters>1694</Characters>
  <Lines>14</Lines>
  <Paragraphs>3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a</dc:creator>
  <cp:lastModifiedBy>Administrator</cp:lastModifiedBy>
  <cp:lastPrinted>2021-02-02T04:29:00Z</cp:lastPrinted>
  <dcterms:modified xsi:type="dcterms:W3CDTF">2024-04-18T08:48:30Z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48F7B63F84064C6E894F95A3370444B8</vt:lpwstr>
  </property>
</Properties>
</file>