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北京城市副中心（通州区）体育场地普查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王晋豫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</w:rPr>
              <w:t>摸清我区体育场地底数和增涨水平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</w:rPr>
              <w:t>摸清我区体育场地底数和增涨水平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，并计算出人均体育场地面积。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梳理通州区体育场地基本情况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</w:rPr>
              <w:t>全区体育场地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有效摸清体育场地设施现状布局、类型、数量、场地面积等信息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</w:rPr>
              <w:t>摸清底数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明确体育场地设施建设短板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</w:rPr>
              <w:t>提升人均体育场地指标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</w:rPr>
              <w:t>1年内完成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普查费用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社会体育影响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促进体育事业发展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是否满意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</w:rPr>
        <w:t>为贯彻落实党中央、国务院决策部署，推进实施健康中国和全民健身国家战略，构建更高水平的全民健身公共服务体系，加快体育强国建设，党中央、国务院近年来高度重视全民健身发展，做好本次北京城市副中心（通州区）群众体育发展情况调查工作，可以有效摸清群众体育发展总体情况，具体包括体育场地建设情况、群众体育组织建设情况、经常参加体育锻炼人口情况、科学健身站点建设情况、体育产业发展情况等，项目将形成《北京城市副中心（通州区）群众体育发展情况调查报告》，明确群众体育发展现状与存在问题，将为推动群众体育高质量发展</w:t>
      </w:r>
      <w:r>
        <w:rPr>
          <w:rFonts w:hint="eastAsia"/>
          <w:lang w:eastAsia="zh-CN"/>
        </w:rPr>
        <w:t>。投入资金共计</w:t>
      </w:r>
      <w:r>
        <w:rPr>
          <w:rFonts w:hint="eastAsia"/>
          <w:lang w:val="en-US" w:eastAsia="zh-CN"/>
        </w:rPr>
        <w:t>9.8万元。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kern w:val="0"/>
          <w:sz w:val="20"/>
          <w:szCs w:val="20"/>
          <w:highlight w:val="none"/>
        </w:rPr>
        <w:t>明确群众体育发展现状与存在问题，将为推动群众体育高质量发展，构建更高水平的全民健身公共服务体系提供依据，通州区群众体育发展决策提供依据，为十四五规划总结十五五规划编制奠定基础。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持续挖潜通州区体育场地数量、面积。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现场核验通州区企业、学习、健身房等体育场地。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pStyle w:val="2"/>
      </w:pPr>
      <w:r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  <w:t>2023年全区体育场地数量共计3111个，体育场地总面积达4702050平方米。以第七次全国人口普查全区常住人口184.3万人计算，平均每万人拥有体育场地数量16.88个，人均体育场地面积2.55平方米。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pStyle w:val="2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pStyle w:val="2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2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auto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4097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1534994"/>
    <w:rsid w:val="0C8165E0"/>
    <w:rsid w:val="0FFD0235"/>
    <w:rsid w:val="1EA03416"/>
    <w:rsid w:val="1EB067E8"/>
    <w:rsid w:val="1F5F7869"/>
    <w:rsid w:val="1FBF9A43"/>
    <w:rsid w:val="217F16AC"/>
    <w:rsid w:val="26FF6E55"/>
    <w:rsid w:val="2CBF8107"/>
    <w:rsid w:val="2DFD8F38"/>
    <w:rsid w:val="2EB70209"/>
    <w:rsid w:val="30FF2B40"/>
    <w:rsid w:val="349FC309"/>
    <w:rsid w:val="35D339CB"/>
    <w:rsid w:val="35FFE12B"/>
    <w:rsid w:val="3B7B36D1"/>
    <w:rsid w:val="3C5F47D7"/>
    <w:rsid w:val="3DAB2AD7"/>
    <w:rsid w:val="3DDD467E"/>
    <w:rsid w:val="3F7A326C"/>
    <w:rsid w:val="3FF79B31"/>
    <w:rsid w:val="421FDE33"/>
    <w:rsid w:val="47F747B9"/>
    <w:rsid w:val="4A93F9AB"/>
    <w:rsid w:val="4BA31FDB"/>
    <w:rsid w:val="4BFF9656"/>
    <w:rsid w:val="4DFDA2D9"/>
    <w:rsid w:val="4FDF9C4E"/>
    <w:rsid w:val="50FDF724"/>
    <w:rsid w:val="51A90D53"/>
    <w:rsid w:val="537B9DA3"/>
    <w:rsid w:val="55A368F1"/>
    <w:rsid w:val="55EBD934"/>
    <w:rsid w:val="571A29D9"/>
    <w:rsid w:val="57FB0050"/>
    <w:rsid w:val="58AFDF45"/>
    <w:rsid w:val="59CFB6DD"/>
    <w:rsid w:val="5A474F5C"/>
    <w:rsid w:val="5BF745CD"/>
    <w:rsid w:val="5C979F42"/>
    <w:rsid w:val="5DDF52D1"/>
    <w:rsid w:val="5EDB0B63"/>
    <w:rsid w:val="5F5FB9CE"/>
    <w:rsid w:val="5F9F33EB"/>
    <w:rsid w:val="5FF77552"/>
    <w:rsid w:val="60F5BCF5"/>
    <w:rsid w:val="64FDB36A"/>
    <w:rsid w:val="67BDBCED"/>
    <w:rsid w:val="68BB4D33"/>
    <w:rsid w:val="6A539378"/>
    <w:rsid w:val="6AC7B1A3"/>
    <w:rsid w:val="6B4D0F4E"/>
    <w:rsid w:val="6B77FB6F"/>
    <w:rsid w:val="6DB20DA3"/>
    <w:rsid w:val="6DF7BF46"/>
    <w:rsid w:val="6EE9A86C"/>
    <w:rsid w:val="6FBFF0E8"/>
    <w:rsid w:val="6FD43E60"/>
    <w:rsid w:val="70BC5AFB"/>
    <w:rsid w:val="71F6DEDC"/>
    <w:rsid w:val="7378C037"/>
    <w:rsid w:val="763E871D"/>
    <w:rsid w:val="76B759A5"/>
    <w:rsid w:val="76EF55D2"/>
    <w:rsid w:val="76FF9C25"/>
    <w:rsid w:val="79EBFCAD"/>
    <w:rsid w:val="79FF262E"/>
    <w:rsid w:val="7A7F0E54"/>
    <w:rsid w:val="7BBD97BD"/>
    <w:rsid w:val="7BFE4A5B"/>
    <w:rsid w:val="7BFFEC6B"/>
    <w:rsid w:val="7CFF0B41"/>
    <w:rsid w:val="7D7615C5"/>
    <w:rsid w:val="7DBF4FBB"/>
    <w:rsid w:val="7DCD9330"/>
    <w:rsid w:val="7DCDE01E"/>
    <w:rsid w:val="7DD758A1"/>
    <w:rsid w:val="7DF6CF6C"/>
    <w:rsid w:val="7E562264"/>
    <w:rsid w:val="7E5EB5A1"/>
    <w:rsid w:val="7F2773F9"/>
    <w:rsid w:val="7F3909BD"/>
    <w:rsid w:val="7F7C49BA"/>
    <w:rsid w:val="7F7E832A"/>
    <w:rsid w:val="7FA998D0"/>
    <w:rsid w:val="7FBF70D0"/>
    <w:rsid w:val="7FD3B083"/>
    <w:rsid w:val="7FDE6D38"/>
    <w:rsid w:val="7FED492F"/>
    <w:rsid w:val="7FF719AD"/>
    <w:rsid w:val="7FFFC669"/>
    <w:rsid w:val="9BC1685B"/>
    <w:rsid w:val="9BFD2FEF"/>
    <w:rsid w:val="9D7FBE9E"/>
    <w:rsid w:val="9DFFF5D3"/>
    <w:rsid w:val="9F5FAC71"/>
    <w:rsid w:val="9F77CD50"/>
    <w:rsid w:val="A7FEBA40"/>
    <w:rsid w:val="A9BB458C"/>
    <w:rsid w:val="AEF257B7"/>
    <w:rsid w:val="AF799148"/>
    <w:rsid w:val="AFDDEFDC"/>
    <w:rsid w:val="B2DFF942"/>
    <w:rsid w:val="B2EFEB2D"/>
    <w:rsid w:val="B3378342"/>
    <w:rsid w:val="B5CF317C"/>
    <w:rsid w:val="B5FC34C6"/>
    <w:rsid w:val="B6FBDB78"/>
    <w:rsid w:val="B977D400"/>
    <w:rsid w:val="BADE507E"/>
    <w:rsid w:val="BAEFCA12"/>
    <w:rsid w:val="BBAB57F8"/>
    <w:rsid w:val="BD5D8A02"/>
    <w:rsid w:val="BEBBE250"/>
    <w:rsid w:val="BF7F4D49"/>
    <w:rsid w:val="C77DB7ED"/>
    <w:rsid w:val="CB8B8B21"/>
    <w:rsid w:val="D4CEDA1A"/>
    <w:rsid w:val="D5A31DC0"/>
    <w:rsid w:val="D7FF1616"/>
    <w:rsid w:val="DD67EA16"/>
    <w:rsid w:val="DD7FFA7F"/>
    <w:rsid w:val="DDDF03AD"/>
    <w:rsid w:val="DEB0598B"/>
    <w:rsid w:val="DEF95C60"/>
    <w:rsid w:val="DFDD17A1"/>
    <w:rsid w:val="DFEAA56F"/>
    <w:rsid w:val="DFED2421"/>
    <w:rsid w:val="DFEDEDEB"/>
    <w:rsid w:val="DFFECE7A"/>
    <w:rsid w:val="E6922BE3"/>
    <w:rsid w:val="E6DE2EAD"/>
    <w:rsid w:val="E7B55A2A"/>
    <w:rsid w:val="E7DF19CA"/>
    <w:rsid w:val="E7EFC7EE"/>
    <w:rsid w:val="EAF55AB7"/>
    <w:rsid w:val="EB5BB730"/>
    <w:rsid w:val="EBF3F816"/>
    <w:rsid w:val="ED9F0A4A"/>
    <w:rsid w:val="EDFF835A"/>
    <w:rsid w:val="EE7F1C03"/>
    <w:rsid w:val="EEAF42BB"/>
    <w:rsid w:val="EEBB59E1"/>
    <w:rsid w:val="EEDF32F9"/>
    <w:rsid w:val="EFCF022D"/>
    <w:rsid w:val="EFDFCE5F"/>
    <w:rsid w:val="F29D7DA2"/>
    <w:rsid w:val="F37B3AB2"/>
    <w:rsid w:val="F3DECDF3"/>
    <w:rsid w:val="F4D7B4AD"/>
    <w:rsid w:val="F5DB5F4D"/>
    <w:rsid w:val="F5DF3D5B"/>
    <w:rsid w:val="F66B4AA9"/>
    <w:rsid w:val="F66C730D"/>
    <w:rsid w:val="F67F106B"/>
    <w:rsid w:val="F6FF4047"/>
    <w:rsid w:val="F77ED6F9"/>
    <w:rsid w:val="F795A08C"/>
    <w:rsid w:val="F7CE3CC6"/>
    <w:rsid w:val="F7E365DE"/>
    <w:rsid w:val="F7FE91DD"/>
    <w:rsid w:val="F7FFCF15"/>
    <w:rsid w:val="F8F7BA10"/>
    <w:rsid w:val="F9C565F9"/>
    <w:rsid w:val="F9FFC181"/>
    <w:rsid w:val="FA5A168B"/>
    <w:rsid w:val="FAFDE2AF"/>
    <w:rsid w:val="FBAF3677"/>
    <w:rsid w:val="FBBBDA6B"/>
    <w:rsid w:val="FBE7DE9D"/>
    <w:rsid w:val="FBFAFFF9"/>
    <w:rsid w:val="FC1BE9CB"/>
    <w:rsid w:val="FC9B65C2"/>
    <w:rsid w:val="FD3F40DC"/>
    <w:rsid w:val="FD7F9B32"/>
    <w:rsid w:val="FDFD9CEF"/>
    <w:rsid w:val="FDFF69EE"/>
    <w:rsid w:val="FEF8056D"/>
    <w:rsid w:val="FEF82787"/>
    <w:rsid w:val="FEFD3F0E"/>
    <w:rsid w:val="FF5A43BC"/>
    <w:rsid w:val="FF7BC4FE"/>
    <w:rsid w:val="FF9E425D"/>
    <w:rsid w:val="FFBDEA55"/>
    <w:rsid w:val="FFE9C46A"/>
    <w:rsid w:val="FFEBA20C"/>
    <w:rsid w:val="FFEFE5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3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4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user</cp:lastModifiedBy>
  <cp:lastPrinted>2024-03-30T17:59:00Z</cp:lastPrinted>
  <dcterms:modified xsi:type="dcterms:W3CDTF">2024-04-18T11:31:10Z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