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761"/>
        <w:gridCol w:w="950"/>
        <w:gridCol w:w="1062"/>
        <w:gridCol w:w="851"/>
        <w:gridCol w:w="263"/>
        <w:gridCol w:w="697"/>
        <w:gridCol w:w="1243"/>
        <w:gridCol w:w="817"/>
        <w:gridCol w:w="171"/>
        <w:gridCol w:w="512"/>
        <w:gridCol w:w="324"/>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89"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2023年通州区社会体育指导员培训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5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38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尚依侬</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5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18519160798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33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bookmarkStart w:id="0" w:name="_GoBack"/>
            <w:r>
              <w:rPr>
                <w:rFonts w:hint="eastAsia" w:ascii="宋体" w:hAnsi="宋体" w:cs="宋体"/>
                <w:color w:val="auto"/>
                <w:kern w:val="0"/>
                <w:sz w:val="18"/>
                <w:szCs w:val="18"/>
                <w:lang w:val="en-US" w:eastAsia="zh-CN"/>
              </w:rPr>
              <w:t>59.86</w:t>
            </w:r>
            <w:bookmarkEnd w:id="0"/>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6"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5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7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5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在2025年实现十四五规划中社会体育指导员数量达到总人口千分之三点四指标。</w:t>
            </w:r>
          </w:p>
        </w:tc>
        <w:tc>
          <w:tcPr>
            <w:tcW w:w="37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举办1次冰雪社会体育指导员培训班，2000人次参加培训班，共</w:t>
            </w:r>
            <w:r>
              <w:rPr>
                <w:rFonts w:hint="eastAsia" w:ascii="宋体" w:hAnsi="宋体" w:cs="宋体"/>
                <w:kern w:val="0"/>
                <w:sz w:val="20"/>
                <w:szCs w:val="20"/>
                <w:lang w:eastAsia="zh-CN"/>
              </w:rPr>
              <w:t>培训</w:t>
            </w:r>
            <w:r>
              <w:rPr>
                <w:rFonts w:hint="eastAsia" w:ascii="宋体" w:hAnsi="宋体" w:cs="宋体"/>
                <w:kern w:val="0"/>
                <w:sz w:val="20"/>
                <w:szCs w:val="20"/>
                <w:lang w:val="en-US" w:eastAsia="zh-CN"/>
              </w:rPr>
              <w:t>2002人</w:t>
            </w:r>
            <w:r>
              <w:rPr>
                <w:rFonts w:hint="eastAsia" w:ascii="宋体" w:hAnsi="宋体" w:cs="宋体"/>
                <w:kern w:val="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r>
            <w:r>
              <w:rPr>
                <w:rFonts w:hint="eastAsia" w:ascii="宋体" w:hAnsi="宋体" w:cs="宋体"/>
                <w:color w:val="auto"/>
                <w:kern w:val="0"/>
                <w:sz w:val="18"/>
                <w:szCs w:val="18"/>
              </w:rPr>
              <w:t>效</w:t>
            </w:r>
            <w:r>
              <w:rPr>
                <w:rFonts w:hint="eastAsia" w:ascii="宋体" w:hAnsi="宋体" w:cs="宋体"/>
                <w:color w:val="auto"/>
                <w:kern w:val="0"/>
                <w:sz w:val="18"/>
                <w:szCs w:val="18"/>
              </w:rPr>
              <w:br/>
            </w:r>
            <w:r>
              <w:rPr>
                <w:rFonts w:hint="eastAsia" w:ascii="宋体" w:hAnsi="宋体" w:cs="宋体"/>
                <w:color w:val="auto"/>
                <w:kern w:val="0"/>
                <w:sz w:val="18"/>
                <w:szCs w:val="18"/>
              </w:rPr>
              <w:t>指</w:t>
            </w:r>
            <w:r>
              <w:rPr>
                <w:rFonts w:hint="eastAsia" w:ascii="宋体" w:hAnsi="宋体" w:cs="宋体"/>
                <w:color w:val="auto"/>
                <w:kern w:val="0"/>
                <w:sz w:val="18"/>
                <w:szCs w:val="18"/>
              </w:rPr>
              <w:br/>
            </w:r>
            <w:r>
              <w:rPr>
                <w:rFonts w:hint="eastAsia" w:ascii="宋体" w:hAnsi="宋体" w:cs="宋体"/>
                <w:color w:val="auto"/>
                <w:kern w:val="0"/>
                <w:sz w:val="18"/>
                <w:szCs w:val="18"/>
              </w:rPr>
              <w:t>标</w:t>
            </w:r>
          </w:p>
        </w:tc>
        <w:tc>
          <w:tcPr>
            <w:tcW w:w="7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rPr>
              <w:t>活动参与率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eastAsia="宋体" w:cs="宋体"/>
                <w:i w:val="0"/>
                <w:iCs w:val="0"/>
                <w:color w:val="000000"/>
                <w:kern w:val="0"/>
                <w:sz w:val="18"/>
                <w:szCs w:val="18"/>
                <w:u w:val="none"/>
                <w:lang w:val="en-US" w:eastAsia="zh-CN"/>
              </w:rPr>
              <w:t>活动覆盖率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rPr>
              <w:t>活动按期完成率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rPr>
              <w:t>提高</w:t>
            </w:r>
            <w:r>
              <w:rPr>
                <w:rFonts w:hint="eastAsia" w:ascii="宋体" w:hAnsi="宋体" w:cs="宋体"/>
                <w:i w:val="0"/>
                <w:iCs w:val="0"/>
                <w:color w:val="000000"/>
                <w:kern w:val="0"/>
                <w:sz w:val="18"/>
                <w:szCs w:val="18"/>
                <w:u w:val="none"/>
                <w:lang w:val="en-US" w:eastAsia="zh-CN"/>
              </w:rPr>
              <w:t>健身知识</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有所增长</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6"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9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rPr>
              <w:t>活动参与者满意度</w:t>
            </w:r>
          </w:p>
        </w:tc>
        <w:tc>
          <w:tcPr>
            <w:tcW w:w="9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eastAsia="宋体" w:cs="宋体"/>
                <w:i w:val="0"/>
                <w:iCs w:val="0"/>
                <w:color w:val="000000"/>
                <w:kern w:val="0"/>
                <w:sz w:val="18"/>
                <w:szCs w:val="18"/>
                <w:u w:val="none"/>
                <w:lang w:val="en-US" w:eastAsia="zh-CN"/>
              </w:rPr>
              <w:t>参与单位满意度</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exact"/>
          <w:jc w:val="center"/>
        </w:trPr>
        <w:tc>
          <w:tcPr>
            <w:tcW w:w="640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99.97</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hint="eastAsia" w:ascii="仿宋_GB2312"/>
          <w:color w:val="auto"/>
        </w:rPr>
      </w:pP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一、基本情况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（一）项目概况。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全面贯彻落实党的二十大精神，持续巩固深化全民健身国家战略，助推“十四五”通州区体育工作稳步推进，全面落实《北京市全民健身条例》和《社会体育指导员管理办法》，加强科学健身指导，提高社会体育指导员健身指导水平，根据通州区社会体育事务中心全民健身工作计划，举办2023年通州区社会体育指导员培训班。</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（一）项目组织情况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为确保活动顺利进行，成立领导小组：</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长：邓小民  区体育局党组书记、局长</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副组长：刘月刚  区体育局副局长</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员：曹新月、王洪武、尚依侬、李宝栋、王昱</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（二）项目管理情况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1.筹备阶段：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根据年初工作安排，经局党组研究决定后制定了活动总体方案，将培训报名通知下发各乡镇街道和各单项体育运动协会。</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2.报名阶段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按照工作方案，确定授课教师及授课内容，确定授课地点及参与人数，报名2000人。</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3.具体实施阶段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6月5日和6月7日，通州区各体育运动单项协会参与了本次的课程培训及考试。在7月5日和7月6日通州区的18个乡镇、街道参加了本次的课程培训及考试，张家湾镇、永乐店镇、杨庄街道和九棵树街道，作为今年的创城单位，分别在6月17日、6月20日、6月27日和7月28日参加了本次的可成培训及考试。本次活动预计参与培训报名的人数为2000人，最终实际参与人数共计2002人。</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二、年度预算执行情况</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在2023年在东方宾馆举办了冰雪社会体育指导员培训班。活动预算为60万元。实际支出59.86万元。</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三、绩效目标情况及分析</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完成冰雪社会体育指导员培训班，应支出金额59.86万元，实际支出金额59.86万元。</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四、主要经验及做法、存在的问题及原因分析</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在2025年实现十四五规划中社会体育指导员数量达到总人口千分之三点四指标，预计完成2000人，</w:t>
      </w:r>
      <w:r>
        <w:rPr>
          <w:rFonts w:hint="eastAsia" w:ascii="仿宋_GB2312"/>
          <w:color w:val="auto"/>
          <w:sz w:val="32"/>
          <w:szCs w:val="32"/>
          <w:lang w:eastAsia="zh-CN"/>
        </w:rPr>
        <w:t>实际</w:t>
      </w:r>
      <w:r>
        <w:rPr>
          <w:rFonts w:hint="eastAsia" w:ascii="仿宋_GB2312"/>
          <w:color w:val="auto"/>
          <w:sz w:val="32"/>
          <w:szCs w:val="32"/>
        </w:rPr>
        <w:t>完成2002人，达到指标数。</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五、有关建议</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无</w:t>
      </w:r>
    </w:p>
    <w:p>
      <w:pPr>
        <w:widowControl w:val="0"/>
        <w:wordWrap/>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六、其他需要说明的问题</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附件：《评分表》</w:t>
      </w:r>
      <w:r>
        <w:rPr>
          <w:rFonts w:hint="eastAsia" w:ascii="宋体" w:hAnsi="宋体" w:cs="宋体"/>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rPr>
          <w:rFonts w:hint="eastAsia" w:eastAsia="宋体"/>
          <w:b w:val="0"/>
          <w:bCs w:val="0"/>
          <w:lang w:val="en-US" w:eastAsia="zh-CN"/>
        </w:rPr>
      </w:pPr>
    </w:p>
    <w:sectPr>
      <w:footerReference r:id="rId4"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TljNDc4YjAxZjM5MWIxZDg5N2I2N2Y4Zjk4MWFhM2QifQ=="/>
  </w:docVars>
  <w:rsids>
    <w:rsidRoot w:val="5EDB0B63"/>
    <w:rsid w:val="01534994"/>
    <w:rsid w:val="05104339"/>
    <w:rsid w:val="06935222"/>
    <w:rsid w:val="078A03D3"/>
    <w:rsid w:val="090D12BC"/>
    <w:rsid w:val="0A041AFD"/>
    <w:rsid w:val="0C8165E0"/>
    <w:rsid w:val="0D1150F2"/>
    <w:rsid w:val="122B4561"/>
    <w:rsid w:val="15BD5E17"/>
    <w:rsid w:val="19A52E4A"/>
    <w:rsid w:val="1B980CA0"/>
    <w:rsid w:val="1C3D55BC"/>
    <w:rsid w:val="1C6B3FC2"/>
    <w:rsid w:val="1DD26069"/>
    <w:rsid w:val="1EA03416"/>
    <w:rsid w:val="1FD06747"/>
    <w:rsid w:val="255816B9"/>
    <w:rsid w:val="25D961D0"/>
    <w:rsid w:val="26F62AC9"/>
    <w:rsid w:val="28445F24"/>
    <w:rsid w:val="2CBF8107"/>
    <w:rsid w:val="2CE636B8"/>
    <w:rsid w:val="2DFA155F"/>
    <w:rsid w:val="2EB07E70"/>
    <w:rsid w:val="2EB70209"/>
    <w:rsid w:val="30FF2B40"/>
    <w:rsid w:val="35D339CB"/>
    <w:rsid w:val="36E96615"/>
    <w:rsid w:val="37677539"/>
    <w:rsid w:val="38D96215"/>
    <w:rsid w:val="3A52627F"/>
    <w:rsid w:val="3A7F0552"/>
    <w:rsid w:val="3FF79B31"/>
    <w:rsid w:val="4015635A"/>
    <w:rsid w:val="424961B9"/>
    <w:rsid w:val="43122A4F"/>
    <w:rsid w:val="433E3844"/>
    <w:rsid w:val="4B7720CB"/>
    <w:rsid w:val="4BA31FDB"/>
    <w:rsid w:val="4BFF9656"/>
    <w:rsid w:val="4E816CDB"/>
    <w:rsid w:val="4EF02A66"/>
    <w:rsid w:val="52102850"/>
    <w:rsid w:val="537B9DA3"/>
    <w:rsid w:val="55517407"/>
    <w:rsid w:val="56694C24"/>
    <w:rsid w:val="5A166E71"/>
    <w:rsid w:val="5A2F7BE3"/>
    <w:rsid w:val="5A474F5C"/>
    <w:rsid w:val="5DDF52D1"/>
    <w:rsid w:val="5EDB0B63"/>
    <w:rsid w:val="5F9F33EB"/>
    <w:rsid w:val="6037369D"/>
    <w:rsid w:val="61F817B0"/>
    <w:rsid w:val="69AC0C58"/>
    <w:rsid w:val="6A3B1398"/>
    <w:rsid w:val="6AC7B1A3"/>
    <w:rsid w:val="6B396C74"/>
    <w:rsid w:val="6B77FB6F"/>
    <w:rsid w:val="6EE9A86C"/>
    <w:rsid w:val="6FD43E60"/>
    <w:rsid w:val="763E871D"/>
    <w:rsid w:val="769A4403"/>
    <w:rsid w:val="79EBFCAD"/>
    <w:rsid w:val="7B1F26C5"/>
    <w:rsid w:val="7B57151E"/>
    <w:rsid w:val="7BBD97BD"/>
    <w:rsid w:val="7BFE4A5B"/>
    <w:rsid w:val="7BFFEC6B"/>
    <w:rsid w:val="7CBD099E"/>
    <w:rsid w:val="7D2D1C58"/>
    <w:rsid w:val="7DBF4FBB"/>
    <w:rsid w:val="7DCD9330"/>
    <w:rsid w:val="7DD758A1"/>
    <w:rsid w:val="7E562264"/>
    <w:rsid w:val="7E5EB5A1"/>
    <w:rsid w:val="7EC2199F"/>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Style w:val="10"/>
      <w:tblLayout w:type="fixed"/>
      <w:tblCellMar>
        <w:top w:w="0" w:type="dxa"/>
        <w:left w:w="108" w:type="dxa"/>
        <w:bottom w:w="0" w:type="dxa"/>
        <w:right w:w="108" w:type="dxa"/>
      </w:tblCellMar>
    </w:tblPr>
    <w:tcPr>
      <w:textDirection w:val="lrTb"/>
    </w:tc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Hyperlink"/>
    <w:basedOn w:val="8"/>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character" w:customStyle="1" w:styleId="15">
    <w:name w:val="font61"/>
    <w:basedOn w:val="8"/>
    <w:qFormat/>
    <w:uiPriority w:val="0"/>
    <w:rPr>
      <w:rFonts w:hint="eastAsia" w:ascii="仿宋_GB2312" w:eastAsia="仿宋_GB2312" w:cs="仿宋_GB2312"/>
      <w:color w:val="000000"/>
      <w:sz w:val="24"/>
      <w:szCs w:val="24"/>
      <w:u w:val="none"/>
    </w:rPr>
  </w:style>
  <w:style w:type="character" w:customStyle="1" w:styleId="16">
    <w:name w:val="font71"/>
    <w:basedOn w:val="8"/>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2024-04-18T08:40:16Z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369447EB9E634915A5E53A06B85B53F2_12</vt:lpwstr>
  </property>
</Properties>
</file>