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spacing w:line="560" w:lineRule="exact"/>
        <w:rPr>
          <w:rFonts w:hint="default" w:ascii="仿宋_GB2312" w:eastAsia="黑体"/>
          <w:color w:val="auto"/>
          <w:sz w:val="32"/>
          <w:szCs w:val="32"/>
          <w:lang w:val="en-US" w:eastAsia="zh-CN"/>
        </w:rPr>
      </w:pPr>
      <w:r>
        <w:rPr>
          <w:rFonts w:hint="eastAsia" w:ascii="黑体" w:hAnsi="黑体" w:eastAsia="黑体"/>
          <w:color w:val="auto"/>
          <w:sz w:val="32"/>
          <w:szCs w:val="32"/>
        </w:rPr>
        <w:t>附件1</w:t>
      </w:r>
      <w:r>
        <w:rPr>
          <w:rFonts w:hint="eastAsia" w:ascii="黑体" w:hAnsi="黑体" w:eastAsia="黑体"/>
          <w:color w:val="auto"/>
          <w:sz w:val="32"/>
          <w:szCs w:val="32"/>
          <w:lang w:val="en-US" w:eastAsia="zh-CN"/>
        </w:rPr>
        <w:t>-1</w:t>
      </w:r>
    </w:p>
    <w:tbl>
      <w:tblPr>
        <w:tblStyle w:val="10"/>
        <w:tblW w:w="8928"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578"/>
        <w:gridCol w:w="969"/>
        <w:gridCol w:w="1086"/>
        <w:gridCol w:w="718"/>
        <w:gridCol w:w="1114"/>
        <w:gridCol w:w="169"/>
        <w:gridCol w:w="938"/>
        <w:gridCol w:w="848"/>
        <w:gridCol w:w="202"/>
        <w:gridCol w:w="355"/>
        <w:gridCol w:w="416"/>
        <w:gridCol w:w="141"/>
        <w:gridCol w:w="695"/>
        <w:gridCol w:w="69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40" w:hRule="exact"/>
          <w:jc w:val="center"/>
        </w:trPr>
        <w:tc>
          <w:tcPr>
            <w:tcW w:w="8928" w:type="dxa"/>
            <w:gridSpan w:val="14"/>
            <w:tcBorders>
              <w:top w:val="nil"/>
              <w:left w:val="nil"/>
              <w:bottom w:val="nil"/>
              <w:right w:val="nil"/>
            </w:tcBorders>
            <w:vAlign w:val="center"/>
          </w:tcPr>
          <w:p>
            <w:pPr>
              <w:widowControl/>
              <w:spacing w:line="500" w:lineRule="exact"/>
              <w:jc w:val="center"/>
              <w:rPr>
                <w:rFonts w:ascii="宋体" w:hAnsi="宋体" w:cs="宋体"/>
                <w:b/>
                <w:bCs/>
                <w:color w:val="auto"/>
                <w:kern w:val="0"/>
                <w:sz w:val="32"/>
                <w:szCs w:val="32"/>
              </w:rPr>
            </w:pPr>
            <w:r>
              <w:rPr>
                <w:rFonts w:hint="eastAsia" w:ascii="宋体" w:hAnsi="宋体" w:cs="宋体"/>
                <w:b/>
                <w:bCs/>
                <w:color w:val="auto"/>
                <w:kern w:val="0"/>
                <w:sz w:val="32"/>
                <w:szCs w:val="32"/>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94" w:hRule="atLeast"/>
          <w:jc w:val="center"/>
        </w:trPr>
        <w:tc>
          <w:tcPr>
            <w:tcW w:w="8928" w:type="dxa"/>
            <w:gridSpan w:val="14"/>
            <w:tcBorders>
              <w:top w:val="nil"/>
              <w:left w:val="nil"/>
              <w:bottom w:val="nil"/>
              <w:right w:val="nil"/>
            </w:tcBorders>
            <w:vAlign w:val="top"/>
          </w:tcPr>
          <w:p>
            <w:pPr>
              <w:widowControl/>
              <w:jc w:val="center"/>
              <w:rPr>
                <w:rFonts w:ascii="宋体" w:hAnsi="宋体" w:cs="宋体"/>
                <w:color w:val="auto"/>
                <w:kern w:val="0"/>
                <w:sz w:val="22"/>
              </w:rPr>
            </w:pPr>
            <w:r>
              <w:rPr>
                <w:rFonts w:hint="eastAsia" w:ascii="宋体" w:hAnsi="宋体" w:cs="宋体"/>
                <w:color w:val="auto"/>
                <w:kern w:val="0"/>
                <w:sz w:val="22"/>
              </w:rPr>
              <w:t xml:space="preserve">（ </w:t>
            </w:r>
            <w:r>
              <w:rPr>
                <w:rFonts w:hint="eastAsia" w:ascii="宋体" w:hAnsi="宋体" w:cs="宋体"/>
                <w:color w:val="auto"/>
                <w:kern w:val="0"/>
                <w:sz w:val="22"/>
                <w:lang w:val="en-US" w:eastAsia="zh-CN"/>
              </w:rPr>
              <w:t>2023</w:t>
            </w:r>
            <w:r>
              <w:rPr>
                <w:rFonts w:hint="eastAsia" w:ascii="宋体" w:hAnsi="宋体" w:cs="宋体"/>
                <w:color w:val="auto"/>
                <w:kern w:val="0"/>
                <w:sz w:val="22"/>
              </w:rPr>
              <w:t xml:space="preserve">   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154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项目名称</w:t>
            </w:r>
          </w:p>
        </w:tc>
        <w:tc>
          <w:tcPr>
            <w:tcW w:w="7381"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体校比赛经费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154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主管部门</w:t>
            </w:r>
          </w:p>
        </w:tc>
        <w:tc>
          <w:tcPr>
            <w:tcW w:w="4025"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lang w:eastAsia="zh-CN"/>
              </w:rPr>
              <w:t>通州区体育局</w:t>
            </w:r>
          </w:p>
        </w:tc>
        <w:tc>
          <w:tcPr>
            <w:tcW w:w="105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实施单位</w:t>
            </w:r>
          </w:p>
        </w:tc>
        <w:tc>
          <w:tcPr>
            <w:tcW w:w="2306"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lang w:eastAsia="zh-CN"/>
              </w:rPr>
              <w:t>通州区体育运动学校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154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项目</w:t>
            </w:r>
            <w:r>
              <w:rPr>
                <w:rFonts w:ascii="宋体" w:hAnsi="宋体" w:cs="宋体"/>
                <w:color w:val="auto"/>
                <w:kern w:val="0"/>
                <w:sz w:val="18"/>
                <w:szCs w:val="18"/>
              </w:rPr>
              <w:t>负责人</w:t>
            </w:r>
          </w:p>
        </w:tc>
        <w:tc>
          <w:tcPr>
            <w:tcW w:w="4025"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lang w:eastAsia="zh-CN"/>
              </w:rPr>
              <w:t>孙凯昭</w:t>
            </w:r>
          </w:p>
        </w:tc>
        <w:tc>
          <w:tcPr>
            <w:tcW w:w="105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ascii="宋体" w:hAnsi="宋体" w:cs="宋体"/>
                <w:color w:val="auto"/>
                <w:kern w:val="0"/>
                <w:sz w:val="18"/>
                <w:szCs w:val="18"/>
              </w:rPr>
              <w:t>联系电话</w:t>
            </w:r>
          </w:p>
        </w:tc>
        <w:tc>
          <w:tcPr>
            <w:tcW w:w="2306"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15801555065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59" w:hRule="exact"/>
          <w:jc w:val="center"/>
        </w:trPr>
        <w:tc>
          <w:tcPr>
            <w:tcW w:w="1547"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560" w:lineRule="exact"/>
              <w:jc w:val="left"/>
              <w:rPr>
                <w:rFonts w:ascii="宋体" w:hAnsi="宋体" w:cs="宋体"/>
                <w:color w:val="auto"/>
                <w:kern w:val="0"/>
                <w:sz w:val="18"/>
                <w:szCs w:val="18"/>
              </w:rPr>
            </w:pPr>
            <w:r>
              <w:rPr>
                <w:rFonts w:hint="eastAsia" w:ascii="宋体" w:hAnsi="宋体" w:cs="宋体"/>
                <w:color w:val="auto"/>
                <w:kern w:val="0"/>
                <w:sz w:val="18"/>
                <w:szCs w:val="18"/>
              </w:rPr>
              <w:t>项目资金（万元）</w:t>
            </w:r>
          </w:p>
        </w:tc>
        <w:tc>
          <w:tcPr>
            <w:tcW w:w="180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年初</w:t>
            </w:r>
            <w:r>
              <w:rPr>
                <w:rFonts w:hint="eastAsia" w:ascii="宋体" w:hAnsi="宋体" w:cs="宋体"/>
                <w:color w:val="auto"/>
                <w:kern w:val="0"/>
                <w:sz w:val="18"/>
                <w:szCs w:val="18"/>
                <w:lang w:val="en-US" w:eastAsia="zh-CN"/>
              </w:rPr>
              <w:t xml:space="preserve">     </w:t>
            </w:r>
            <w:r>
              <w:rPr>
                <w:rFonts w:hint="eastAsia" w:ascii="宋体" w:hAnsi="宋体" w:cs="宋体"/>
                <w:color w:val="auto"/>
                <w:kern w:val="0"/>
                <w:sz w:val="18"/>
                <w:szCs w:val="18"/>
              </w:rPr>
              <w:t>预算数</w:t>
            </w:r>
          </w:p>
        </w:tc>
        <w:tc>
          <w:tcPr>
            <w:tcW w:w="110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全年</w:t>
            </w:r>
            <w:r>
              <w:rPr>
                <w:rFonts w:hint="eastAsia" w:ascii="宋体" w:hAnsi="宋体" w:cs="宋体"/>
                <w:color w:val="auto"/>
                <w:kern w:val="0"/>
                <w:sz w:val="18"/>
                <w:szCs w:val="18"/>
                <w:lang w:val="en-US" w:eastAsia="zh-CN"/>
              </w:rPr>
              <w:t xml:space="preserve">     </w:t>
            </w:r>
            <w:r>
              <w:rPr>
                <w:rFonts w:hint="eastAsia" w:ascii="宋体" w:hAnsi="宋体" w:cs="宋体"/>
                <w:color w:val="auto"/>
                <w:kern w:val="0"/>
                <w:sz w:val="18"/>
                <w:szCs w:val="18"/>
              </w:rPr>
              <w:t>预算数</w:t>
            </w:r>
          </w:p>
        </w:tc>
        <w:tc>
          <w:tcPr>
            <w:tcW w:w="105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全年</w:t>
            </w:r>
            <w:r>
              <w:rPr>
                <w:rFonts w:hint="eastAsia" w:ascii="宋体" w:hAnsi="宋体" w:cs="宋体"/>
                <w:color w:val="auto"/>
                <w:kern w:val="0"/>
                <w:sz w:val="18"/>
                <w:szCs w:val="18"/>
                <w:lang w:val="en-US" w:eastAsia="zh-CN"/>
              </w:rPr>
              <w:t xml:space="preserve">     </w:t>
            </w:r>
            <w:r>
              <w:rPr>
                <w:rFonts w:hint="eastAsia" w:ascii="宋体" w:hAnsi="宋体" w:cs="宋体"/>
                <w:color w:val="auto"/>
                <w:kern w:val="0"/>
                <w:sz w:val="18"/>
                <w:szCs w:val="18"/>
              </w:rPr>
              <w:t>执行数</w:t>
            </w:r>
          </w:p>
        </w:tc>
        <w:tc>
          <w:tcPr>
            <w:tcW w:w="77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分值</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执行率</w:t>
            </w: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804"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color w:val="auto"/>
                <w:kern w:val="0"/>
                <w:sz w:val="18"/>
                <w:szCs w:val="18"/>
              </w:rPr>
            </w:pPr>
            <w:r>
              <w:rPr>
                <w:rFonts w:hint="eastAsia" w:ascii="宋体" w:hAnsi="宋体" w:cs="宋体"/>
                <w:color w:val="auto"/>
                <w:kern w:val="0"/>
                <w:sz w:val="18"/>
                <w:szCs w:val="18"/>
              </w:rPr>
              <w:t>年度资金总额</w:t>
            </w: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60.63</w:t>
            </w:r>
          </w:p>
        </w:tc>
        <w:tc>
          <w:tcPr>
            <w:tcW w:w="110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48</w:t>
            </w:r>
          </w:p>
        </w:tc>
        <w:tc>
          <w:tcPr>
            <w:tcW w:w="1050"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48</w:t>
            </w:r>
          </w:p>
        </w:tc>
        <w:tc>
          <w:tcPr>
            <w:tcW w:w="77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10</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100%</w:t>
            </w: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80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其中：当年财政拨款</w:t>
            </w: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10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5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7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80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 xml:space="preserve">      上年结转资金</w:t>
            </w: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10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5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7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80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 xml:space="preserve">  其他资金</w:t>
            </w: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10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5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7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57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年度总体目标</w:t>
            </w:r>
          </w:p>
        </w:tc>
        <w:tc>
          <w:tcPr>
            <w:tcW w:w="4994"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预期目标</w:t>
            </w:r>
          </w:p>
        </w:tc>
        <w:tc>
          <w:tcPr>
            <w:tcW w:w="3356"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15" w:hRule="exact"/>
          <w:jc w:val="center"/>
        </w:trPr>
        <w:tc>
          <w:tcPr>
            <w:tcW w:w="57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4994"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eastAsia="zh-CN"/>
              </w:rPr>
              <w:t>通州区体校自有项目参加</w:t>
            </w:r>
            <w:r>
              <w:rPr>
                <w:rFonts w:hint="eastAsia" w:ascii="宋体" w:hAnsi="宋体" w:cs="宋体"/>
                <w:color w:val="auto"/>
                <w:kern w:val="0"/>
                <w:sz w:val="18"/>
                <w:szCs w:val="18"/>
                <w:lang w:val="en-US" w:eastAsia="zh-CN"/>
              </w:rPr>
              <w:t>2023年青少年冠军赛及锦标赛</w:t>
            </w:r>
          </w:p>
        </w:tc>
        <w:tc>
          <w:tcPr>
            <w:tcW w:w="3356"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eastAsia="zh-CN"/>
              </w:rPr>
              <w:t>通州区体校自有项目全部完成市级两个比赛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7" w:hRule="exact"/>
          <w:jc w:val="center"/>
        </w:trPr>
        <w:tc>
          <w:tcPr>
            <w:tcW w:w="578"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绩</w:t>
            </w:r>
            <w:r>
              <w:rPr>
                <w:rFonts w:hint="eastAsia" w:ascii="宋体" w:hAnsi="宋体" w:cs="宋体"/>
                <w:color w:val="auto"/>
                <w:kern w:val="0"/>
                <w:sz w:val="18"/>
                <w:szCs w:val="18"/>
              </w:rPr>
              <w:br/>
            </w:r>
            <w:r>
              <w:rPr>
                <w:rFonts w:hint="eastAsia" w:ascii="宋体" w:hAnsi="宋体" w:cs="宋体"/>
                <w:color w:val="auto"/>
                <w:kern w:val="0"/>
                <w:sz w:val="18"/>
                <w:szCs w:val="18"/>
              </w:rPr>
              <w:t>效</w:t>
            </w:r>
            <w:r>
              <w:rPr>
                <w:rFonts w:hint="eastAsia" w:ascii="宋体" w:hAnsi="宋体" w:cs="宋体"/>
                <w:color w:val="auto"/>
                <w:kern w:val="0"/>
                <w:sz w:val="18"/>
                <w:szCs w:val="18"/>
              </w:rPr>
              <w:br/>
            </w:r>
            <w:r>
              <w:rPr>
                <w:rFonts w:hint="eastAsia" w:ascii="宋体" w:hAnsi="宋体" w:cs="宋体"/>
                <w:color w:val="auto"/>
                <w:kern w:val="0"/>
                <w:sz w:val="18"/>
                <w:szCs w:val="18"/>
              </w:rPr>
              <w:t>指</w:t>
            </w:r>
            <w:r>
              <w:rPr>
                <w:rFonts w:hint="eastAsia" w:ascii="宋体" w:hAnsi="宋体" w:cs="宋体"/>
                <w:color w:val="auto"/>
                <w:kern w:val="0"/>
                <w:sz w:val="18"/>
                <w:szCs w:val="18"/>
              </w:rPr>
              <w:br/>
            </w:r>
            <w:r>
              <w:rPr>
                <w:rFonts w:hint="eastAsia" w:ascii="宋体" w:hAnsi="宋体" w:cs="宋体"/>
                <w:color w:val="auto"/>
                <w:kern w:val="0"/>
                <w:sz w:val="18"/>
                <w:szCs w:val="18"/>
              </w:rPr>
              <w:t>标</w:t>
            </w:r>
          </w:p>
        </w:tc>
        <w:tc>
          <w:tcPr>
            <w:tcW w:w="96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一级指标</w:t>
            </w:r>
          </w:p>
        </w:tc>
        <w:tc>
          <w:tcPr>
            <w:tcW w:w="108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二级指标</w:t>
            </w: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三级指标</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年度</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指标值</w:t>
            </w: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实际</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完成值</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分值</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得分</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产出指标</w:t>
            </w:r>
          </w:p>
        </w:tc>
        <w:tc>
          <w:tcPr>
            <w:tcW w:w="1086"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数量指标</w:t>
            </w: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rPr>
              <w:t>指标1：</w:t>
            </w:r>
            <w:r>
              <w:rPr>
                <w:rFonts w:hint="eastAsia" w:ascii="宋体" w:hAnsi="宋体" w:cs="宋体"/>
                <w:color w:val="auto"/>
                <w:kern w:val="0"/>
                <w:sz w:val="18"/>
                <w:szCs w:val="18"/>
                <w:lang w:eastAsia="zh-CN"/>
              </w:rPr>
              <w:t>参赛队伍数量</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13支队</w:t>
            </w: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13支队</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rPr>
              <w:t>指标2：</w:t>
            </w:r>
            <w:r>
              <w:rPr>
                <w:rFonts w:hint="eastAsia" w:ascii="宋体" w:hAnsi="宋体" w:cs="宋体"/>
                <w:color w:val="auto"/>
                <w:kern w:val="0"/>
                <w:sz w:val="18"/>
                <w:szCs w:val="18"/>
                <w:lang w:eastAsia="zh-CN"/>
              </w:rPr>
              <w:t>参赛运动员数量</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400人</w:t>
            </w: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700人</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质量指标</w:t>
            </w: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rPr>
              <w:t>指标1：</w:t>
            </w:r>
            <w:r>
              <w:rPr>
                <w:rFonts w:hint="eastAsia" w:ascii="宋体" w:hAnsi="宋体" w:cs="宋体"/>
                <w:color w:val="auto"/>
                <w:kern w:val="0"/>
                <w:sz w:val="18"/>
                <w:szCs w:val="18"/>
                <w:lang w:eastAsia="zh-CN"/>
              </w:rPr>
              <w:t>队伍参赛质量</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≥90%</w:t>
            </w:r>
          </w:p>
        </w:tc>
        <w:tc>
          <w:tcPr>
            <w:tcW w:w="848" w:type="dxa"/>
            <w:tcBorders>
              <w:top w:val="nil"/>
              <w:left w:val="nil"/>
              <w:bottom w:val="single" w:color="auto" w:sz="4" w:space="0"/>
              <w:right w:val="single" w:color="auto" w:sz="4" w:space="0"/>
            </w:tcBorders>
            <w:vAlign w:val="center"/>
          </w:tcPr>
          <w:p>
            <w:pPr>
              <w:widowControl/>
              <w:spacing w:line="240" w:lineRule="exact"/>
              <w:jc w:val="both"/>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eastAsia="zh-CN"/>
              </w:rPr>
              <w:t>≥</w:t>
            </w:r>
            <w:r>
              <w:rPr>
                <w:rFonts w:hint="eastAsia" w:ascii="宋体" w:hAnsi="宋体" w:cs="宋体"/>
                <w:color w:val="auto"/>
                <w:kern w:val="0"/>
                <w:sz w:val="18"/>
                <w:szCs w:val="18"/>
                <w:lang w:val="en-US" w:eastAsia="zh-CN"/>
              </w:rPr>
              <w:t>90%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指标2：</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时效指标</w:t>
            </w: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指标1：</w:t>
            </w:r>
            <w:r>
              <w:rPr>
                <w:rFonts w:hint="eastAsia" w:ascii="宋体" w:hAnsi="宋体" w:cs="宋体"/>
                <w:color w:val="000000"/>
                <w:sz w:val="20"/>
                <w:szCs w:val="20"/>
                <w:lang w:val="en-US" w:eastAsia="zh-CN"/>
              </w:rPr>
              <w:t>技术技能增长</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000000"/>
                <w:sz w:val="20"/>
                <w:szCs w:val="20"/>
                <w:lang w:val="en-US" w:eastAsia="zh-CN"/>
              </w:rPr>
              <w:t>≥90%</w:t>
            </w: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000000"/>
                <w:sz w:val="20"/>
                <w:szCs w:val="20"/>
                <w:lang w:val="en-US" w:eastAsia="zh-CN"/>
              </w:rPr>
              <w:t>≥90%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指标2：</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成本指标</w:t>
            </w: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rPr>
              <w:t>指标1：</w:t>
            </w:r>
            <w:r>
              <w:rPr>
                <w:rFonts w:hint="eastAsia" w:ascii="宋体" w:hAnsi="宋体" w:cs="宋体"/>
                <w:color w:val="auto"/>
                <w:kern w:val="0"/>
                <w:sz w:val="18"/>
                <w:szCs w:val="18"/>
                <w:lang w:eastAsia="zh-CN"/>
              </w:rPr>
              <w:t>比赛食宿费用</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eastAsia="zh-CN"/>
              </w:rPr>
              <w:t>≥</w:t>
            </w:r>
            <w:r>
              <w:rPr>
                <w:rFonts w:hint="eastAsia" w:ascii="宋体" w:hAnsi="宋体" w:cs="宋体"/>
                <w:color w:val="auto"/>
                <w:kern w:val="0"/>
                <w:sz w:val="18"/>
                <w:szCs w:val="18"/>
                <w:lang w:val="en-US" w:eastAsia="zh-CN"/>
              </w:rPr>
              <w:t>80%</w:t>
            </w: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eastAsia="zh-CN"/>
              </w:rPr>
              <w:t>≥</w:t>
            </w:r>
            <w:r>
              <w:rPr>
                <w:rFonts w:hint="eastAsia" w:ascii="宋体" w:hAnsi="宋体" w:cs="宋体"/>
                <w:color w:val="auto"/>
                <w:kern w:val="0"/>
                <w:sz w:val="18"/>
                <w:szCs w:val="18"/>
                <w:lang w:val="en-US" w:eastAsia="zh-CN"/>
              </w:rPr>
              <w:t>80%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10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10</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rPr>
              <w:t>指标2：</w:t>
            </w:r>
            <w:r>
              <w:rPr>
                <w:rFonts w:hint="eastAsia" w:ascii="宋体" w:hAnsi="宋体" w:cs="宋体"/>
                <w:color w:val="auto"/>
                <w:kern w:val="0"/>
                <w:sz w:val="18"/>
                <w:szCs w:val="18"/>
                <w:lang w:eastAsia="zh-CN"/>
              </w:rPr>
              <w:t>比赛交通费用</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eastAsia="zh-CN"/>
              </w:rPr>
              <w:t>≥</w:t>
            </w:r>
            <w:r>
              <w:rPr>
                <w:rFonts w:hint="eastAsia" w:ascii="宋体" w:hAnsi="宋体" w:cs="宋体"/>
                <w:color w:val="auto"/>
                <w:kern w:val="0"/>
                <w:sz w:val="18"/>
                <w:szCs w:val="18"/>
                <w:lang w:val="en-US" w:eastAsia="zh-CN"/>
              </w:rPr>
              <w:t>90%</w:t>
            </w: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eastAsia="zh-CN"/>
              </w:rPr>
              <w:t>≥</w:t>
            </w:r>
            <w:r>
              <w:rPr>
                <w:rFonts w:hint="eastAsia" w:ascii="宋体" w:hAnsi="宋体" w:cs="宋体"/>
                <w:color w:val="auto"/>
                <w:kern w:val="0"/>
                <w:sz w:val="18"/>
                <w:szCs w:val="18"/>
                <w:lang w:val="en-US" w:eastAsia="zh-CN"/>
              </w:rPr>
              <w:t>90%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10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10</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效益指标</w:t>
            </w:r>
          </w:p>
        </w:tc>
        <w:tc>
          <w:tcPr>
            <w:tcW w:w="1086"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经济效益</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w:t>
            </w: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指标1：：</w:t>
            </w:r>
            <w:r>
              <w:rPr>
                <w:rFonts w:hint="eastAsia" w:ascii="宋体" w:hAnsi="宋体" w:cs="宋体"/>
                <w:color w:val="000000"/>
                <w:sz w:val="20"/>
                <w:szCs w:val="20"/>
                <w:lang w:val="en-US" w:eastAsia="zh-CN"/>
              </w:rPr>
              <w:t>资金使用率</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eastAsia="zh-CN"/>
              </w:rPr>
              <w:t>≥</w:t>
            </w:r>
            <w:r>
              <w:rPr>
                <w:rFonts w:hint="eastAsia" w:ascii="宋体" w:hAnsi="宋体" w:cs="宋体"/>
                <w:color w:val="auto"/>
                <w:kern w:val="0"/>
                <w:sz w:val="18"/>
                <w:szCs w:val="18"/>
                <w:lang w:val="en-US" w:eastAsia="zh-CN"/>
              </w:rPr>
              <w:t>80%</w:t>
            </w: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eastAsia="zh-CN"/>
              </w:rPr>
              <w:t>≥</w:t>
            </w:r>
            <w:r>
              <w:rPr>
                <w:rFonts w:hint="eastAsia" w:ascii="宋体" w:hAnsi="宋体" w:cs="宋体"/>
                <w:color w:val="auto"/>
                <w:kern w:val="0"/>
                <w:sz w:val="18"/>
                <w:szCs w:val="18"/>
                <w:lang w:val="en-US" w:eastAsia="zh-CN"/>
              </w:rPr>
              <w:t>80%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指标2：</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社会效益</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w:t>
            </w: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指标1：</w:t>
            </w:r>
            <w:r>
              <w:rPr>
                <w:rFonts w:hint="eastAsia" w:ascii="宋体" w:hAnsi="宋体" w:cs="宋体"/>
                <w:color w:val="000000"/>
                <w:sz w:val="20"/>
                <w:szCs w:val="20"/>
                <w:lang w:val="en-US" w:eastAsia="zh-CN"/>
              </w:rPr>
              <w:t>服务范围率</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eastAsia="zh-CN"/>
              </w:rPr>
              <w:t>≥</w:t>
            </w:r>
            <w:r>
              <w:rPr>
                <w:rFonts w:hint="eastAsia" w:ascii="宋体" w:hAnsi="宋体" w:cs="宋体"/>
                <w:color w:val="auto"/>
                <w:kern w:val="0"/>
                <w:sz w:val="18"/>
                <w:szCs w:val="18"/>
                <w:lang w:val="en-US" w:eastAsia="zh-CN"/>
              </w:rPr>
              <w:t>95%</w:t>
            </w: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eastAsia="zh-CN"/>
              </w:rPr>
              <w:t>≥</w:t>
            </w:r>
            <w:r>
              <w:rPr>
                <w:rFonts w:hint="eastAsia" w:ascii="宋体" w:hAnsi="宋体" w:cs="宋体"/>
                <w:color w:val="auto"/>
                <w:kern w:val="0"/>
                <w:sz w:val="18"/>
                <w:szCs w:val="18"/>
                <w:lang w:val="en-US" w:eastAsia="zh-CN"/>
              </w:rPr>
              <w:t>95%</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指标2：</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生态效益</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w:t>
            </w: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指标1：</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指标2：</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578" w:type="dxa"/>
            <w:vMerge w:val="continue"/>
            <w:tcBorders>
              <w:top w:val="single" w:color="auto" w:sz="4" w:space="0"/>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可持续影响指标</w:t>
            </w: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指标1：</w:t>
            </w:r>
            <w:r>
              <w:rPr>
                <w:rFonts w:hint="eastAsia" w:ascii="宋体" w:hAnsi="宋体" w:cs="宋体"/>
                <w:color w:val="000000"/>
                <w:sz w:val="20"/>
                <w:szCs w:val="20"/>
                <w:lang w:val="en-US" w:eastAsia="zh-CN"/>
              </w:rPr>
              <w:t>促进教育率</w:t>
            </w:r>
          </w:p>
        </w:tc>
        <w:tc>
          <w:tcPr>
            <w:tcW w:w="93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eastAsia="zh-CN"/>
              </w:rPr>
              <w:t>≥</w:t>
            </w:r>
            <w:r>
              <w:rPr>
                <w:rFonts w:hint="eastAsia" w:ascii="宋体" w:hAnsi="宋体" w:cs="宋体"/>
                <w:color w:val="auto"/>
                <w:kern w:val="0"/>
                <w:sz w:val="18"/>
                <w:szCs w:val="18"/>
                <w:lang w:val="en-US" w:eastAsia="zh-CN"/>
              </w:rPr>
              <w:t>95%</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eastAsia="zh-CN"/>
              </w:rPr>
              <w:t>≥</w:t>
            </w:r>
            <w:r>
              <w:rPr>
                <w:rFonts w:hint="eastAsia" w:ascii="宋体" w:hAnsi="宋体" w:cs="宋体"/>
                <w:color w:val="auto"/>
                <w:kern w:val="0"/>
                <w:sz w:val="18"/>
                <w:szCs w:val="18"/>
                <w:lang w:val="en-US" w:eastAsia="zh-CN"/>
              </w:rPr>
              <w:t>90%</w:t>
            </w:r>
          </w:p>
        </w:tc>
        <w:tc>
          <w:tcPr>
            <w:tcW w:w="55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55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9</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指标2：</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restart"/>
            <w:tcBorders>
              <w:top w:val="single" w:color="auto" w:sz="4" w:space="0"/>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满意度</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w:t>
            </w:r>
          </w:p>
        </w:tc>
        <w:tc>
          <w:tcPr>
            <w:tcW w:w="1086"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服务对象满意度指标</w:t>
            </w: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指标1：</w:t>
            </w:r>
          </w:p>
        </w:tc>
        <w:tc>
          <w:tcPr>
            <w:tcW w:w="93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指标2：</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6420"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总分</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100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9</w:t>
            </w:r>
            <w:bookmarkStart w:id="0" w:name="_GoBack"/>
            <w:bookmarkEnd w:id="0"/>
            <w:r>
              <w:rPr>
                <w:rFonts w:hint="eastAsia" w:ascii="宋体" w:hAnsi="宋体" w:cs="宋体"/>
                <w:color w:val="auto"/>
                <w:kern w:val="0"/>
                <w:sz w:val="18"/>
                <w:szCs w:val="18"/>
                <w:lang w:val="en-US" w:eastAsia="zh-CN"/>
              </w:rPr>
              <w:t>9</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bl>
    <w:p>
      <w:pPr>
        <w:widowControl/>
        <w:spacing w:line="480" w:lineRule="exact"/>
        <w:ind w:firstLine="440" w:firstLineChars="200"/>
        <w:jc w:val="left"/>
        <w:outlineLvl w:val="0"/>
        <w:rPr>
          <w:rFonts w:hint="eastAsia" w:ascii="宋体" w:hAnsi="宋体" w:eastAsia="宋体" w:cs="宋体"/>
          <w:color w:val="auto"/>
          <w:kern w:val="0"/>
          <w:sz w:val="22"/>
          <w:szCs w:val="24"/>
        </w:rPr>
      </w:pPr>
      <w:r>
        <w:rPr>
          <w:rFonts w:hint="eastAsia" w:ascii="宋体" w:hAnsi="宋体" w:eastAsia="宋体" w:cs="宋体"/>
          <w:color w:val="auto"/>
          <w:kern w:val="0"/>
          <w:sz w:val="22"/>
          <w:szCs w:val="24"/>
        </w:rPr>
        <w:t>填报注意事项：</w:t>
      </w:r>
    </w:p>
    <w:p>
      <w:pPr>
        <w:widowControl/>
        <w:spacing w:line="480" w:lineRule="exact"/>
        <w:ind w:firstLine="440" w:firstLineChars="200"/>
        <w:jc w:val="left"/>
        <w:outlineLvl w:val="0"/>
        <w:rPr>
          <w:rFonts w:hint="eastAsia" w:ascii="宋体" w:hAnsi="宋体" w:eastAsia="宋体" w:cs="宋体"/>
          <w:color w:val="auto"/>
          <w:kern w:val="0"/>
          <w:sz w:val="22"/>
          <w:szCs w:val="24"/>
        </w:rPr>
      </w:pPr>
      <w:r>
        <w:rPr>
          <w:rFonts w:hint="eastAsia" w:ascii="宋体" w:hAnsi="宋体" w:eastAsia="宋体" w:cs="宋体"/>
          <w:color w:val="auto"/>
          <w:kern w:val="0"/>
          <w:sz w:val="22"/>
          <w:szCs w:val="24"/>
          <w:lang w:val="en-US" w:eastAsia="zh-CN"/>
        </w:rPr>
        <w:t>1.</w:t>
      </w:r>
      <w:r>
        <w:rPr>
          <w:rFonts w:hint="eastAsia" w:ascii="宋体" w:hAnsi="宋体" w:eastAsia="宋体" w:cs="宋体"/>
          <w:color w:val="auto"/>
          <w:kern w:val="0"/>
          <w:sz w:val="22"/>
          <w:szCs w:val="24"/>
        </w:rPr>
        <w:t>评价方法说明</w:t>
      </w:r>
      <w:r>
        <w:rPr>
          <w:rFonts w:hint="eastAsia" w:ascii="宋体" w:hAnsi="宋体" w:cs="宋体"/>
          <w:color w:val="auto"/>
          <w:kern w:val="0"/>
          <w:sz w:val="22"/>
          <w:szCs w:val="24"/>
          <w:lang w:eastAsia="zh-CN"/>
        </w:rPr>
        <w:t>：</w:t>
      </w:r>
      <w:r>
        <w:rPr>
          <w:rFonts w:hint="eastAsia" w:ascii="宋体" w:hAnsi="宋体" w:eastAsia="宋体" w:cs="宋体"/>
          <w:color w:val="auto"/>
          <w:kern w:val="0"/>
          <w:sz w:val="22"/>
          <w:szCs w:val="24"/>
        </w:rPr>
        <w:t>采取打分的形式，满分为100分。单位自评指标的权重由各单位根据项目实际情况确定。原则上预算执行率和一级指标权重统一设置为：预算执行率10%、产出指标50%、效益指标30%、服务对象满意度指标10%。如有特殊情况，一级指标权重可做适当调整。二、三级指标应当根据指标重要程度、项目实施阶段等因素综合确定，准确反映项目的产出和效益。</w:t>
      </w:r>
    </w:p>
    <w:p>
      <w:pPr>
        <w:widowControl/>
        <w:numPr>
          <w:numId w:val="0"/>
        </w:numPr>
        <w:spacing w:line="480" w:lineRule="exact"/>
        <w:ind w:firstLine="440" w:firstLineChars="200"/>
        <w:jc w:val="left"/>
        <w:outlineLvl w:val="0"/>
        <w:rPr>
          <w:rFonts w:hint="eastAsia" w:ascii="宋体" w:hAnsi="宋体" w:eastAsia="宋体" w:cs="宋体"/>
          <w:color w:val="auto"/>
          <w:kern w:val="0"/>
          <w:sz w:val="22"/>
          <w:szCs w:val="24"/>
        </w:rPr>
      </w:pPr>
      <w:r>
        <w:rPr>
          <w:rFonts w:hint="eastAsia" w:ascii="宋体" w:hAnsi="宋体" w:eastAsia="宋体" w:cs="宋体"/>
          <w:color w:val="auto"/>
          <w:kern w:val="0"/>
          <w:sz w:val="22"/>
          <w:szCs w:val="24"/>
          <w:lang w:val="en-US" w:eastAsia="zh-CN"/>
        </w:rPr>
        <w:t>2.</w:t>
      </w:r>
      <w:r>
        <w:rPr>
          <w:rFonts w:hint="eastAsia" w:ascii="宋体" w:hAnsi="宋体" w:eastAsia="宋体" w:cs="宋体"/>
          <w:color w:val="auto"/>
          <w:kern w:val="0"/>
          <w:sz w:val="22"/>
          <w:szCs w:val="24"/>
        </w:rPr>
        <w:t>评价的得分评定方法分为两类：一是定量指标。与年初指标值相比，完成指标值的，记该指标所赋全部分值；如果是由于年初指标值设定明显偏低造成的，要按照偏离度适度调减分值；未完成指标值的，按照完成值在指标值中所占比例记分</w:t>
      </w:r>
      <w:r>
        <w:rPr>
          <w:rFonts w:hint="eastAsia" w:ascii="宋体" w:hAnsi="宋体" w:eastAsia="宋体" w:cs="宋体"/>
          <w:color w:val="auto"/>
          <w:kern w:val="0"/>
          <w:sz w:val="22"/>
          <w:szCs w:val="24"/>
          <w:lang w:eastAsia="zh-CN"/>
        </w:rPr>
        <w:t>，</w:t>
      </w:r>
      <w:r>
        <w:rPr>
          <w:rFonts w:hint="eastAsia" w:ascii="宋体" w:hAnsi="宋体" w:eastAsia="宋体" w:cs="宋体"/>
          <w:color w:val="auto"/>
          <w:kern w:val="0"/>
          <w:sz w:val="22"/>
          <w:szCs w:val="24"/>
        </w:rPr>
        <w:t>得分一档最高不能超过该指标分值上限。定量指标若为正向指标，则得分计算方法应用全年实际值（B）/年度指标值（A）*该指标分值；若定量指标为反向指标，则得分计算方法应用年度指标值（A）/全年实际值（B）*该指标分值。若年初指标值设定偏低，则得分计算方法应用（全年实际值（B）—年度指标值（A））/年度指标值（A）*100%。若计算结果在200%-300%（含200%）区间，则按照该指标分值的10%扣分；计算结果在300%-500%（含300%）区间，则按照该指标分值的20%扣分；计算结果高于500%（含500%），则按照该指标分值的30%扣分。</w:t>
      </w:r>
    </w:p>
    <w:p>
      <w:pPr>
        <w:widowControl/>
        <w:wordWrap/>
        <w:spacing w:line="480" w:lineRule="exact"/>
        <w:ind w:firstLine="440" w:firstLineChars="200"/>
        <w:textAlignment w:val="auto"/>
        <w:rPr>
          <w:rFonts w:hint="eastAsia" w:ascii="宋体" w:hAnsi="宋体" w:eastAsia="宋体" w:cs="宋体"/>
          <w:color w:val="auto"/>
          <w:kern w:val="0"/>
          <w:sz w:val="22"/>
          <w:szCs w:val="24"/>
        </w:rPr>
      </w:pPr>
      <w:r>
        <w:rPr>
          <w:rFonts w:hint="eastAsia" w:ascii="宋体" w:hAnsi="宋体" w:eastAsia="宋体" w:cs="宋体"/>
          <w:color w:val="auto"/>
          <w:kern w:val="0"/>
          <w:sz w:val="22"/>
          <w:szCs w:val="24"/>
          <w:lang w:val="en-US" w:eastAsia="zh-CN"/>
        </w:rPr>
        <w:t>二是定性指标。</w:t>
      </w:r>
      <w:r>
        <w:rPr>
          <w:rFonts w:hint="eastAsia" w:ascii="宋体" w:hAnsi="宋体" w:eastAsia="宋体" w:cs="宋体"/>
          <w:color w:val="auto"/>
          <w:kern w:val="0"/>
          <w:sz w:val="22"/>
          <w:szCs w:val="24"/>
          <w:highlight w:val="none"/>
        </w:rPr>
        <w:t>定性指标得分按照以下方法评定：根据指标完成情况分为达成年度指标、部分达成年度指标且有一定效果、未达成年度指标且效果较差3档，分别按照该指标对应分值区间100%-80%（含80%）、80-60%（含60%）、60%-0%合理确定分值。</w:t>
      </w:r>
    </w:p>
    <w:p>
      <w:pPr>
        <w:widowControl/>
        <w:wordWrap/>
        <w:spacing w:line="480" w:lineRule="exact"/>
        <w:ind w:firstLine="440" w:firstLineChars="200"/>
        <w:textAlignment w:val="auto"/>
        <w:rPr>
          <w:rFonts w:hint="eastAsia" w:ascii="宋体" w:hAnsi="宋体" w:eastAsia="宋体" w:cs="宋体"/>
          <w:color w:val="auto"/>
          <w:kern w:val="0"/>
          <w:sz w:val="22"/>
          <w:szCs w:val="24"/>
          <w:highlight w:val="none"/>
        </w:rPr>
      </w:pPr>
      <w:r>
        <w:rPr>
          <w:rFonts w:hint="eastAsia" w:ascii="宋体" w:hAnsi="宋体" w:eastAsia="宋体" w:cs="宋体"/>
          <w:color w:val="auto"/>
          <w:kern w:val="0"/>
          <w:sz w:val="22"/>
          <w:szCs w:val="24"/>
          <w:highlight w:val="none"/>
        </w:rPr>
        <w:t>各项绩效指标得分汇总成该项目自评的总分。</w:t>
      </w:r>
    </w:p>
    <w:p>
      <w:pPr>
        <w:widowControl/>
        <w:numPr>
          <w:numId w:val="0"/>
        </w:numPr>
        <w:spacing w:line="480" w:lineRule="exact"/>
        <w:ind w:firstLine="440" w:firstLineChars="200"/>
        <w:jc w:val="left"/>
        <w:outlineLvl w:val="0"/>
        <w:rPr>
          <w:rFonts w:hint="eastAsia" w:ascii="宋体" w:hAnsi="宋体" w:eastAsia="宋体" w:cs="宋体"/>
          <w:color w:val="auto"/>
          <w:kern w:val="0"/>
          <w:sz w:val="22"/>
          <w:szCs w:val="24"/>
        </w:rPr>
      </w:pPr>
      <w:r>
        <w:rPr>
          <w:rFonts w:hint="eastAsia" w:ascii="宋体" w:hAnsi="宋体" w:eastAsia="宋体" w:cs="宋体"/>
          <w:color w:val="auto"/>
          <w:kern w:val="0"/>
          <w:sz w:val="22"/>
          <w:szCs w:val="24"/>
          <w:lang w:val="en-US" w:eastAsia="zh-CN"/>
        </w:rPr>
        <w:t>3.</w:t>
      </w:r>
      <w:r>
        <w:rPr>
          <w:rFonts w:hint="eastAsia" w:ascii="宋体" w:hAnsi="宋体" w:eastAsia="宋体" w:cs="宋体"/>
          <w:color w:val="auto"/>
          <w:kern w:val="0"/>
          <w:sz w:val="22"/>
          <w:szCs w:val="24"/>
        </w:rPr>
        <w:t>各部门在收集、分析上述绩效执行信息的基础上，</w:t>
      </w:r>
      <w:r>
        <w:rPr>
          <w:rFonts w:hint="eastAsia" w:ascii="宋体" w:hAnsi="宋体" w:eastAsia="宋体" w:cs="宋体"/>
          <w:color w:val="auto"/>
          <w:kern w:val="0"/>
          <w:sz w:val="22"/>
          <w:szCs w:val="24"/>
          <w:lang w:val="en-US" w:eastAsia="zh-CN"/>
        </w:rPr>
        <w:t>针</w:t>
      </w:r>
      <w:r>
        <w:rPr>
          <w:rFonts w:hint="eastAsia" w:ascii="宋体" w:hAnsi="宋体" w:eastAsia="宋体" w:cs="宋体"/>
          <w:color w:val="auto"/>
          <w:kern w:val="0"/>
          <w:sz w:val="22"/>
          <w:szCs w:val="24"/>
        </w:rPr>
        <w:t>对未完成绩效目标及指标</w:t>
      </w:r>
      <w:r>
        <w:rPr>
          <w:rFonts w:hint="eastAsia" w:ascii="宋体" w:hAnsi="宋体" w:eastAsia="宋体" w:cs="宋体"/>
          <w:color w:val="auto"/>
          <w:kern w:val="0"/>
          <w:sz w:val="22"/>
          <w:szCs w:val="24"/>
          <w:lang w:eastAsia="zh-CN"/>
        </w:rPr>
        <w:t>，</w:t>
      </w:r>
      <w:r>
        <w:rPr>
          <w:rFonts w:hint="eastAsia" w:ascii="宋体" w:hAnsi="宋体" w:eastAsia="宋体" w:cs="宋体"/>
          <w:color w:val="auto"/>
          <w:kern w:val="0"/>
          <w:sz w:val="22"/>
          <w:szCs w:val="24"/>
          <w:lang w:val="en-US" w:eastAsia="zh-CN"/>
        </w:rPr>
        <w:t>需</w:t>
      </w:r>
      <w:r>
        <w:rPr>
          <w:rFonts w:hint="eastAsia" w:ascii="宋体" w:hAnsi="宋体" w:eastAsia="宋体" w:cs="宋体"/>
          <w:color w:val="auto"/>
          <w:kern w:val="0"/>
          <w:sz w:val="22"/>
          <w:szCs w:val="24"/>
        </w:rPr>
        <w:t>在“偏差原因分析及改进措施”中</w:t>
      </w:r>
      <w:r>
        <w:rPr>
          <w:rFonts w:hint="eastAsia" w:ascii="宋体" w:hAnsi="宋体" w:eastAsia="宋体" w:cs="宋体"/>
          <w:color w:val="auto"/>
          <w:kern w:val="0"/>
          <w:sz w:val="22"/>
          <w:szCs w:val="24"/>
          <w:lang w:val="en-US" w:eastAsia="zh-CN"/>
        </w:rPr>
        <w:t>逐条分析</w:t>
      </w:r>
      <w:r>
        <w:rPr>
          <w:rFonts w:hint="eastAsia" w:ascii="宋体" w:hAnsi="宋体" w:eastAsia="宋体" w:cs="宋体"/>
          <w:color w:val="auto"/>
          <w:kern w:val="0"/>
          <w:sz w:val="22"/>
          <w:szCs w:val="24"/>
        </w:rPr>
        <w:t>说明偏离目标、不能完成目标的原因及拟采取的措施。</w:t>
      </w:r>
    </w:p>
    <w:p>
      <w:pPr>
        <w:widowControl/>
        <w:numPr>
          <w:numId w:val="0"/>
        </w:numPr>
        <w:spacing w:line="480" w:lineRule="exact"/>
        <w:ind w:firstLine="440" w:firstLineChars="200"/>
        <w:jc w:val="left"/>
        <w:outlineLvl w:val="0"/>
        <w:rPr>
          <w:rFonts w:hint="eastAsia" w:ascii="宋体" w:hAnsi="宋体" w:eastAsia="宋体" w:cs="宋体"/>
          <w:color w:val="auto"/>
          <w:kern w:val="0"/>
          <w:sz w:val="22"/>
          <w:szCs w:val="24"/>
        </w:rPr>
      </w:pPr>
      <w:r>
        <w:rPr>
          <w:rFonts w:hint="eastAsia" w:ascii="宋体" w:hAnsi="宋体" w:eastAsia="宋体" w:cs="宋体"/>
          <w:color w:val="auto"/>
          <w:kern w:val="0"/>
          <w:sz w:val="22"/>
          <w:szCs w:val="24"/>
        </w:rPr>
        <w:t>4.</w:t>
      </w:r>
      <w:r>
        <w:rPr>
          <w:rFonts w:hint="eastAsia" w:ascii="宋体" w:hAnsi="宋体" w:cs="宋体"/>
          <w:color w:val="auto"/>
          <w:kern w:val="0"/>
          <w:sz w:val="22"/>
          <w:szCs w:val="24"/>
          <w:lang w:val="en-US" w:eastAsia="zh-CN"/>
        </w:rPr>
        <w:t>等级划分：</w:t>
      </w:r>
      <w:r>
        <w:rPr>
          <w:rFonts w:hint="eastAsia" w:ascii="宋体" w:hAnsi="宋体" w:eastAsia="宋体" w:cs="宋体"/>
          <w:color w:val="auto"/>
          <w:kern w:val="0"/>
          <w:sz w:val="22"/>
          <w:szCs w:val="24"/>
        </w:rPr>
        <w:t>90（含）-100分为</w:t>
      </w:r>
      <w:r>
        <w:rPr>
          <w:rFonts w:hint="eastAsia" w:ascii="宋体" w:hAnsi="宋体" w:eastAsia="宋体" w:cs="宋体"/>
          <w:color w:val="auto"/>
          <w:kern w:val="0"/>
          <w:sz w:val="22"/>
          <w:szCs w:val="24"/>
          <w:lang w:val="en-US" w:eastAsia="zh-CN"/>
        </w:rPr>
        <w:t>优</w:t>
      </w:r>
      <w:r>
        <w:rPr>
          <w:rFonts w:hint="eastAsia" w:ascii="宋体" w:hAnsi="宋体" w:eastAsia="宋体" w:cs="宋体"/>
          <w:color w:val="auto"/>
          <w:kern w:val="0"/>
          <w:sz w:val="22"/>
          <w:szCs w:val="24"/>
        </w:rPr>
        <w:t>、80（含）-90分为</w:t>
      </w:r>
      <w:r>
        <w:rPr>
          <w:rFonts w:hint="eastAsia" w:ascii="宋体" w:hAnsi="宋体" w:eastAsia="宋体" w:cs="宋体"/>
          <w:color w:val="auto"/>
          <w:kern w:val="0"/>
          <w:sz w:val="22"/>
          <w:szCs w:val="24"/>
          <w:lang w:val="en-US" w:eastAsia="zh-CN"/>
        </w:rPr>
        <w:t>良</w:t>
      </w:r>
      <w:r>
        <w:rPr>
          <w:rFonts w:hint="eastAsia" w:ascii="宋体" w:hAnsi="宋体" w:eastAsia="宋体" w:cs="宋体"/>
          <w:color w:val="auto"/>
          <w:kern w:val="0"/>
          <w:sz w:val="22"/>
          <w:szCs w:val="24"/>
        </w:rPr>
        <w:t>、60（含）-80分为</w:t>
      </w:r>
      <w:r>
        <w:rPr>
          <w:rFonts w:hint="eastAsia" w:ascii="宋体" w:hAnsi="宋体" w:cs="宋体"/>
          <w:color w:val="auto"/>
          <w:kern w:val="0"/>
          <w:sz w:val="22"/>
          <w:szCs w:val="24"/>
          <w:lang w:val="en-US" w:eastAsia="zh-CN"/>
        </w:rPr>
        <w:t>中</w:t>
      </w:r>
      <w:r>
        <w:rPr>
          <w:rFonts w:hint="eastAsia" w:ascii="宋体" w:hAnsi="宋体" w:eastAsia="宋体" w:cs="宋体"/>
          <w:color w:val="auto"/>
          <w:kern w:val="0"/>
          <w:sz w:val="22"/>
          <w:szCs w:val="24"/>
        </w:rPr>
        <w:t>、60分以下为差。</w:t>
      </w:r>
    </w:p>
    <w:p>
      <w:pPr>
        <w:spacing w:line="600" w:lineRule="exact"/>
      </w:pPr>
    </w:p>
    <w:p>
      <w:pPr>
        <w:numPr>
          <w:numId w:val="0"/>
        </w:numPr>
        <w:pBdr>
          <w:bottom w:val="single" w:color="FFFFFF" w:sz="4" w:space="17"/>
        </w:pBdr>
        <w:wordWrap/>
        <w:adjustRightInd/>
        <w:snapToGrid/>
        <w:spacing w:line="560" w:lineRule="exact"/>
        <w:ind w:firstLine="486" w:firstLineChars="0"/>
        <w:textAlignment w:val="auto"/>
        <w:rPr>
          <w:rFonts w:hint="eastAsia" w:ascii="仿宋_GB2312" w:hAnsi="Calibri" w:eastAsia="仿宋_GB2312" w:cs="Times New Roman"/>
          <w:b w:val="0"/>
          <w:bCs w:val="0"/>
          <w:color w:val="auto"/>
          <w:kern w:val="2"/>
          <w:sz w:val="32"/>
          <w:szCs w:val="32"/>
          <w:highlight w:val="none"/>
          <w:lang w:val="en-US" w:eastAsia="zh-CN" w:bidi="ar-SA"/>
        </w:rPr>
      </w:pPr>
    </w:p>
    <w:p>
      <w:pPr>
        <w:pStyle w:val="2"/>
        <w:spacing w:before="0" w:after="0" w:line="240" w:lineRule="auto"/>
        <w:rPr>
          <w:rFonts w:hint="default" w:ascii="黑体" w:hAnsi="黑体" w:eastAsia="黑体"/>
          <w:b w:val="0"/>
          <w:color w:val="auto"/>
          <w:szCs w:val="32"/>
          <w:lang w:val="en-US" w:eastAsia="zh-CN"/>
        </w:rPr>
      </w:pPr>
      <w:r>
        <w:rPr>
          <w:rFonts w:hint="eastAsia" w:ascii="黑体" w:hAnsi="黑体"/>
          <w:b w:val="0"/>
          <w:color w:val="auto"/>
          <w:szCs w:val="32"/>
        </w:rPr>
        <w:t>附件</w:t>
      </w:r>
      <w:r>
        <w:rPr>
          <w:rFonts w:hint="eastAsia" w:ascii="黑体" w:hAnsi="黑体"/>
          <w:b w:val="0"/>
          <w:color w:val="auto"/>
          <w:szCs w:val="32"/>
          <w:lang w:val="en-US" w:eastAsia="zh-CN"/>
        </w:rPr>
        <w:t>1-</w:t>
      </w:r>
      <w:r>
        <w:rPr>
          <w:rFonts w:hint="eastAsia" w:ascii="黑体" w:hAnsi="黑体"/>
          <w:b w:val="0"/>
          <w:color w:val="auto"/>
          <w:szCs w:val="32"/>
        </w:rPr>
        <w:t>2</w:t>
      </w:r>
    </w:p>
    <w:p>
      <w:pPr>
        <w:jc w:val="center"/>
        <w:rPr>
          <w:rFonts w:ascii="Arial" w:hAnsi="Arial" w:cs="Arial"/>
          <w:b/>
          <w:bCs/>
          <w:color w:val="auto"/>
          <w:sz w:val="36"/>
          <w:szCs w:val="36"/>
        </w:rPr>
      </w:pPr>
      <w:r>
        <w:rPr>
          <w:rFonts w:hint="eastAsia" w:ascii="宋体" w:hAnsi="宋体" w:cs="Arial"/>
          <w:b/>
          <w:bCs/>
          <w:color w:val="auto"/>
          <w:sz w:val="36"/>
          <w:szCs w:val="36"/>
        </w:rPr>
        <w:t>项目支出</w:t>
      </w:r>
      <w:r>
        <w:rPr>
          <w:rFonts w:ascii="宋体" w:hAnsi="宋体" w:cs="Arial"/>
          <w:b/>
          <w:bCs/>
          <w:color w:val="auto"/>
          <w:sz w:val="36"/>
          <w:szCs w:val="36"/>
        </w:rPr>
        <w:t>绩效</w:t>
      </w:r>
      <w:r>
        <w:rPr>
          <w:rFonts w:hint="eastAsia" w:ascii="宋体" w:hAnsi="宋体" w:cs="Arial"/>
          <w:b/>
          <w:bCs/>
          <w:color w:val="auto"/>
          <w:sz w:val="36"/>
          <w:szCs w:val="36"/>
        </w:rPr>
        <w:t>评价报告</w:t>
      </w:r>
    </w:p>
    <w:p>
      <w:pPr>
        <w:jc w:val="center"/>
        <w:rPr>
          <w:rFonts w:ascii="仿宋_GB2312"/>
          <w:color w:val="auto"/>
        </w:rPr>
      </w:pPr>
      <w:r>
        <w:rPr>
          <w:rFonts w:hint="eastAsia" w:ascii="仿宋_GB2312"/>
          <w:color w:val="auto"/>
        </w:rPr>
        <w:t>（参考提纲）</w:t>
      </w:r>
    </w:p>
    <w:p>
      <w:pPr>
        <w:jc w:val="center"/>
        <w:rPr>
          <w:rFonts w:ascii="仿宋_GB2312"/>
          <w:color w:val="auto"/>
          <w:szCs w:val="30"/>
        </w:rPr>
      </w:pPr>
    </w:p>
    <w:p/>
    <w:p>
      <w:pPr>
        <w:spacing w:line="600" w:lineRule="exact"/>
        <w:ind w:firstLine="643" w:firstLineChars="200"/>
        <w:rPr>
          <w:rFonts w:hint="eastAsia" w:ascii="仿宋_GB2312" w:hAnsi="仿宋_GB2312" w:eastAsia="仿宋_GB2312" w:cs="仿宋_GB2312"/>
          <w:b/>
          <w:color w:val="auto"/>
          <w:kern w:val="0"/>
          <w:sz w:val="32"/>
          <w:szCs w:val="32"/>
        </w:rPr>
      </w:pPr>
      <w:r>
        <w:rPr>
          <w:rFonts w:hint="eastAsia" w:ascii="仿宋_GB2312" w:hAnsi="仿宋_GB2312" w:eastAsia="仿宋_GB2312" w:cs="仿宋_GB2312"/>
          <w:b/>
          <w:color w:val="auto"/>
          <w:kern w:val="0"/>
          <w:sz w:val="32"/>
          <w:szCs w:val="32"/>
        </w:rPr>
        <w:t>一、基本情况</w:t>
      </w:r>
    </w:p>
    <w:p>
      <w:pPr>
        <w:spacing w:line="360" w:lineRule="auto"/>
        <w:ind w:firstLine="640" w:firstLineChars="200"/>
        <w:outlineLvl w:val="0"/>
        <w:rPr>
          <w:rFonts w:hint="eastAsia"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rPr>
        <w:t>（一）项目概况。</w:t>
      </w:r>
      <w:r>
        <w:rPr>
          <w:rFonts w:hint="eastAsia" w:ascii="仿宋_GB2312" w:hAnsi="仿宋_GB2312" w:eastAsia="仿宋_GB2312" w:cs="仿宋_GB2312"/>
          <w:sz w:val="32"/>
          <w:szCs w:val="32"/>
          <w:lang w:eastAsia="zh-CN"/>
        </w:rPr>
        <w:t>本项目包括散打、跆拳道、空手道、田径、拳击、游泳、自行车等</w:t>
      </w:r>
      <w:r>
        <w:rPr>
          <w:rFonts w:hint="eastAsia" w:ascii="仿宋_GB2312" w:hAnsi="仿宋_GB2312" w:eastAsia="仿宋_GB2312" w:cs="仿宋_GB2312"/>
          <w:sz w:val="32"/>
          <w:szCs w:val="32"/>
          <w:lang w:val="en-US" w:eastAsia="zh-CN"/>
        </w:rPr>
        <w:t>共计13支队伍。截至目前，相应参赛2023年北京市青少年冠军赛、锦标赛比赛资金，全部拨付完毕</w:t>
      </w:r>
    </w:p>
    <w:p>
      <w:pPr>
        <w:numPr>
          <w:ilvl w:val="0"/>
          <w:numId w:val="1"/>
        </w:numPr>
        <w:spacing w:line="600" w:lineRule="exact"/>
        <w:ind w:firstLine="640" w:firstLineChars="200"/>
        <w:rPr>
          <w:rFonts w:hint="eastAsia"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rPr>
        <w:t>项目绩效目标。包括总体目标和阶段性目标。</w:t>
      </w:r>
    </w:p>
    <w:p>
      <w:pPr>
        <w:numPr>
          <w:numId w:val="0"/>
        </w:numPr>
        <w:spacing w:line="600" w:lineRule="exact"/>
        <w:rPr>
          <w:rFonts w:hint="eastAsia" w:ascii="仿宋_GB2312" w:hAnsi="仿宋_GB2312" w:eastAsia="仿宋_GB2312" w:cs="仿宋_GB2312"/>
          <w:color w:val="auto"/>
          <w:kern w:val="0"/>
          <w:sz w:val="32"/>
          <w:szCs w:val="32"/>
          <w:lang w:eastAsia="zh-CN"/>
        </w:rPr>
      </w:pPr>
      <w:r>
        <w:rPr>
          <w:rFonts w:hint="eastAsia" w:ascii="仿宋_GB2312" w:hAnsi="仿宋_GB2312" w:eastAsia="仿宋_GB2312" w:cs="仿宋_GB2312"/>
          <w:color w:val="auto"/>
          <w:kern w:val="0"/>
          <w:sz w:val="32"/>
          <w:szCs w:val="32"/>
          <w:lang w:eastAsia="zh-CN"/>
        </w:rPr>
        <w:t>阶段性目标：增加速度、力量、灵敏的运动能力，提升运动员的心肺功能，加强实战技能的训练。</w:t>
      </w:r>
    </w:p>
    <w:p>
      <w:pPr>
        <w:numPr>
          <w:numId w:val="0"/>
        </w:numPr>
        <w:spacing w:line="600" w:lineRule="exact"/>
        <w:rPr>
          <w:rFonts w:hint="eastAsia" w:ascii="仿宋_GB2312" w:hAnsi="仿宋_GB2312" w:eastAsia="仿宋_GB2312" w:cs="仿宋_GB2312"/>
          <w:color w:val="auto"/>
          <w:kern w:val="0"/>
          <w:sz w:val="32"/>
          <w:szCs w:val="32"/>
          <w:lang w:val="en-US" w:eastAsia="zh-CN"/>
        </w:rPr>
      </w:pPr>
      <w:r>
        <w:rPr>
          <w:rFonts w:hint="eastAsia" w:ascii="仿宋_GB2312" w:hAnsi="仿宋_GB2312" w:eastAsia="仿宋_GB2312" w:cs="仿宋_GB2312"/>
          <w:color w:val="auto"/>
          <w:kern w:val="0"/>
          <w:sz w:val="32"/>
          <w:szCs w:val="32"/>
          <w:lang w:eastAsia="zh-CN"/>
        </w:rPr>
        <w:t>总体目标：通州区自有项目参赛各组别，争取佳绩，个别组别突破最好成绩。</w:t>
      </w:r>
    </w:p>
    <w:p>
      <w:pPr>
        <w:spacing w:line="600" w:lineRule="exact"/>
        <w:ind w:firstLine="643" w:firstLineChars="200"/>
        <w:rPr>
          <w:rFonts w:hint="eastAsia" w:ascii="仿宋_GB2312" w:hAnsi="仿宋_GB2312" w:eastAsia="仿宋_GB2312" w:cs="仿宋_GB2312"/>
          <w:b/>
          <w:color w:val="auto"/>
          <w:kern w:val="0"/>
          <w:sz w:val="32"/>
          <w:szCs w:val="32"/>
        </w:rPr>
      </w:pPr>
      <w:r>
        <w:rPr>
          <w:rFonts w:hint="eastAsia" w:ascii="仿宋_GB2312" w:hAnsi="仿宋_GB2312" w:eastAsia="仿宋_GB2312" w:cs="仿宋_GB2312"/>
          <w:b/>
          <w:color w:val="auto"/>
          <w:kern w:val="0"/>
          <w:sz w:val="32"/>
          <w:szCs w:val="32"/>
        </w:rPr>
        <w:t>二、绩效评价工作开展情况</w:t>
      </w:r>
    </w:p>
    <w:p>
      <w:pPr>
        <w:spacing w:line="600" w:lineRule="exact"/>
        <w:ind w:firstLine="640" w:firstLineChars="200"/>
        <w:rPr>
          <w:rFonts w:hint="default" w:ascii="仿宋_GB2312" w:hAnsi="仿宋_GB2312" w:eastAsia="仿宋_GB2312" w:cs="仿宋_GB2312"/>
          <w:color w:val="auto"/>
          <w:kern w:val="0"/>
          <w:sz w:val="32"/>
          <w:szCs w:val="32"/>
          <w:lang w:val="en-US" w:eastAsia="zh-CN"/>
        </w:rPr>
      </w:pPr>
      <w:r>
        <w:rPr>
          <w:rFonts w:hint="eastAsia" w:ascii="仿宋_GB2312" w:hAnsi="仿宋_GB2312" w:eastAsia="仿宋_GB2312" w:cs="仿宋_GB2312"/>
          <w:color w:val="auto"/>
          <w:kern w:val="0"/>
          <w:sz w:val="32"/>
          <w:szCs w:val="32"/>
        </w:rPr>
        <w:t>（一）绩效评价目的、对象和范围</w:t>
      </w:r>
      <w:r>
        <w:rPr>
          <w:rFonts w:hint="eastAsia" w:ascii="仿宋_GB2312" w:hAnsi="仿宋_GB2312" w:eastAsia="仿宋_GB2312" w:cs="仿宋_GB2312"/>
          <w:color w:val="auto"/>
          <w:kern w:val="0"/>
          <w:sz w:val="32"/>
          <w:szCs w:val="32"/>
          <w:lang w:eastAsia="zh-CN"/>
        </w:rPr>
        <w:t>：绩效评价对象为</w:t>
      </w:r>
      <w:r>
        <w:rPr>
          <w:rFonts w:hint="eastAsia" w:ascii="仿宋_GB2312" w:hAnsi="仿宋_GB2312" w:eastAsia="仿宋_GB2312" w:cs="仿宋_GB2312"/>
          <w:color w:val="auto"/>
          <w:kern w:val="0"/>
          <w:sz w:val="32"/>
          <w:szCs w:val="32"/>
          <w:lang w:val="en-US" w:eastAsia="zh-CN"/>
        </w:rPr>
        <w:t>13支运动队所有教练员及运动员。</w:t>
      </w:r>
    </w:p>
    <w:p>
      <w:pPr>
        <w:spacing w:line="600" w:lineRule="exact"/>
        <w:ind w:firstLine="640" w:firstLineChars="200"/>
        <w:rPr>
          <w:rFonts w:hint="eastAsia"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rPr>
        <w:t>（二）绩效评价原则、评价指标体系（附表说明）、评价方法、评价标准等。</w:t>
      </w:r>
    </w:p>
    <w:p>
      <w:pPr>
        <w:spacing w:line="600" w:lineRule="exact"/>
        <w:ind w:firstLine="640" w:firstLineChars="200"/>
        <w:rPr>
          <w:rFonts w:hint="eastAsia"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rPr>
        <w:t>（三）绩效评价工作过程。</w:t>
      </w:r>
    </w:p>
    <w:p>
      <w:pPr>
        <w:spacing w:line="600" w:lineRule="exact"/>
        <w:ind w:firstLine="643" w:firstLineChars="200"/>
        <w:rPr>
          <w:rFonts w:hint="eastAsia" w:ascii="仿宋_GB2312" w:hAnsi="仿宋_GB2312" w:eastAsia="仿宋_GB2312" w:cs="仿宋_GB2312"/>
          <w:b/>
          <w:color w:val="auto"/>
          <w:kern w:val="0"/>
          <w:sz w:val="32"/>
          <w:szCs w:val="32"/>
        </w:rPr>
      </w:pPr>
      <w:r>
        <w:rPr>
          <w:rFonts w:hint="eastAsia" w:ascii="仿宋_GB2312" w:hAnsi="仿宋_GB2312" w:eastAsia="仿宋_GB2312" w:cs="仿宋_GB2312"/>
          <w:b/>
          <w:color w:val="auto"/>
          <w:kern w:val="0"/>
          <w:sz w:val="32"/>
          <w:szCs w:val="32"/>
        </w:rPr>
        <w:t>三、综合评价情况及评价结论（附相关评分表）</w:t>
      </w:r>
    </w:p>
    <w:p>
      <w:pPr>
        <w:spacing w:line="600" w:lineRule="exact"/>
        <w:ind w:firstLine="643" w:firstLineChars="200"/>
        <w:rPr>
          <w:rFonts w:hint="eastAsia" w:ascii="仿宋_GB2312" w:hAnsi="仿宋_GB2312" w:eastAsia="仿宋_GB2312" w:cs="仿宋_GB2312"/>
          <w:b/>
          <w:color w:val="auto"/>
          <w:kern w:val="0"/>
          <w:sz w:val="32"/>
          <w:szCs w:val="32"/>
        </w:rPr>
      </w:pPr>
    </w:p>
    <w:p>
      <w:pPr>
        <w:spacing w:line="600" w:lineRule="exact"/>
        <w:ind w:firstLine="643" w:firstLineChars="200"/>
        <w:rPr>
          <w:rFonts w:hint="eastAsia" w:ascii="仿宋_GB2312" w:hAnsi="仿宋_GB2312" w:eastAsia="仿宋_GB2312" w:cs="仿宋_GB2312"/>
          <w:b/>
          <w:color w:val="auto"/>
          <w:kern w:val="0"/>
          <w:sz w:val="32"/>
          <w:szCs w:val="32"/>
        </w:rPr>
      </w:pPr>
    </w:p>
    <w:p>
      <w:pPr>
        <w:spacing w:line="600" w:lineRule="exact"/>
        <w:ind w:firstLine="643" w:firstLineChars="200"/>
        <w:rPr>
          <w:rFonts w:hint="eastAsia" w:ascii="仿宋_GB2312" w:hAnsi="仿宋_GB2312" w:eastAsia="仿宋_GB2312" w:cs="仿宋_GB2312"/>
          <w:b/>
          <w:color w:val="auto"/>
          <w:kern w:val="0"/>
          <w:sz w:val="32"/>
          <w:szCs w:val="32"/>
        </w:rPr>
      </w:pPr>
      <w:r>
        <w:rPr>
          <w:rFonts w:hint="eastAsia" w:ascii="仿宋_GB2312" w:hAnsi="仿宋_GB2312" w:eastAsia="仿宋_GB2312" w:cs="仿宋_GB2312"/>
          <w:b/>
          <w:color w:val="auto"/>
          <w:kern w:val="0"/>
          <w:sz w:val="32"/>
          <w:szCs w:val="32"/>
        </w:rPr>
        <w:t>四、绩效评价指标分析</w:t>
      </w:r>
    </w:p>
    <w:p>
      <w:pPr>
        <w:ind w:firstLine="640" w:firstLineChars="200"/>
        <w:outlineLvl w:val="0"/>
        <w:rPr>
          <w:rFonts w:ascii="仿宋_GB2312" w:hAnsi="宋体" w:eastAsia="仿宋_GB2312"/>
          <w:sz w:val="32"/>
          <w:szCs w:val="32"/>
        </w:rPr>
      </w:pPr>
      <w:r>
        <w:rPr>
          <w:rFonts w:hint="eastAsia" w:ascii="楷体_GB2312" w:hAnsi="楷体" w:eastAsia="楷体_GB2312" w:cs="仿宋_GB2312"/>
          <w:sz w:val="32"/>
          <w:szCs w:val="32"/>
        </w:rPr>
        <w:t>（一）资金投入情况分析</w:t>
      </w:r>
    </w:p>
    <w:p>
      <w:pPr>
        <w:ind w:firstLine="640" w:firstLineChars="200"/>
        <w:outlineLvl w:val="0"/>
        <w:rPr>
          <w:rFonts w:hint="eastAsia" w:ascii="仿宋_GB2312" w:hAnsi="宋体" w:eastAsia="仿宋_GB2312"/>
          <w:sz w:val="32"/>
          <w:szCs w:val="32"/>
          <w:lang w:val="en-US" w:eastAsia="zh-CN"/>
        </w:rPr>
      </w:pPr>
      <w:r>
        <w:rPr>
          <w:rFonts w:hint="eastAsia" w:ascii="仿宋_GB2312" w:hAnsi="宋体" w:eastAsia="仿宋_GB2312"/>
          <w:sz w:val="32"/>
          <w:szCs w:val="32"/>
          <w:lang w:eastAsia="zh-CN"/>
        </w:rPr>
        <w:t>本项目资金于</w:t>
      </w:r>
      <w:r>
        <w:rPr>
          <w:rFonts w:hint="eastAsia" w:ascii="仿宋_GB2312" w:hAnsi="宋体" w:eastAsia="仿宋_GB2312"/>
          <w:sz w:val="32"/>
          <w:szCs w:val="32"/>
          <w:lang w:val="en-US" w:eastAsia="zh-CN"/>
        </w:rPr>
        <w:t>2023年年初全部到位，年初通知各负责人教练员比赛食宿费用通过刷取公务卡的结算方式进行，其中通州区体育运动学校13支队伍比赛食宿费用花费，共计48万元。</w:t>
      </w:r>
    </w:p>
    <w:p>
      <w:pPr>
        <w:ind w:firstLine="640" w:firstLineChars="200"/>
        <w:outlineLvl w:val="0"/>
        <w:rPr>
          <w:rFonts w:ascii="仿宋_GB2312" w:hAnsi="宋体" w:eastAsia="仿宋_GB2312"/>
          <w:sz w:val="32"/>
          <w:szCs w:val="32"/>
        </w:rPr>
      </w:pPr>
      <w:r>
        <w:rPr>
          <w:rFonts w:hint="eastAsia" w:ascii="楷体_GB2312" w:hAnsi="楷体" w:eastAsia="楷体_GB2312" w:cs="仿宋_GB2312"/>
          <w:sz w:val="32"/>
          <w:szCs w:val="32"/>
        </w:rPr>
        <w:t>（二）总体绩效目标完成情况分析</w:t>
      </w:r>
    </w:p>
    <w:p>
      <w:pPr>
        <w:ind w:firstLine="640" w:firstLineChars="200"/>
        <w:outlineLvl w:val="0"/>
        <w:rPr>
          <w:rFonts w:hint="eastAsia" w:ascii="仿宋_GB2312" w:hAnsi="宋体" w:eastAsia="仿宋_GB2312"/>
          <w:sz w:val="32"/>
          <w:szCs w:val="32"/>
          <w:lang w:val="en-US" w:eastAsia="zh-CN"/>
        </w:rPr>
      </w:pPr>
      <w:r>
        <w:rPr>
          <w:rFonts w:hint="eastAsia" w:ascii="仿宋_GB2312" w:hAnsi="宋体" w:eastAsia="仿宋_GB2312"/>
          <w:sz w:val="32"/>
          <w:szCs w:val="32"/>
          <w:lang w:eastAsia="zh-CN"/>
        </w:rPr>
        <w:t>通州区体校</w:t>
      </w:r>
      <w:r>
        <w:rPr>
          <w:rFonts w:hint="eastAsia" w:ascii="仿宋_GB2312" w:hAnsi="宋体" w:eastAsia="仿宋_GB2312"/>
          <w:sz w:val="32"/>
          <w:szCs w:val="32"/>
          <w:lang w:val="en-US" w:eastAsia="zh-CN"/>
        </w:rPr>
        <w:t>13支队伍全部完成2023年整年度比赛并且全部组别参加2023年北京市青少年冠军赛、锦标赛。</w:t>
      </w:r>
    </w:p>
    <w:p>
      <w:pPr>
        <w:ind w:firstLine="640" w:firstLineChars="200"/>
        <w:outlineLvl w:val="0"/>
        <w:rPr>
          <w:rFonts w:ascii="仿宋_GB2312" w:hAnsi="宋体" w:eastAsia="仿宋_GB2312"/>
          <w:sz w:val="32"/>
          <w:szCs w:val="32"/>
        </w:rPr>
      </w:pPr>
      <w:r>
        <w:rPr>
          <w:rFonts w:hint="eastAsia" w:ascii="楷体_GB2312" w:hAnsi="楷体" w:eastAsia="楷体_GB2312" w:cs="仿宋_GB2312"/>
          <w:sz w:val="32"/>
          <w:szCs w:val="32"/>
        </w:rPr>
        <w:t>（三）绩效指标完成情况分析</w:t>
      </w:r>
    </w:p>
    <w:tbl>
      <w:tblPr>
        <w:tblStyle w:val="10"/>
        <w:tblW w:w="9736"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096"/>
        <w:gridCol w:w="1080"/>
        <w:gridCol w:w="1080"/>
        <w:gridCol w:w="1080"/>
        <w:gridCol w:w="1080"/>
        <w:gridCol w:w="1080"/>
        <w:gridCol w:w="1080"/>
        <w:gridCol w:w="1080"/>
        <w:gridCol w:w="108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0" w:hRule="atLeast"/>
        </w:trPr>
        <w:tc>
          <w:tcPr>
            <w:tcW w:w="109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项目</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FF0000"/>
                <w:kern w:val="0"/>
                <w:sz w:val="22"/>
                <w:szCs w:val="22"/>
                <w:u w:val="none"/>
                <w:lang w:val="en-US" w:eastAsia="zh-CN"/>
              </w:rPr>
              <w:t>u系列</w:t>
            </w:r>
          </w:p>
        </w:tc>
        <w:tc>
          <w:tcPr>
            <w:tcW w:w="1080" w:type="dxa"/>
            <w:tcBorders>
              <w:top w:val="single" w:color="000000" w:sz="4" w:space="0"/>
              <w:left w:val="single" w:color="000000" w:sz="4" w:space="0"/>
              <w:bottom w:val="single" w:color="000000" w:sz="4" w:space="0"/>
              <w:right w:val="single" w:color="000000" w:sz="4" w:space="0"/>
            </w:tcBorders>
            <w:shd w:val="clear" w:color="auto" w:fill="FFFF00"/>
            <w:vAlign w:val="center"/>
          </w:tcPr>
          <w:p>
            <w:pPr>
              <w:widowControl/>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金牌</w:t>
            </w:r>
          </w:p>
        </w:tc>
        <w:tc>
          <w:tcPr>
            <w:tcW w:w="1080" w:type="dxa"/>
            <w:tcBorders>
              <w:top w:val="single" w:color="000000" w:sz="4" w:space="0"/>
              <w:left w:val="single" w:color="000000" w:sz="4" w:space="0"/>
              <w:bottom w:val="single" w:color="000000" w:sz="4" w:space="0"/>
              <w:right w:val="single" w:color="000000" w:sz="4" w:space="0"/>
            </w:tcBorders>
            <w:shd w:val="clear" w:color="auto" w:fill="FFFF00"/>
            <w:vAlign w:val="center"/>
          </w:tcPr>
          <w:p>
            <w:pPr>
              <w:widowControl/>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银牌</w:t>
            </w:r>
          </w:p>
        </w:tc>
        <w:tc>
          <w:tcPr>
            <w:tcW w:w="1080" w:type="dxa"/>
            <w:tcBorders>
              <w:top w:val="single" w:color="000000" w:sz="4" w:space="0"/>
              <w:left w:val="single" w:color="000000" w:sz="4" w:space="0"/>
              <w:bottom w:val="single" w:color="000000" w:sz="4" w:space="0"/>
              <w:right w:val="single" w:color="000000" w:sz="4" w:space="0"/>
            </w:tcBorders>
            <w:shd w:val="clear" w:color="auto" w:fill="FFFF00"/>
            <w:vAlign w:val="center"/>
          </w:tcPr>
          <w:p>
            <w:pPr>
              <w:widowControl/>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铜牌</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FF0000"/>
                <w:kern w:val="0"/>
                <w:sz w:val="22"/>
                <w:szCs w:val="22"/>
                <w:u w:val="none"/>
                <w:lang w:val="en-US" w:eastAsia="zh-CN"/>
              </w:rPr>
              <w:t>锦标赛</w:t>
            </w:r>
          </w:p>
        </w:tc>
        <w:tc>
          <w:tcPr>
            <w:tcW w:w="1080" w:type="dxa"/>
            <w:tcBorders>
              <w:top w:val="single" w:color="000000" w:sz="4" w:space="0"/>
              <w:left w:val="single" w:color="000000" w:sz="4" w:space="0"/>
              <w:bottom w:val="single" w:color="000000" w:sz="4" w:space="0"/>
              <w:right w:val="single" w:color="000000" w:sz="4" w:space="0"/>
            </w:tcBorders>
            <w:shd w:val="clear" w:color="auto" w:fill="FFFF00"/>
            <w:vAlign w:val="center"/>
          </w:tcPr>
          <w:p>
            <w:pPr>
              <w:widowControl/>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金牌</w:t>
            </w:r>
          </w:p>
        </w:tc>
        <w:tc>
          <w:tcPr>
            <w:tcW w:w="1080" w:type="dxa"/>
            <w:tcBorders>
              <w:top w:val="single" w:color="000000" w:sz="4" w:space="0"/>
              <w:left w:val="single" w:color="000000" w:sz="4" w:space="0"/>
              <w:bottom w:val="single" w:color="000000" w:sz="4" w:space="0"/>
              <w:right w:val="single" w:color="000000" w:sz="4" w:space="0"/>
            </w:tcBorders>
            <w:shd w:val="clear" w:color="auto" w:fill="FFFF00"/>
            <w:vAlign w:val="center"/>
          </w:tcPr>
          <w:p>
            <w:pPr>
              <w:widowControl/>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银牌</w:t>
            </w:r>
          </w:p>
        </w:tc>
        <w:tc>
          <w:tcPr>
            <w:tcW w:w="1080" w:type="dxa"/>
            <w:tcBorders>
              <w:top w:val="single" w:color="000000" w:sz="4" w:space="0"/>
              <w:left w:val="single" w:color="000000" w:sz="4" w:space="0"/>
              <w:bottom w:val="single" w:color="000000" w:sz="4" w:space="0"/>
              <w:right w:val="single" w:color="000000" w:sz="4" w:space="0"/>
            </w:tcBorders>
            <w:shd w:val="clear" w:color="auto" w:fill="FFFF00"/>
            <w:vAlign w:val="center"/>
          </w:tcPr>
          <w:p>
            <w:pPr>
              <w:widowControl/>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铜牌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0" w:hRule="atLeast"/>
        </w:trPr>
        <w:tc>
          <w:tcPr>
            <w:tcW w:w="109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拳击</w:t>
            </w:r>
          </w:p>
        </w:tc>
        <w:tc>
          <w:tcPr>
            <w:tcW w:w="108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FF0000"/>
                <w:kern w:val="0"/>
                <w:sz w:val="22"/>
                <w:szCs w:val="22"/>
                <w:u w:val="none"/>
                <w:lang w:val="en-US" w:eastAsia="zh-CN"/>
              </w:rPr>
              <w:t>u系列</w:t>
            </w:r>
          </w:p>
        </w:tc>
        <w:tc>
          <w:tcPr>
            <w:tcW w:w="108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iCs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iCs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iCs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FF0000"/>
                <w:kern w:val="0"/>
                <w:sz w:val="22"/>
                <w:szCs w:val="22"/>
                <w:u w:val="none"/>
                <w:lang w:val="en-US" w:eastAsia="zh-CN"/>
              </w:rPr>
              <w:t>锦标赛</w:t>
            </w:r>
          </w:p>
        </w:tc>
        <w:tc>
          <w:tcPr>
            <w:tcW w:w="108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1</w:t>
            </w:r>
          </w:p>
        </w:tc>
        <w:tc>
          <w:tcPr>
            <w:tcW w:w="108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iCs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0" w:hRule="atLeast"/>
        </w:trPr>
        <w:tc>
          <w:tcPr>
            <w:tcW w:w="109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网球</w:t>
            </w:r>
          </w:p>
        </w:tc>
        <w:tc>
          <w:tcPr>
            <w:tcW w:w="108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FF0000"/>
                <w:kern w:val="0"/>
                <w:sz w:val="22"/>
                <w:szCs w:val="22"/>
                <w:u w:val="none"/>
                <w:lang w:val="en-US" w:eastAsia="zh-CN"/>
              </w:rPr>
              <w:t>u系列</w:t>
            </w:r>
          </w:p>
        </w:tc>
        <w:tc>
          <w:tcPr>
            <w:tcW w:w="108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2</w:t>
            </w:r>
          </w:p>
        </w:tc>
        <w:tc>
          <w:tcPr>
            <w:tcW w:w="108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1</w:t>
            </w:r>
          </w:p>
        </w:tc>
        <w:tc>
          <w:tcPr>
            <w:tcW w:w="108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iCs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FF0000"/>
                <w:kern w:val="0"/>
                <w:sz w:val="22"/>
                <w:szCs w:val="22"/>
                <w:u w:val="none"/>
                <w:lang w:val="en-US" w:eastAsia="zh-CN"/>
              </w:rPr>
              <w:t>锦标赛</w:t>
            </w:r>
          </w:p>
        </w:tc>
        <w:tc>
          <w:tcPr>
            <w:tcW w:w="108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iCs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1</w:t>
            </w:r>
          </w:p>
        </w:tc>
        <w:tc>
          <w:tcPr>
            <w:tcW w:w="108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0" w:hRule="atLeast"/>
        </w:trPr>
        <w:tc>
          <w:tcPr>
            <w:tcW w:w="109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摔跤</w:t>
            </w:r>
          </w:p>
        </w:tc>
        <w:tc>
          <w:tcPr>
            <w:tcW w:w="108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FF0000"/>
                <w:kern w:val="0"/>
                <w:sz w:val="22"/>
                <w:szCs w:val="22"/>
                <w:u w:val="none"/>
                <w:lang w:val="en-US" w:eastAsia="zh-CN"/>
              </w:rPr>
              <w:t>u系列</w:t>
            </w:r>
          </w:p>
        </w:tc>
        <w:tc>
          <w:tcPr>
            <w:tcW w:w="108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1</w:t>
            </w:r>
          </w:p>
        </w:tc>
        <w:tc>
          <w:tcPr>
            <w:tcW w:w="108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1</w:t>
            </w:r>
          </w:p>
        </w:tc>
        <w:tc>
          <w:tcPr>
            <w:tcW w:w="108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iCs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FF0000"/>
                <w:kern w:val="0"/>
                <w:sz w:val="22"/>
                <w:szCs w:val="22"/>
                <w:u w:val="none"/>
                <w:lang w:val="en-US" w:eastAsia="zh-CN"/>
              </w:rPr>
              <w:t>锦标赛</w:t>
            </w:r>
          </w:p>
        </w:tc>
        <w:tc>
          <w:tcPr>
            <w:tcW w:w="108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iCs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iCs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0" w:hRule="atLeast"/>
        </w:trPr>
        <w:tc>
          <w:tcPr>
            <w:tcW w:w="109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马术</w:t>
            </w:r>
          </w:p>
        </w:tc>
        <w:tc>
          <w:tcPr>
            <w:tcW w:w="108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FF0000"/>
                <w:kern w:val="0"/>
                <w:sz w:val="22"/>
                <w:szCs w:val="22"/>
                <w:u w:val="none"/>
                <w:lang w:val="en-US" w:eastAsia="zh-CN"/>
              </w:rPr>
              <w:t>u系列</w:t>
            </w:r>
          </w:p>
        </w:tc>
        <w:tc>
          <w:tcPr>
            <w:tcW w:w="108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iCs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iCs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1</w:t>
            </w:r>
          </w:p>
        </w:tc>
        <w:tc>
          <w:tcPr>
            <w:tcW w:w="108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FF0000"/>
                <w:kern w:val="0"/>
                <w:sz w:val="22"/>
                <w:szCs w:val="22"/>
                <w:u w:val="none"/>
                <w:lang w:val="en-US" w:eastAsia="zh-CN"/>
              </w:rPr>
              <w:t>锦标赛</w:t>
            </w:r>
          </w:p>
        </w:tc>
        <w:tc>
          <w:tcPr>
            <w:tcW w:w="108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iCs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iCs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0" w:hRule="atLeast"/>
        </w:trPr>
        <w:tc>
          <w:tcPr>
            <w:tcW w:w="109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羽毛球</w:t>
            </w:r>
          </w:p>
        </w:tc>
        <w:tc>
          <w:tcPr>
            <w:tcW w:w="108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FF0000"/>
                <w:kern w:val="0"/>
                <w:sz w:val="22"/>
                <w:szCs w:val="22"/>
                <w:u w:val="none"/>
                <w:lang w:val="en-US" w:eastAsia="zh-CN"/>
              </w:rPr>
              <w:t>u系列</w:t>
            </w:r>
          </w:p>
        </w:tc>
        <w:tc>
          <w:tcPr>
            <w:tcW w:w="108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7</w:t>
            </w:r>
          </w:p>
        </w:tc>
        <w:tc>
          <w:tcPr>
            <w:tcW w:w="108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7</w:t>
            </w:r>
          </w:p>
        </w:tc>
        <w:tc>
          <w:tcPr>
            <w:tcW w:w="108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3</w:t>
            </w:r>
          </w:p>
        </w:tc>
        <w:tc>
          <w:tcPr>
            <w:tcW w:w="108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FF0000"/>
                <w:kern w:val="0"/>
                <w:sz w:val="22"/>
                <w:szCs w:val="22"/>
                <w:u w:val="none"/>
                <w:lang w:val="en-US" w:eastAsia="zh-CN"/>
              </w:rPr>
              <w:t>锦标赛</w:t>
            </w:r>
          </w:p>
        </w:tc>
        <w:tc>
          <w:tcPr>
            <w:tcW w:w="108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2</w:t>
            </w:r>
          </w:p>
        </w:tc>
        <w:tc>
          <w:tcPr>
            <w:tcW w:w="108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3</w:t>
            </w:r>
          </w:p>
        </w:tc>
        <w:tc>
          <w:tcPr>
            <w:tcW w:w="108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0" w:hRule="atLeast"/>
        </w:trPr>
        <w:tc>
          <w:tcPr>
            <w:tcW w:w="109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武术套路</w:t>
            </w:r>
          </w:p>
        </w:tc>
        <w:tc>
          <w:tcPr>
            <w:tcW w:w="108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FF0000"/>
                <w:kern w:val="0"/>
                <w:sz w:val="22"/>
                <w:szCs w:val="22"/>
                <w:u w:val="none"/>
                <w:lang w:val="en-US" w:eastAsia="zh-CN"/>
              </w:rPr>
              <w:t>u系列</w:t>
            </w:r>
          </w:p>
        </w:tc>
        <w:tc>
          <w:tcPr>
            <w:tcW w:w="108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3</w:t>
            </w:r>
          </w:p>
        </w:tc>
        <w:tc>
          <w:tcPr>
            <w:tcW w:w="108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5</w:t>
            </w:r>
          </w:p>
        </w:tc>
        <w:tc>
          <w:tcPr>
            <w:tcW w:w="108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9</w:t>
            </w:r>
          </w:p>
        </w:tc>
        <w:tc>
          <w:tcPr>
            <w:tcW w:w="108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FF0000"/>
                <w:kern w:val="0"/>
                <w:sz w:val="22"/>
                <w:szCs w:val="22"/>
                <w:u w:val="none"/>
                <w:lang w:val="en-US" w:eastAsia="zh-CN"/>
              </w:rPr>
              <w:t>锦标赛</w:t>
            </w:r>
          </w:p>
        </w:tc>
        <w:tc>
          <w:tcPr>
            <w:tcW w:w="108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4</w:t>
            </w:r>
          </w:p>
        </w:tc>
        <w:tc>
          <w:tcPr>
            <w:tcW w:w="108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6</w:t>
            </w:r>
          </w:p>
        </w:tc>
        <w:tc>
          <w:tcPr>
            <w:tcW w:w="108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0" w:hRule="atLeast"/>
        </w:trPr>
        <w:tc>
          <w:tcPr>
            <w:tcW w:w="109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武术散打</w:t>
            </w:r>
          </w:p>
        </w:tc>
        <w:tc>
          <w:tcPr>
            <w:tcW w:w="108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FF0000"/>
                <w:kern w:val="0"/>
                <w:sz w:val="22"/>
                <w:szCs w:val="22"/>
                <w:u w:val="none"/>
                <w:lang w:val="en-US" w:eastAsia="zh-CN"/>
              </w:rPr>
              <w:t>u系列</w:t>
            </w:r>
          </w:p>
        </w:tc>
        <w:tc>
          <w:tcPr>
            <w:tcW w:w="108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iCs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iCs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iCs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FF0000"/>
                <w:kern w:val="0"/>
                <w:sz w:val="22"/>
                <w:szCs w:val="22"/>
                <w:u w:val="none"/>
                <w:lang w:val="en-US" w:eastAsia="zh-CN"/>
              </w:rPr>
              <w:t>锦标赛</w:t>
            </w:r>
          </w:p>
        </w:tc>
        <w:tc>
          <w:tcPr>
            <w:tcW w:w="108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iCs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1</w:t>
            </w:r>
          </w:p>
        </w:tc>
        <w:tc>
          <w:tcPr>
            <w:tcW w:w="108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0" w:hRule="atLeast"/>
        </w:trPr>
        <w:tc>
          <w:tcPr>
            <w:tcW w:w="109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自行车</w:t>
            </w:r>
          </w:p>
        </w:tc>
        <w:tc>
          <w:tcPr>
            <w:tcW w:w="108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FF0000"/>
                <w:kern w:val="0"/>
                <w:sz w:val="22"/>
                <w:szCs w:val="22"/>
                <w:u w:val="none"/>
                <w:lang w:val="en-US" w:eastAsia="zh-CN"/>
              </w:rPr>
              <w:t>u系列</w:t>
            </w:r>
          </w:p>
        </w:tc>
        <w:tc>
          <w:tcPr>
            <w:tcW w:w="108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iCs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2</w:t>
            </w:r>
          </w:p>
        </w:tc>
        <w:tc>
          <w:tcPr>
            <w:tcW w:w="108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8</w:t>
            </w:r>
          </w:p>
        </w:tc>
        <w:tc>
          <w:tcPr>
            <w:tcW w:w="108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FF0000"/>
                <w:kern w:val="0"/>
                <w:sz w:val="22"/>
                <w:szCs w:val="22"/>
                <w:u w:val="none"/>
                <w:lang w:val="en-US" w:eastAsia="zh-CN"/>
              </w:rPr>
              <w:t>锦标赛</w:t>
            </w:r>
          </w:p>
        </w:tc>
        <w:tc>
          <w:tcPr>
            <w:tcW w:w="108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iCs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3</w:t>
            </w:r>
          </w:p>
        </w:tc>
        <w:tc>
          <w:tcPr>
            <w:tcW w:w="108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0" w:hRule="atLeast"/>
        </w:trPr>
        <w:tc>
          <w:tcPr>
            <w:tcW w:w="109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空手道</w:t>
            </w:r>
          </w:p>
        </w:tc>
        <w:tc>
          <w:tcPr>
            <w:tcW w:w="108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FF0000"/>
                <w:kern w:val="0"/>
                <w:sz w:val="22"/>
                <w:szCs w:val="22"/>
                <w:u w:val="none"/>
                <w:lang w:val="en-US" w:eastAsia="zh-CN"/>
              </w:rPr>
              <w:t>u系列</w:t>
            </w:r>
          </w:p>
        </w:tc>
        <w:tc>
          <w:tcPr>
            <w:tcW w:w="108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2</w:t>
            </w:r>
          </w:p>
        </w:tc>
        <w:tc>
          <w:tcPr>
            <w:tcW w:w="108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8</w:t>
            </w:r>
          </w:p>
        </w:tc>
        <w:tc>
          <w:tcPr>
            <w:tcW w:w="108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12</w:t>
            </w:r>
          </w:p>
        </w:tc>
        <w:tc>
          <w:tcPr>
            <w:tcW w:w="108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FF0000"/>
                <w:kern w:val="0"/>
                <w:sz w:val="22"/>
                <w:szCs w:val="22"/>
                <w:u w:val="none"/>
                <w:lang w:val="en-US" w:eastAsia="zh-CN"/>
              </w:rPr>
              <w:t>锦标赛</w:t>
            </w:r>
          </w:p>
        </w:tc>
        <w:tc>
          <w:tcPr>
            <w:tcW w:w="108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4</w:t>
            </w:r>
          </w:p>
        </w:tc>
        <w:tc>
          <w:tcPr>
            <w:tcW w:w="108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3</w:t>
            </w:r>
          </w:p>
        </w:tc>
        <w:tc>
          <w:tcPr>
            <w:tcW w:w="108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0" w:hRule="atLeast"/>
        </w:trPr>
        <w:tc>
          <w:tcPr>
            <w:tcW w:w="109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游泳</w:t>
            </w:r>
          </w:p>
        </w:tc>
        <w:tc>
          <w:tcPr>
            <w:tcW w:w="108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FF0000"/>
                <w:kern w:val="0"/>
                <w:sz w:val="22"/>
                <w:szCs w:val="22"/>
                <w:u w:val="none"/>
                <w:lang w:val="en-US" w:eastAsia="zh-CN"/>
              </w:rPr>
              <w:t>u系列</w:t>
            </w:r>
          </w:p>
        </w:tc>
        <w:tc>
          <w:tcPr>
            <w:tcW w:w="108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2</w:t>
            </w:r>
          </w:p>
        </w:tc>
        <w:tc>
          <w:tcPr>
            <w:tcW w:w="108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7</w:t>
            </w:r>
          </w:p>
        </w:tc>
        <w:tc>
          <w:tcPr>
            <w:tcW w:w="108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9</w:t>
            </w:r>
          </w:p>
        </w:tc>
        <w:tc>
          <w:tcPr>
            <w:tcW w:w="108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FF0000"/>
                <w:kern w:val="0"/>
                <w:sz w:val="22"/>
                <w:szCs w:val="22"/>
                <w:u w:val="none"/>
                <w:lang w:val="en-US" w:eastAsia="zh-CN"/>
              </w:rPr>
              <w:t>锦标赛</w:t>
            </w:r>
          </w:p>
        </w:tc>
        <w:tc>
          <w:tcPr>
            <w:tcW w:w="108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3</w:t>
            </w:r>
          </w:p>
        </w:tc>
        <w:tc>
          <w:tcPr>
            <w:tcW w:w="108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10</w:t>
            </w:r>
          </w:p>
        </w:tc>
        <w:tc>
          <w:tcPr>
            <w:tcW w:w="108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0" w:hRule="atLeast"/>
        </w:trPr>
        <w:tc>
          <w:tcPr>
            <w:tcW w:w="109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篮球</w:t>
            </w:r>
          </w:p>
        </w:tc>
        <w:tc>
          <w:tcPr>
            <w:tcW w:w="108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FF0000"/>
                <w:kern w:val="0"/>
                <w:sz w:val="22"/>
                <w:szCs w:val="22"/>
                <w:u w:val="none"/>
                <w:lang w:val="en-US" w:eastAsia="zh-CN"/>
              </w:rPr>
              <w:t>u系列</w:t>
            </w:r>
          </w:p>
        </w:tc>
        <w:tc>
          <w:tcPr>
            <w:tcW w:w="108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iCs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iCs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iCs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FF0000"/>
                <w:kern w:val="0"/>
                <w:sz w:val="22"/>
                <w:szCs w:val="22"/>
                <w:u w:val="none"/>
                <w:lang w:val="en-US" w:eastAsia="zh-CN"/>
              </w:rPr>
              <w:t>锦标赛</w:t>
            </w:r>
          </w:p>
        </w:tc>
        <w:tc>
          <w:tcPr>
            <w:tcW w:w="108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iCs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1</w:t>
            </w:r>
          </w:p>
        </w:tc>
        <w:tc>
          <w:tcPr>
            <w:tcW w:w="108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0" w:hRule="atLeast"/>
        </w:trPr>
        <w:tc>
          <w:tcPr>
            <w:tcW w:w="109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跆拳道</w:t>
            </w:r>
          </w:p>
        </w:tc>
        <w:tc>
          <w:tcPr>
            <w:tcW w:w="108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FF0000"/>
                <w:kern w:val="0"/>
                <w:sz w:val="22"/>
                <w:szCs w:val="22"/>
                <w:u w:val="none"/>
                <w:lang w:val="en-US" w:eastAsia="zh-CN"/>
              </w:rPr>
              <w:t>u系列</w:t>
            </w:r>
          </w:p>
        </w:tc>
        <w:tc>
          <w:tcPr>
            <w:tcW w:w="108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4</w:t>
            </w:r>
          </w:p>
        </w:tc>
        <w:tc>
          <w:tcPr>
            <w:tcW w:w="108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6</w:t>
            </w:r>
          </w:p>
        </w:tc>
        <w:tc>
          <w:tcPr>
            <w:tcW w:w="108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11</w:t>
            </w:r>
          </w:p>
        </w:tc>
        <w:tc>
          <w:tcPr>
            <w:tcW w:w="108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FF0000"/>
                <w:kern w:val="0"/>
                <w:sz w:val="22"/>
                <w:szCs w:val="22"/>
                <w:u w:val="none"/>
                <w:lang w:val="en-US" w:eastAsia="zh-CN"/>
              </w:rPr>
              <w:t>锦标赛</w:t>
            </w:r>
          </w:p>
        </w:tc>
        <w:tc>
          <w:tcPr>
            <w:tcW w:w="108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3</w:t>
            </w:r>
          </w:p>
        </w:tc>
        <w:tc>
          <w:tcPr>
            <w:tcW w:w="108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4</w:t>
            </w:r>
          </w:p>
        </w:tc>
        <w:tc>
          <w:tcPr>
            <w:tcW w:w="108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0" w:hRule="atLeast"/>
        </w:trPr>
        <w:tc>
          <w:tcPr>
            <w:tcW w:w="109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田径</w:t>
            </w:r>
          </w:p>
        </w:tc>
        <w:tc>
          <w:tcPr>
            <w:tcW w:w="108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FF0000"/>
                <w:kern w:val="0"/>
                <w:sz w:val="22"/>
                <w:szCs w:val="22"/>
                <w:u w:val="none"/>
                <w:lang w:val="en-US" w:eastAsia="zh-CN"/>
              </w:rPr>
              <w:t>u系列</w:t>
            </w:r>
          </w:p>
        </w:tc>
        <w:tc>
          <w:tcPr>
            <w:tcW w:w="108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2</w:t>
            </w:r>
          </w:p>
        </w:tc>
        <w:tc>
          <w:tcPr>
            <w:tcW w:w="108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4</w:t>
            </w:r>
          </w:p>
        </w:tc>
        <w:tc>
          <w:tcPr>
            <w:tcW w:w="108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4</w:t>
            </w:r>
          </w:p>
        </w:tc>
        <w:tc>
          <w:tcPr>
            <w:tcW w:w="108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FF0000"/>
                <w:kern w:val="0"/>
                <w:sz w:val="22"/>
                <w:szCs w:val="22"/>
                <w:u w:val="none"/>
                <w:lang w:val="en-US" w:eastAsia="zh-CN"/>
              </w:rPr>
              <w:t>锦标赛</w:t>
            </w:r>
          </w:p>
        </w:tc>
        <w:tc>
          <w:tcPr>
            <w:tcW w:w="108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3</w:t>
            </w:r>
          </w:p>
        </w:tc>
        <w:tc>
          <w:tcPr>
            <w:tcW w:w="108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3</w:t>
            </w:r>
          </w:p>
        </w:tc>
        <w:tc>
          <w:tcPr>
            <w:tcW w:w="108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1096"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080"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080" w:type="dxa"/>
            <w:tcBorders>
              <w:top w:val="nil"/>
              <w:left w:val="nil"/>
              <w:bottom w:val="nil"/>
              <w:right w:val="nil"/>
            </w:tcBorders>
            <w:vAlign w:val="center"/>
          </w:tcPr>
          <w:p>
            <w:pPr>
              <w:widowControl/>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23</w:t>
            </w:r>
          </w:p>
        </w:tc>
        <w:tc>
          <w:tcPr>
            <w:tcW w:w="1080" w:type="dxa"/>
            <w:tcBorders>
              <w:top w:val="nil"/>
              <w:left w:val="nil"/>
              <w:bottom w:val="nil"/>
              <w:right w:val="nil"/>
            </w:tcBorders>
            <w:vAlign w:val="center"/>
          </w:tcPr>
          <w:p>
            <w:pPr>
              <w:widowControl/>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54</w:t>
            </w:r>
          </w:p>
        </w:tc>
        <w:tc>
          <w:tcPr>
            <w:tcW w:w="1080" w:type="dxa"/>
            <w:tcBorders>
              <w:top w:val="nil"/>
              <w:left w:val="nil"/>
              <w:bottom w:val="nil"/>
              <w:right w:val="nil"/>
            </w:tcBorders>
            <w:vAlign w:val="center"/>
          </w:tcPr>
          <w:p>
            <w:pPr>
              <w:widowControl/>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57</w:t>
            </w:r>
          </w:p>
        </w:tc>
        <w:tc>
          <w:tcPr>
            <w:tcW w:w="1080"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080" w:type="dxa"/>
            <w:tcBorders>
              <w:top w:val="nil"/>
              <w:left w:val="nil"/>
              <w:bottom w:val="nil"/>
              <w:right w:val="nil"/>
            </w:tcBorders>
            <w:vAlign w:val="center"/>
          </w:tcPr>
          <w:p>
            <w:pPr>
              <w:widowControl/>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20</w:t>
            </w:r>
          </w:p>
        </w:tc>
        <w:tc>
          <w:tcPr>
            <w:tcW w:w="1080" w:type="dxa"/>
            <w:tcBorders>
              <w:top w:val="nil"/>
              <w:left w:val="nil"/>
              <w:bottom w:val="nil"/>
              <w:right w:val="nil"/>
            </w:tcBorders>
            <w:vAlign w:val="center"/>
          </w:tcPr>
          <w:p>
            <w:pPr>
              <w:widowControl/>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35</w:t>
            </w:r>
          </w:p>
        </w:tc>
        <w:tc>
          <w:tcPr>
            <w:tcW w:w="1080" w:type="dxa"/>
            <w:tcBorders>
              <w:top w:val="nil"/>
              <w:left w:val="nil"/>
              <w:bottom w:val="nil"/>
              <w:right w:val="nil"/>
            </w:tcBorders>
            <w:vAlign w:val="center"/>
          </w:tcPr>
          <w:p>
            <w:pPr>
              <w:widowControl/>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44</w:t>
            </w:r>
          </w:p>
        </w:tc>
      </w:tr>
    </w:tbl>
    <w:p>
      <w:pPr>
        <w:numPr>
          <w:numId w:val="0"/>
        </w:numPr>
        <w:spacing w:line="600" w:lineRule="exact"/>
        <w:rPr>
          <w:rFonts w:hint="eastAsia" w:ascii="仿宋_GB2312" w:hAnsi="仿宋_GB2312" w:eastAsia="仿宋_GB2312" w:cs="仿宋_GB2312"/>
          <w:b w:val="0"/>
          <w:bCs/>
          <w:color w:val="auto"/>
          <w:kern w:val="0"/>
          <w:sz w:val="32"/>
          <w:szCs w:val="32"/>
        </w:rPr>
      </w:pPr>
    </w:p>
    <w:p>
      <w:pPr>
        <w:numPr>
          <w:ilvl w:val="0"/>
          <w:numId w:val="2"/>
        </w:numPr>
        <w:spacing w:line="600" w:lineRule="exact"/>
        <w:ind w:firstLine="640" w:firstLineChars="200"/>
        <w:rPr>
          <w:rFonts w:hint="eastAsia" w:ascii="仿宋_GB2312" w:hAnsi="仿宋_GB2312" w:eastAsia="仿宋_GB2312" w:cs="仿宋_GB2312"/>
          <w:b w:val="0"/>
          <w:bCs/>
          <w:color w:val="auto"/>
          <w:kern w:val="0"/>
          <w:sz w:val="32"/>
          <w:szCs w:val="32"/>
        </w:rPr>
      </w:pPr>
      <w:r>
        <w:rPr>
          <w:rFonts w:hint="eastAsia" w:ascii="仿宋_GB2312" w:hAnsi="仿宋_GB2312" w:eastAsia="仿宋_GB2312" w:cs="仿宋_GB2312"/>
          <w:b w:val="0"/>
          <w:bCs/>
          <w:color w:val="auto"/>
          <w:kern w:val="0"/>
          <w:sz w:val="32"/>
          <w:szCs w:val="32"/>
        </w:rPr>
        <w:t>主要经验及做法、存在的问题及原因分析</w:t>
      </w:r>
    </w:p>
    <w:p>
      <w:pPr>
        <w:numPr>
          <w:numId w:val="0"/>
        </w:numPr>
        <w:spacing w:line="600" w:lineRule="exact"/>
        <w:rPr>
          <w:rFonts w:hint="default" w:ascii="仿宋_GB2312" w:hAnsi="仿宋_GB2312" w:eastAsia="仿宋_GB2312" w:cs="仿宋_GB2312"/>
          <w:b w:val="0"/>
          <w:bCs/>
          <w:color w:val="auto"/>
          <w:kern w:val="0"/>
          <w:sz w:val="32"/>
          <w:szCs w:val="32"/>
          <w:lang w:val="en-US" w:eastAsia="zh-CN"/>
        </w:rPr>
      </w:pPr>
      <w:r>
        <w:rPr>
          <w:rFonts w:hint="eastAsia" w:ascii="仿宋_GB2312" w:hAnsi="仿宋_GB2312" w:eastAsia="仿宋_GB2312" w:cs="仿宋_GB2312"/>
          <w:b w:val="0"/>
          <w:bCs/>
          <w:color w:val="auto"/>
          <w:kern w:val="0"/>
          <w:sz w:val="32"/>
          <w:szCs w:val="32"/>
          <w:lang w:val="en-US" w:eastAsia="zh-CN"/>
        </w:rPr>
        <w:t xml:space="preserve">     主要经验及做法：按月检查各项目各队伍训练基本情况，观察教练员及运动员心理身理健康，如有问题提供心理疏导和身体康复辅助。团结各队伍凝聚力，心往一处想，劲往一处使。</w:t>
      </w:r>
    </w:p>
    <w:p>
      <w:pPr>
        <w:spacing w:line="600" w:lineRule="exact"/>
        <w:ind w:firstLine="640" w:firstLineChars="200"/>
        <w:rPr>
          <w:rFonts w:hint="eastAsia" w:ascii="仿宋_GB2312" w:hAnsi="仿宋_GB2312" w:eastAsia="仿宋_GB2312" w:cs="仿宋_GB2312"/>
          <w:b w:val="0"/>
          <w:bCs/>
          <w:color w:val="auto"/>
          <w:kern w:val="0"/>
          <w:sz w:val="32"/>
          <w:szCs w:val="32"/>
        </w:rPr>
      </w:pPr>
      <w:r>
        <w:rPr>
          <w:rFonts w:hint="eastAsia" w:ascii="仿宋_GB2312" w:hAnsi="仿宋_GB2312" w:eastAsia="仿宋_GB2312" w:cs="仿宋_GB2312"/>
          <w:b w:val="0"/>
          <w:bCs/>
          <w:color w:val="auto"/>
          <w:kern w:val="0"/>
          <w:sz w:val="32"/>
          <w:szCs w:val="32"/>
        </w:rPr>
        <w:t>六、有关建议</w:t>
      </w:r>
    </w:p>
    <w:p>
      <w:pPr>
        <w:spacing w:line="600" w:lineRule="exact"/>
        <w:ind w:firstLine="640" w:firstLineChars="200"/>
        <w:rPr>
          <w:rFonts w:hint="eastAsia" w:ascii="仿宋_GB2312" w:hAnsi="仿宋_GB2312" w:eastAsia="仿宋_GB2312" w:cs="仿宋_GB2312"/>
          <w:b w:val="0"/>
          <w:bCs/>
          <w:color w:val="auto"/>
          <w:kern w:val="0"/>
          <w:sz w:val="32"/>
          <w:szCs w:val="32"/>
          <w:lang w:eastAsia="zh-CN"/>
        </w:rPr>
      </w:pPr>
      <w:r>
        <w:rPr>
          <w:rFonts w:hint="eastAsia" w:ascii="仿宋_GB2312" w:hAnsi="仿宋_GB2312" w:eastAsia="仿宋_GB2312" w:cs="仿宋_GB2312"/>
          <w:b w:val="0"/>
          <w:bCs/>
          <w:color w:val="auto"/>
          <w:kern w:val="0"/>
          <w:sz w:val="32"/>
          <w:szCs w:val="32"/>
          <w:lang w:eastAsia="zh-CN"/>
        </w:rPr>
        <w:t>无</w:t>
      </w:r>
    </w:p>
    <w:p>
      <w:pPr>
        <w:numPr>
          <w:ilvl w:val="0"/>
          <w:numId w:val="3"/>
        </w:numPr>
        <w:spacing w:line="600" w:lineRule="exact"/>
        <w:ind w:firstLine="640" w:firstLineChars="200"/>
        <w:rPr>
          <w:rFonts w:hint="eastAsia" w:ascii="仿宋_GB2312" w:hAnsi="仿宋_GB2312" w:eastAsia="仿宋_GB2312" w:cs="仿宋_GB2312"/>
          <w:b w:val="0"/>
          <w:bCs/>
          <w:color w:val="auto"/>
          <w:kern w:val="0"/>
          <w:sz w:val="32"/>
          <w:szCs w:val="32"/>
        </w:rPr>
      </w:pPr>
      <w:r>
        <w:rPr>
          <w:rFonts w:hint="eastAsia" w:ascii="仿宋_GB2312" w:hAnsi="仿宋_GB2312" w:eastAsia="仿宋_GB2312" w:cs="仿宋_GB2312"/>
          <w:b w:val="0"/>
          <w:bCs/>
          <w:color w:val="auto"/>
          <w:kern w:val="0"/>
          <w:sz w:val="32"/>
          <w:szCs w:val="32"/>
        </w:rPr>
        <w:t>其他需要说明的问题</w:t>
      </w:r>
    </w:p>
    <w:p>
      <w:pPr>
        <w:numPr>
          <w:ilvl w:val="0"/>
          <w:numId w:val="3"/>
        </w:numPr>
        <w:spacing w:line="600" w:lineRule="exact"/>
        <w:ind w:firstLine="640" w:firstLineChars="200"/>
        <w:rPr>
          <w:rFonts w:hint="eastAsia" w:ascii="仿宋_GB2312" w:hAnsi="仿宋_GB2312" w:eastAsia="仿宋_GB2312" w:cs="仿宋_GB2312"/>
          <w:b w:val="0"/>
          <w:bCs/>
          <w:color w:val="auto"/>
          <w:kern w:val="0"/>
          <w:sz w:val="32"/>
          <w:szCs w:val="32"/>
        </w:rPr>
      </w:pPr>
      <w:r>
        <w:rPr>
          <w:rFonts w:hint="eastAsia" w:ascii="仿宋_GB2312" w:hAnsi="仿宋_GB2312" w:eastAsia="仿宋_GB2312" w:cs="仿宋_GB2312"/>
          <w:b w:val="0"/>
          <w:bCs/>
          <w:color w:val="auto"/>
          <w:kern w:val="0"/>
          <w:sz w:val="32"/>
          <w:szCs w:val="32"/>
          <w:lang w:eastAsia="zh-CN"/>
        </w:rPr>
        <w:t>无</w:t>
      </w:r>
    </w:p>
    <w:p>
      <w:pPr>
        <w:pStyle w:val="3"/>
      </w:pPr>
    </w:p>
    <w:p>
      <w:pPr>
        <w:widowControl/>
        <w:spacing w:line="360" w:lineRule="auto"/>
        <w:ind w:firstLine="0" w:firstLineChars="0"/>
        <w:outlineLvl w:val="9"/>
        <w:rPr>
          <w:rFonts w:hint="eastAsia" w:ascii="黑体" w:hAnsi="黑体" w:eastAsia="黑体" w:cs="Times New Roman"/>
          <w:color w:val="auto"/>
          <w:kern w:val="2"/>
          <w:sz w:val="32"/>
          <w:szCs w:val="32"/>
        </w:rPr>
      </w:pPr>
    </w:p>
    <w:p>
      <w:pPr>
        <w:widowControl/>
        <w:spacing w:line="360" w:lineRule="auto"/>
        <w:ind w:firstLine="0" w:firstLineChars="0"/>
        <w:outlineLvl w:val="9"/>
        <w:rPr>
          <w:rFonts w:hint="eastAsia" w:ascii="黑体" w:hAnsi="黑体" w:eastAsia="黑体" w:cs="Times New Roman"/>
          <w:color w:val="auto"/>
          <w:kern w:val="2"/>
          <w:sz w:val="32"/>
          <w:szCs w:val="32"/>
        </w:rPr>
      </w:pPr>
    </w:p>
    <w:p>
      <w:pPr>
        <w:widowControl/>
        <w:spacing w:line="360" w:lineRule="auto"/>
        <w:ind w:firstLine="0" w:firstLineChars="0"/>
        <w:jc w:val="center"/>
        <w:outlineLvl w:val="9"/>
        <w:rPr>
          <w:rFonts w:hint="eastAsia" w:ascii="宋体" w:hAnsi="宋体" w:eastAsia="宋体" w:cs="宋体"/>
          <w:b/>
          <w:bCs/>
          <w:color w:val="auto"/>
          <w:kern w:val="0"/>
          <w:sz w:val="32"/>
          <w:szCs w:val="32"/>
        </w:rPr>
      </w:pPr>
    </w:p>
    <w:p>
      <w:pPr>
        <w:widowControl/>
        <w:spacing w:line="360" w:lineRule="auto"/>
        <w:ind w:firstLine="0" w:firstLineChars="0"/>
        <w:jc w:val="center"/>
        <w:outlineLvl w:val="9"/>
        <w:rPr>
          <w:rFonts w:hint="eastAsia" w:ascii="宋体" w:hAnsi="宋体" w:eastAsia="宋体" w:cs="宋体"/>
          <w:b/>
          <w:bCs/>
          <w:color w:val="auto"/>
          <w:kern w:val="0"/>
          <w:sz w:val="32"/>
          <w:szCs w:val="32"/>
        </w:rPr>
      </w:pPr>
    </w:p>
    <w:p>
      <w:pPr>
        <w:widowControl/>
        <w:spacing w:line="360" w:lineRule="auto"/>
        <w:ind w:firstLine="0" w:firstLineChars="0"/>
        <w:jc w:val="center"/>
        <w:outlineLvl w:val="9"/>
        <w:rPr>
          <w:rFonts w:hint="eastAsia" w:ascii="宋体" w:hAnsi="宋体" w:eastAsia="宋体" w:cs="宋体"/>
          <w:b/>
          <w:bCs/>
          <w:color w:val="auto"/>
          <w:kern w:val="0"/>
          <w:sz w:val="32"/>
          <w:szCs w:val="32"/>
        </w:rPr>
      </w:pPr>
    </w:p>
    <w:p>
      <w:pPr>
        <w:widowControl/>
        <w:spacing w:line="360" w:lineRule="auto"/>
        <w:ind w:firstLine="0" w:firstLineChars="0"/>
        <w:jc w:val="center"/>
        <w:outlineLvl w:val="9"/>
        <w:rPr>
          <w:rFonts w:hint="eastAsia" w:ascii="宋体" w:hAnsi="宋体" w:eastAsia="宋体" w:cs="宋体"/>
          <w:b/>
          <w:bCs/>
          <w:color w:val="auto"/>
          <w:kern w:val="0"/>
          <w:sz w:val="32"/>
          <w:szCs w:val="32"/>
        </w:rPr>
      </w:pPr>
    </w:p>
    <w:p>
      <w:pPr>
        <w:widowControl/>
        <w:spacing w:line="360" w:lineRule="auto"/>
        <w:ind w:firstLine="0" w:firstLineChars="0"/>
        <w:jc w:val="center"/>
        <w:outlineLvl w:val="9"/>
        <w:rPr>
          <w:rFonts w:hint="eastAsia" w:ascii="宋体" w:hAnsi="宋体" w:eastAsia="宋体" w:cs="宋体"/>
          <w:b/>
          <w:bCs/>
          <w:color w:val="auto"/>
          <w:kern w:val="0"/>
          <w:sz w:val="32"/>
          <w:szCs w:val="32"/>
        </w:rPr>
      </w:pPr>
    </w:p>
    <w:p>
      <w:pPr>
        <w:widowControl/>
        <w:spacing w:line="360" w:lineRule="auto"/>
        <w:ind w:firstLine="0" w:firstLineChars="0"/>
        <w:jc w:val="center"/>
        <w:outlineLvl w:val="9"/>
        <w:rPr>
          <w:rFonts w:hint="eastAsia" w:ascii="宋体" w:hAnsi="宋体" w:eastAsia="宋体" w:cs="宋体"/>
          <w:b/>
          <w:bCs/>
          <w:color w:val="auto"/>
          <w:kern w:val="0"/>
          <w:sz w:val="32"/>
          <w:szCs w:val="32"/>
        </w:rPr>
      </w:pPr>
    </w:p>
    <w:p>
      <w:pPr>
        <w:rPr>
          <w:rFonts w:hint="eastAsia" w:eastAsia="宋体"/>
          <w:b w:val="0"/>
          <w:bCs w:val="0"/>
          <w:lang w:val="en-US" w:eastAsia="zh-CN"/>
        </w:rPr>
      </w:pPr>
    </w:p>
    <w:sectPr>
      <w:footerReference r:id="rId4" w:type="default"/>
      <w:pgSz w:w="11906" w:h="16838"/>
      <w:pgMar w:top="1440" w:right="1803" w:bottom="1440" w:left="1803" w:header="851" w:footer="992" w:gutter="0"/>
      <w:pgNumType w:fmt="decimal"/>
      <w:cols w:space="720" w:num="1"/>
      <w:rtlGutter w:val="0"/>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auto"/>
    <w:pitch w:val="default"/>
    <w:sig w:usb0="E0002AFF" w:usb1="C0007843"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auto"/>
    <w:pitch w:val="default"/>
    <w:sig w:usb0="E00002FF" w:usb1="4000ACFF" w:usb2="00000001" w:usb3="00000000" w:csb0="2000019F" w:csb1="00000000"/>
  </w:font>
  <w:font w:name="Verdana">
    <w:panose1 w:val="020B0604030504040204"/>
    <w:charset w:val="00"/>
    <w:family w:val="auto"/>
    <w:pitch w:val="default"/>
    <w:sig w:usb0="A10006FF" w:usb1="4000205B" w:usb2="00000010" w:usb3="00000000" w:csb0="2000019F"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5"/>
    </w:pPr>
    <w:r>
      <w:rPr>
        <w:rFonts w:ascii="Calibri" w:hAnsi="Calibri" w:eastAsia="宋体" w:cs="Times New Roman"/>
        <w:kern w:val="2"/>
        <w:sz w:val="18"/>
        <w:szCs w:val="24"/>
        <w:lang w:val="en-US" w:eastAsia="zh-CN" w:bidi="ar-SA"/>
      </w:rPr>
      <w:pict>
        <v:rect id="文本框 2" o:spid="_x0000_s1025" style="position:absolute;left:0;margin-top:0pt;height:144pt;width:144pt;mso-position-horizontal:center;mso-position-horizontal-relative:margin;mso-wrap-style:none;rotation:0f;z-index:251658240;" o:ole="f" fillcolor="#FFFFFF" filled="f" o:preferrelative="t" stroked="f" coordsize="21600,21600">
          <v:fill on="f" color2="#FFFFFF" focus="0%"/>
          <v:imagedata gain="65536f" blacklevel="0f" gamma="0"/>
          <o:lock v:ext="edit" position="f" selection="f" grouping="f" rotation="f" cropping="f" text="f" aspectratio="f"/>
          <v:textbox inset="0.00pt,0.00pt,0.00pt,0.00pt" style="mso-fit-shape-to-text:t;">
            <w:txbxContent>
              <w:p>
                <w:pPr>
                  <w:pStyle w:val="5"/>
                </w:pPr>
                <w:r>
                  <w:fldChar w:fldCharType="begin"/>
                </w:r>
                <w:r>
                  <w:instrText xml:space="preserve"> PAGE  \* MERGEFORMAT </w:instrText>
                </w:r>
                <w:r>
                  <w:fldChar w:fldCharType="separate"/>
                </w:r>
                <w:r>
                  <w:t>21</w:t>
                </w:r>
                <w:r>
                  <w:fldChar w:fldCharType="end"/>
                </w:r>
              </w:p>
            </w:txbxContent>
          </v:textbox>
        </v:rect>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4224650096">
    <w:nsid w:val="FBCF0B70"/>
    <w:multiLevelType w:val="singleLevel"/>
    <w:tmpl w:val="FBCF0B70"/>
    <w:lvl w:ilvl="0" w:tentative="1">
      <w:start w:val="5"/>
      <w:numFmt w:val="chineseCounting"/>
      <w:suff w:val="nothing"/>
      <w:lvlText w:val="%1、"/>
      <w:lvlJc w:val="left"/>
      <w:rPr>
        <w:rFonts w:hint="eastAsia"/>
      </w:rPr>
    </w:lvl>
  </w:abstractNum>
  <w:abstractNum w:abstractNumId="1513592990">
    <w:nsid w:val="5A37989E"/>
    <w:multiLevelType w:val="singleLevel"/>
    <w:tmpl w:val="5A37989E"/>
    <w:lvl w:ilvl="0" w:tentative="1">
      <w:start w:val="7"/>
      <w:numFmt w:val="chineseCounting"/>
      <w:suff w:val="nothing"/>
      <w:lvlText w:val="%1、"/>
      <w:lvlJc w:val="left"/>
      <w:rPr>
        <w:rFonts w:hint="eastAsia"/>
      </w:rPr>
    </w:lvl>
  </w:abstractNum>
  <w:abstractNum w:abstractNumId="2418803506">
    <w:nsid w:val="902C0332"/>
    <w:multiLevelType w:val="singleLevel"/>
    <w:tmpl w:val="902C0332"/>
    <w:lvl w:ilvl="0" w:tentative="1">
      <w:start w:val="2"/>
      <w:numFmt w:val="chineseCounting"/>
      <w:suff w:val="nothing"/>
      <w:lvlText w:val="（%1）"/>
      <w:lvlJc w:val="left"/>
      <w:rPr>
        <w:rFonts w:hint="eastAsia"/>
      </w:rPr>
    </w:lvl>
  </w:abstractNum>
  <w:num w:numId="1">
    <w:abstractNumId w:val="2418803506"/>
  </w:num>
  <w:num w:numId="2">
    <w:abstractNumId w:val="4224650096"/>
  </w:num>
  <w:num w:numId="3">
    <w:abstractNumId w:val="151359299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NormalStyleForList/>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
  <w:docVars>
    <w:docVar w:name="commondata" w:val="eyJoZGlkIjoiMmRmOTEzZDlkY2Y1NTIyY2QzYjA3Y2NjMTZmM2YzMzMifQ=="/>
  </w:docVars>
  <w:rsids>
    <w:rsidRoot w:val="5EDB0B63"/>
    <w:rsid w:val="01534994"/>
    <w:rsid w:val="0C8165E0"/>
    <w:rsid w:val="12E244C7"/>
    <w:rsid w:val="1EA03416"/>
    <w:rsid w:val="2CBF8107"/>
    <w:rsid w:val="2EB70209"/>
    <w:rsid w:val="30FF2B40"/>
    <w:rsid w:val="35D339CB"/>
    <w:rsid w:val="3FF79B31"/>
    <w:rsid w:val="4BA31FDB"/>
    <w:rsid w:val="4BFF9656"/>
    <w:rsid w:val="4D7C064A"/>
    <w:rsid w:val="537B9DA3"/>
    <w:rsid w:val="5A474F5C"/>
    <w:rsid w:val="5DDF52D1"/>
    <w:rsid w:val="5EDB0B63"/>
    <w:rsid w:val="5F9F33EB"/>
    <w:rsid w:val="6AC7B1A3"/>
    <w:rsid w:val="6B77FB6F"/>
    <w:rsid w:val="6EE9A86C"/>
    <w:rsid w:val="6FD43E60"/>
    <w:rsid w:val="74CF40B5"/>
    <w:rsid w:val="763E871D"/>
    <w:rsid w:val="79EBFCAD"/>
    <w:rsid w:val="7BBD97BD"/>
    <w:rsid w:val="7BFE4A5B"/>
    <w:rsid w:val="7BFFEC6B"/>
    <w:rsid w:val="7DBF4FBB"/>
    <w:rsid w:val="7DCD9330"/>
    <w:rsid w:val="7DD758A1"/>
    <w:rsid w:val="7E562264"/>
    <w:rsid w:val="7E5EB5A1"/>
    <w:rsid w:val="7F2773F9"/>
    <w:rsid w:val="7F3909BD"/>
    <w:rsid w:val="7F7C49BA"/>
    <w:rsid w:val="7FBF70D0"/>
    <w:rsid w:val="7FF719AD"/>
    <w:rsid w:val="9BFD2FEF"/>
    <w:rsid w:val="AFDDEFDC"/>
    <w:rsid w:val="B2DFF942"/>
    <w:rsid w:val="B5FC34C6"/>
    <w:rsid w:val="BAEFCA12"/>
    <w:rsid w:val="BD5D8A02"/>
    <w:rsid w:val="D4CEDA1A"/>
    <w:rsid w:val="D5A31DC0"/>
    <w:rsid w:val="D7FF1616"/>
    <w:rsid w:val="DFEAA56F"/>
    <w:rsid w:val="E6922BE3"/>
    <w:rsid w:val="EB5BB730"/>
    <w:rsid w:val="EDFF835A"/>
    <w:rsid w:val="EEBB59E1"/>
    <w:rsid w:val="EFCF022D"/>
    <w:rsid w:val="F37B3AB2"/>
    <w:rsid w:val="F6FF4047"/>
    <w:rsid w:val="F7E365DE"/>
    <w:rsid w:val="FA5A168B"/>
    <w:rsid w:val="FD3F40DC"/>
    <w:rsid w:val="FEF8056D"/>
    <w:rsid w:val="FEF82787"/>
    <w:rsid w:val="FEFD3F0E"/>
    <w:rsid w:val="FFBDEA55"/>
  </w:rsids>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8">
    <w:name w:val="Default Paragraph Font"/>
    <w:semiHidden/>
    <w:qFormat/>
    <w:uiPriority w:val="0"/>
  </w:style>
  <w:style w:type="table" w:default="1" w:styleId="10">
    <w:name w:val="Normal Table"/>
    <w:semiHidden/>
    <w:qFormat/>
    <w:uiPriority w:val="0"/>
    <w:tblPr>
      <w:tblStyle w:val="10"/>
      <w:tblLayout w:type="fixed"/>
      <w:tblCellMar>
        <w:top w:w="0" w:type="dxa"/>
        <w:left w:w="108" w:type="dxa"/>
        <w:bottom w:w="0" w:type="dxa"/>
        <w:right w:w="108" w:type="dxa"/>
      </w:tblCellMar>
    </w:tblPr>
    <w:tcPr>
      <w:textDirection w:val="lrTb"/>
    </w:tcPr>
  </w:style>
  <w:style w:type="paragraph" w:styleId="3">
    <w:name w:val="Normal Indent"/>
    <w:basedOn w:val="1"/>
    <w:next w:val="1"/>
    <w:qFormat/>
    <w:uiPriority w:val="0"/>
    <w:pPr>
      <w:ind w:firstLine="200" w:firstLineChars="200"/>
    </w:pPr>
  </w:style>
  <w:style w:type="paragraph" w:styleId="4">
    <w:name w:val="Body Text"/>
    <w:basedOn w:val="1"/>
    <w:next w:val="1"/>
    <w:qFormat/>
    <w:uiPriority w:val="0"/>
    <w:pPr>
      <w:spacing w:before="0" w:after="140" w:line="276" w:lineRule="auto"/>
    </w:p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qFormat/>
    <w:uiPriority w:val="0"/>
    <w:pPr>
      <w:spacing w:before="100" w:beforeAutospacing="1" w:after="100" w:afterAutospacing="1"/>
      <w:ind w:left="0" w:right="0"/>
      <w:jc w:val="left"/>
    </w:pPr>
    <w:rPr>
      <w:kern w:val="0"/>
      <w:sz w:val="24"/>
      <w:lang w:val="en-US" w:eastAsia="zh-CN"/>
    </w:rPr>
  </w:style>
  <w:style w:type="character" w:styleId="9">
    <w:name w:val="Hyperlink"/>
    <w:basedOn w:val="8"/>
    <w:uiPriority w:val="0"/>
    <w:rPr>
      <w:color w:val="0000FF"/>
      <w:u w:val="single"/>
    </w:rPr>
  </w:style>
  <w:style w:type="paragraph" w:customStyle="1" w:styleId="11">
    <w:name w:val="表格"/>
    <w:basedOn w:val="1"/>
    <w:qFormat/>
    <w:uiPriority w:val="0"/>
    <w:pPr>
      <w:autoSpaceDN w:val="0"/>
      <w:jc w:val="center"/>
    </w:pPr>
    <w:rPr>
      <w:rFonts w:ascii="Verdana" w:hAnsi="Verdana" w:eastAsia="仿宋_GB2312" w:cs="Times New Roman"/>
      <w:bCs/>
      <w:sz w:val="24"/>
      <w:szCs w:val="21"/>
      <w:lang w:eastAsia="en-US"/>
    </w:rPr>
  </w:style>
  <w:style w:type="paragraph" w:customStyle="1" w:styleId="12">
    <w:name w:val="首行缩进"/>
    <w:basedOn w:val="1"/>
    <w:qFormat/>
    <w:uiPriority w:val="0"/>
    <w:pPr>
      <w:ind w:firstLine="480"/>
    </w:pPr>
    <w:rPr>
      <w:szCs w:val="20"/>
      <w:lang w:val="zh-CN"/>
    </w:rPr>
  </w:style>
  <w:style w:type="character" w:customStyle="1" w:styleId="13">
    <w:name w:val="font81"/>
    <w:basedOn w:val="8"/>
    <w:qFormat/>
    <w:uiPriority w:val="0"/>
    <w:rPr>
      <w:rFonts w:hint="eastAsia" w:ascii="宋体" w:hAnsi="宋体" w:eastAsia="宋体" w:cs="宋体"/>
      <w:color w:val="000000"/>
      <w:sz w:val="20"/>
      <w:szCs w:val="20"/>
      <w:u w:val="none"/>
    </w:rPr>
  </w:style>
  <w:style w:type="character" w:customStyle="1" w:styleId="14">
    <w:name w:val="font11"/>
    <w:basedOn w:val="8"/>
    <w:qFormat/>
    <w:uiPriority w:val="0"/>
    <w:rPr>
      <w:rFonts w:hint="eastAsia" w:ascii="仿宋_GB2312" w:eastAsia="仿宋_GB2312" w:cs="仿宋_GB2312"/>
      <w:color w:val="000000"/>
      <w:sz w:val="24"/>
      <w:szCs w:val="24"/>
      <w:u w:val="none"/>
    </w:rPr>
  </w:style>
  <w:style w:type="character" w:customStyle="1" w:styleId="15">
    <w:name w:val="font61"/>
    <w:basedOn w:val="8"/>
    <w:qFormat/>
    <w:uiPriority w:val="0"/>
    <w:rPr>
      <w:rFonts w:hint="eastAsia" w:ascii="仿宋_GB2312" w:eastAsia="仿宋_GB2312" w:cs="仿宋_GB2312"/>
      <w:color w:val="000000"/>
      <w:sz w:val="24"/>
      <w:szCs w:val="24"/>
      <w:u w:val="none"/>
    </w:rPr>
  </w:style>
  <w:style w:type="character" w:customStyle="1" w:styleId="16">
    <w:name w:val="font71"/>
    <w:basedOn w:val="8"/>
    <w:qFormat/>
    <w:uiPriority w:val="0"/>
    <w:rPr>
      <w:rFonts w:hint="eastAsia" w:ascii="宋体" w:hAnsi="宋体" w:eastAsia="宋体" w:cs="宋体"/>
      <w:color w:val="FF0000"/>
      <w:sz w:val="20"/>
      <w:szCs w:val="20"/>
      <w:u w:val="none"/>
    </w:rPr>
  </w:style>
</w:styles>
</file>

<file path=word/_rels/document.xml.rels><?xml version="1.0" encoding="UTF-8" standalone="yes"?>
<Relationships xmlns="http://schemas.openxmlformats.org/package/2006/relationships"><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Office_9.1.0.5111_{F1E327BC-269C-435d-A152-05C5408002CA}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2024-03-12T19:08:00Z</dcterms:created>
  <dc:creator>user</dc:creator>
  <cp:lastModifiedBy>Administrator</cp:lastModifiedBy>
  <cp:lastPrinted>2024-03-30T01:59:00Z</cp:lastPrinted>
  <dcterms:modified xsi:type="dcterms:W3CDTF">2024-04-19T02:24:11Z</dcterms:modified>
  <dc:title>附件1-1</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2052-9.1.0.5111</vt:lpwstr>
  </property>
  <property fmtid="{D5CDD505-2E9C-101B-9397-08002B2CF9AE}" pid="3" name="ICV">
    <vt:lpwstr>9CE13E216663428E892821B85B913C99_12</vt:lpwstr>
  </property>
</Properties>
</file>