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44F2" w:rsidRDefault="007D44F2">
      <w:pPr>
        <w:jc w:val="center"/>
        <w:rPr>
          <w:rFonts w:ascii="方正小标宋简体" w:eastAsia="方正小标宋简体" w:hAnsi="方正小标宋简体" w:cs="方正小标宋简体"/>
          <w:sz w:val="52"/>
          <w:szCs w:val="52"/>
        </w:rPr>
      </w:pPr>
    </w:p>
    <w:p w:rsidR="007D44F2" w:rsidRDefault="007D44F2">
      <w:pPr>
        <w:jc w:val="center"/>
        <w:rPr>
          <w:rFonts w:ascii="方正小标宋简体" w:eastAsia="方正小标宋简体" w:hAnsi="方正小标宋简体" w:cs="方正小标宋简体"/>
          <w:sz w:val="52"/>
          <w:szCs w:val="52"/>
        </w:rPr>
      </w:pPr>
    </w:p>
    <w:p w:rsidR="007D44F2" w:rsidRDefault="00574EFC">
      <w:pPr>
        <w:jc w:val="center"/>
        <w:rPr>
          <w:rFonts w:ascii="方正小标宋简体" w:eastAsia="方正小标宋简体" w:hAnsi="方正小标宋简体" w:cs="方正小标宋简体"/>
          <w:sz w:val="52"/>
          <w:szCs w:val="52"/>
        </w:rPr>
      </w:pPr>
      <w:r>
        <w:rPr>
          <w:rFonts w:ascii="方正小标宋简体" w:eastAsia="方正小标宋简体" w:hAnsi="方正小标宋简体" w:cs="方正小标宋简体" w:hint="eastAsia"/>
          <w:sz w:val="52"/>
          <w:szCs w:val="52"/>
        </w:rPr>
        <w:t>通州区</w:t>
      </w:r>
      <w:r w:rsidR="002B3ECC">
        <w:rPr>
          <w:rFonts w:ascii="方正小标宋简体" w:eastAsia="方正小标宋简体" w:hAnsi="方正小标宋简体" w:cs="方正小标宋简体" w:hint="eastAsia"/>
          <w:sz w:val="52"/>
          <w:szCs w:val="52"/>
        </w:rPr>
        <w:t>财政局2022年度部门</w:t>
      </w:r>
    </w:p>
    <w:p w:rsidR="007D44F2" w:rsidRDefault="002B3ECC">
      <w:pPr>
        <w:jc w:val="center"/>
        <w:rPr>
          <w:rFonts w:ascii="方正小标宋简体" w:eastAsia="方正小标宋简体" w:hAnsi="方正小标宋简体" w:cs="方正小标宋简体"/>
          <w:sz w:val="52"/>
          <w:szCs w:val="52"/>
        </w:rPr>
      </w:pPr>
      <w:r>
        <w:rPr>
          <w:rFonts w:ascii="方正小标宋简体" w:eastAsia="方正小标宋简体" w:hAnsi="方正小标宋简体" w:cs="方正小标宋简体" w:hint="eastAsia"/>
          <w:sz w:val="52"/>
          <w:szCs w:val="52"/>
        </w:rPr>
        <w:t>整体绩效评价报告</w:t>
      </w:r>
    </w:p>
    <w:p w:rsidR="007D44F2" w:rsidRDefault="007D44F2">
      <w:pPr>
        <w:jc w:val="center"/>
        <w:rPr>
          <w:rFonts w:ascii="方正小标宋简体" w:eastAsia="方正小标宋简体" w:hAnsi="方正小标宋简体" w:cs="方正小标宋简体"/>
          <w:sz w:val="52"/>
          <w:szCs w:val="52"/>
        </w:rPr>
      </w:pPr>
    </w:p>
    <w:p w:rsidR="007D44F2" w:rsidRDefault="007D44F2">
      <w:pPr>
        <w:jc w:val="center"/>
        <w:rPr>
          <w:rFonts w:ascii="方正小标宋简体" w:eastAsia="方正小标宋简体" w:hAnsi="方正小标宋简体" w:cs="方正小标宋简体"/>
          <w:sz w:val="52"/>
          <w:szCs w:val="52"/>
        </w:rPr>
      </w:pPr>
    </w:p>
    <w:p w:rsidR="007D44F2" w:rsidRDefault="007D44F2">
      <w:pPr>
        <w:jc w:val="center"/>
        <w:rPr>
          <w:rFonts w:ascii="方正小标宋简体" w:eastAsia="方正小标宋简体" w:hAnsi="方正小标宋简体" w:cs="方正小标宋简体"/>
          <w:sz w:val="52"/>
          <w:szCs w:val="52"/>
        </w:rPr>
      </w:pPr>
    </w:p>
    <w:p w:rsidR="007D44F2" w:rsidRDefault="007D44F2">
      <w:pPr>
        <w:jc w:val="center"/>
        <w:rPr>
          <w:rFonts w:ascii="方正小标宋简体" w:eastAsia="方正小标宋简体" w:hAnsi="方正小标宋简体" w:cs="方正小标宋简体"/>
          <w:sz w:val="52"/>
          <w:szCs w:val="52"/>
        </w:rPr>
      </w:pPr>
    </w:p>
    <w:p w:rsidR="007D44F2" w:rsidRDefault="007D44F2">
      <w:pPr>
        <w:jc w:val="center"/>
        <w:rPr>
          <w:rFonts w:ascii="方正小标宋简体" w:eastAsia="方正小标宋简体" w:hAnsi="方正小标宋简体" w:cs="方正小标宋简体"/>
          <w:sz w:val="52"/>
          <w:szCs w:val="52"/>
        </w:rPr>
      </w:pPr>
    </w:p>
    <w:p w:rsidR="007D44F2" w:rsidRDefault="007D44F2">
      <w:pPr>
        <w:jc w:val="center"/>
        <w:rPr>
          <w:rFonts w:ascii="方正小标宋简体" w:eastAsia="方正小标宋简体" w:hAnsi="方正小标宋简体" w:cs="方正小标宋简体"/>
          <w:sz w:val="52"/>
          <w:szCs w:val="52"/>
        </w:rPr>
      </w:pPr>
    </w:p>
    <w:p w:rsidR="007D44F2" w:rsidRDefault="00574EFC">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通州区财政局</w:t>
      </w:r>
    </w:p>
    <w:p w:rsidR="007D44F2" w:rsidRDefault="002B3ECC">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2023年6月</w:t>
      </w:r>
    </w:p>
    <w:p w:rsidR="007D44F2" w:rsidRDefault="007D44F2">
      <w:pPr>
        <w:spacing w:line="560" w:lineRule="exact"/>
        <w:jc w:val="center"/>
        <w:outlineLvl w:val="0"/>
        <w:rPr>
          <w:rFonts w:ascii="方正小标宋简体" w:eastAsia="方正小标宋简体"/>
          <w:sz w:val="36"/>
          <w:szCs w:val="36"/>
        </w:rPr>
      </w:pPr>
    </w:p>
    <w:p w:rsidR="007D44F2" w:rsidRDefault="007D44F2">
      <w:pPr>
        <w:spacing w:line="560" w:lineRule="exact"/>
        <w:jc w:val="center"/>
        <w:outlineLvl w:val="0"/>
        <w:rPr>
          <w:rFonts w:ascii="方正小标宋简体" w:eastAsia="方正小标宋简体"/>
          <w:sz w:val="36"/>
          <w:szCs w:val="36"/>
        </w:rPr>
      </w:pPr>
    </w:p>
    <w:p w:rsidR="007D44F2" w:rsidRDefault="007D44F2">
      <w:pPr>
        <w:spacing w:line="560" w:lineRule="exact"/>
        <w:jc w:val="center"/>
        <w:outlineLvl w:val="0"/>
        <w:rPr>
          <w:rFonts w:ascii="方正小标宋简体" w:eastAsia="方正小标宋简体"/>
          <w:sz w:val="36"/>
          <w:szCs w:val="36"/>
        </w:rPr>
        <w:sectPr w:rsidR="007D44F2">
          <w:footerReference w:type="default" r:id="rId8"/>
          <w:pgSz w:w="11906" w:h="16838"/>
          <w:pgMar w:top="1440" w:right="1800" w:bottom="1440" w:left="1800" w:header="851" w:footer="992" w:gutter="0"/>
          <w:pgNumType w:fmt="numberInDash"/>
          <w:cols w:space="720"/>
          <w:docGrid w:type="lines" w:linePitch="312"/>
        </w:sectPr>
      </w:pPr>
    </w:p>
    <w:p w:rsidR="007D44F2" w:rsidRDefault="00574EFC">
      <w:pPr>
        <w:spacing w:line="560" w:lineRule="exact"/>
        <w:jc w:val="center"/>
        <w:outlineLvl w:val="0"/>
        <w:rPr>
          <w:rFonts w:ascii="方正小标宋简体" w:eastAsia="方正小标宋简体"/>
          <w:sz w:val="36"/>
          <w:szCs w:val="36"/>
        </w:rPr>
      </w:pPr>
      <w:r>
        <w:rPr>
          <w:rFonts w:ascii="方正小标宋简体" w:eastAsia="方正小标宋简体" w:hint="eastAsia"/>
          <w:sz w:val="36"/>
          <w:szCs w:val="36"/>
        </w:rPr>
        <w:lastRenderedPageBreak/>
        <w:t>通州区财政局</w:t>
      </w:r>
      <w:r w:rsidR="002B3ECC">
        <w:rPr>
          <w:rFonts w:ascii="方正小标宋简体" w:eastAsia="方正小标宋简体" w:hint="eastAsia"/>
          <w:sz w:val="36"/>
          <w:szCs w:val="36"/>
        </w:rPr>
        <w:t>部</w:t>
      </w:r>
      <w:proofErr w:type="gramStart"/>
      <w:r w:rsidR="002B3ECC">
        <w:rPr>
          <w:rFonts w:ascii="方正小标宋简体" w:eastAsia="方正小标宋简体" w:hint="eastAsia"/>
          <w:sz w:val="36"/>
          <w:szCs w:val="36"/>
        </w:rPr>
        <w:t>门整体</w:t>
      </w:r>
      <w:proofErr w:type="gramEnd"/>
      <w:r w:rsidR="002B3ECC">
        <w:rPr>
          <w:rFonts w:ascii="方正小标宋简体" w:eastAsia="方正小标宋简体" w:hint="eastAsia"/>
          <w:sz w:val="36"/>
          <w:szCs w:val="36"/>
        </w:rPr>
        <w:t>绩效评价报告</w:t>
      </w:r>
    </w:p>
    <w:p w:rsidR="007D44F2" w:rsidRDefault="007D44F2">
      <w:pPr>
        <w:rPr>
          <w:rFonts w:ascii="仿宋_GB2312"/>
          <w:szCs w:val="30"/>
        </w:rPr>
      </w:pPr>
    </w:p>
    <w:p w:rsidR="007D44F2" w:rsidRDefault="007D44F2">
      <w:pPr>
        <w:jc w:val="center"/>
        <w:rPr>
          <w:rFonts w:ascii="仿宋_GB2312"/>
          <w:szCs w:val="30"/>
        </w:rPr>
      </w:pPr>
    </w:p>
    <w:p w:rsidR="007D44F2" w:rsidRDefault="002B3ECC" w:rsidP="00574EFC">
      <w:pPr>
        <w:spacing w:line="400" w:lineRule="exact"/>
        <w:ind w:firstLineChars="200" w:firstLine="640"/>
        <w:outlineLvl w:val="0"/>
        <w:rPr>
          <w:rFonts w:ascii="黑体" w:eastAsia="黑体" w:hAnsi="黑体" w:cs="宋体"/>
          <w:kern w:val="0"/>
          <w:sz w:val="32"/>
          <w:szCs w:val="32"/>
        </w:rPr>
      </w:pPr>
      <w:r>
        <w:rPr>
          <w:rFonts w:ascii="黑体" w:eastAsia="黑体" w:hAnsi="黑体" w:cs="宋体" w:hint="eastAsia"/>
          <w:kern w:val="0"/>
          <w:sz w:val="32"/>
          <w:szCs w:val="32"/>
        </w:rPr>
        <w:t>一、部门概况</w:t>
      </w:r>
    </w:p>
    <w:p w:rsidR="007D44F2" w:rsidRDefault="002B3ECC" w:rsidP="00574EFC">
      <w:pPr>
        <w:spacing w:line="500" w:lineRule="exact"/>
        <w:ind w:firstLineChars="200" w:firstLine="640"/>
        <w:rPr>
          <w:rFonts w:ascii="楷体_GB2312" w:eastAsia="楷体_GB2312"/>
          <w:sz w:val="32"/>
          <w:szCs w:val="32"/>
        </w:rPr>
      </w:pPr>
      <w:r>
        <w:rPr>
          <w:rFonts w:ascii="楷体_GB2312" w:eastAsia="楷体_GB2312" w:hint="eastAsia"/>
          <w:sz w:val="32"/>
          <w:szCs w:val="32"/>
        </w:rPr>
        <w:t>（一）机构设置及职责工作任务情况</w:t>
      </w:r>
    </w:p>
    <w:p w:rsidR="007D44F2" w:rsidRDefault="002B3ECC" w:rsidP="00574EFC">
      <w:pPr>
        <w:spacing w:line="500" w:lineRule="exact"/>
        <w:ind w:firstLineChars="200" w:firstLine="640"/>
        <w:outlineLvl w:val="1"/>
        <w:rPr>
          <w:rFonts w:ascii="仿宋_GB2312" w:eastAsia="仿宋_GB2312" w:hAnsi="仿宋_GB2312" w:cs="仿宋_GB2312"/>
          <w:sz w:val="32"/>
          <w:szCs w:val="22"/>
        </w:rPr>
      </w:pPr>
      <w:r>
        <w:rPr>
          <w:rFonts w:ascii="仿宋_GB2312" w:eastAsia="仿宋_GB2312" w:hAnsi="仿宋_GB2312" w:cs="仿宋_GB2312" w:hint="eastAsia"/>
          <w:sz w:val="32"/>
          <w:szCs w:val="22"/>
        </w:rPr>
        <w:t>1.部门机构设置</w:t>
      </w:r>
    </w:p>
    <w:p w:rsidR="007D44F2" w:rsidRDefault="00574EFC" w:rsidP="00574EFC">
      <w:pPr>
        <w:spacing w:line="500" w:lineRule="exact"/>
        <w:ind w:firstLineChars="200" w:firstLine="640"/>
        <w:rPr>
          <w:rFonts w:ascii="仿宋_GB2312" w:eastAsia="仿宋_GB2312" w:hAnsi="仿宋"/>
          <w:sz w:val="32"/>
          <w:szCs w:val="32"/>
        </w:rPr>
      </w:pPr>
      <w:r w:rsidRPr="00574EFC">
        <w:rPr>
          <w:rFonts w:ascii="仿宋_GB2312" w:eastAsia="仿宋_GB2312" w:hAnsi="仿宋" w:hint="eastAsia"/>
          <w:sz w:val="32"/>
          <w:szCs w:val="32"/>
        </w:rPr>
        <w:t>根据《北京市通州区人民政府办公室关于印发北京市通州区财政局主要职责内设机构和人员编制规定的通知》（通政发[2009]053号）设立，共包含行政单位1个,设有15个职能科室,分别是:办公室、人事教育科、预算科、国库科、</w:t>
      </w:r>
      <w:proofErr w:type="gramStart"/>
      <w:r w:rsidRPr="00574EFC">
        <w:rPr>
          <w:rFonts w:ascii="仿宋_GB2312" w:eastAsia="仿宋_GB2312" w:hAnsi="仿宋" w:hint="eastAsia"/>
          <w:sz w:val="32"/>
          <w:szCs w:val="32"/>
        </w:rPr>
        <w:t>行政政法</w:t>
      </w:r>
      <w:proofErr w:type="gramEnd"/>
      <w:r w:rsidRPr="00574EFC">
        <w:rPr>
          <w:rFonts w:ascii="仿宋_GB2312" w:eastAsia="仿宋_GB2312" w:hAnsi="仿宋" w:hint="eastAsia"/>
          <w:sz w:val="32"/>
          <w:szCs w:val="32"/>
        </w:rPr>
        <w:t>科、经济建设科、农业科、教科文科、社会保障科、企业科、会计科、政府采购管理科、法制监督科、绩效评价科、政府债务管理科；事业单位9个，其中：</w:t>
      </w:r>
      <w:proofErr w:type="gramStart"/>
      <w:r w:rsidRPr="00574EFC">
        <w:rPr>
          <w:rFonts w:ascii="仿宋_GB2312" w:eastAsia="仿宋_GB2312" w:hAnsi="仿宋" w:hint="eastAsia"/>
          <w:sz w:val="32"/>
          <w:szCs w:val="32"/>
        </w:rPr>
        <w:t>参公事业单位</w:t>
      </w:r>
      <w:proofErr w:type="gramEnd"/>
      <w:r w:rsidRPr="00574EFC">
        <w:rPr>
          <w:rFonts w:ascii="仿宋_GB2312" w:eastAsia="仿宋_GB2312" w:hAnsi="仿宋" w:hint="eastAsia"/>
          <w:sz w:val="32"/>
          <w:szCs w:val="32"/>
        </w:rPr>
        <w:t>4个：预算编审中心、国库支付中心、财政监督检查所、绩效考评中心，纳入规范事业单位5个：财政金融与建设发展中心、财源建设中心、财政投资评审中心、行政事业资产事务中心、财政综合事务中心。</w:t>
      </w:r>
      <w:r w:rsidRPr="00574EFC">
        <w:rPr>
          <w:rFonts w:ascii="仿宋_GB2312" w:eastAsia="仿宋_GB2312" w:hAnsi="仿宋"/>
          <w:sz w:val="32"/>
          <w:szCs w:val="32"/>
        </w:rPr>
        <w:t>下属2个预算单位，即</w:t>
      </w:r>
      <w:r w:rsidRPr="00574EFC">
        <w:rPr>
          <w:rFonts w:ascii="仿宋_GB2312" w:eastAsia="仿宋_GB2312" w:hAnsi="仿宋" w:hint="eastAsia"/>
          <w:sz w:val="32"/>
          <w:szCs w:val="32"/>
        </w:rPr>
        <w:t>通州区</w:t>
      </w:r>
      <w:r w:rsidRPr="00574EFC">
        <w:rPr>
          <w:rFonts w:ascii="仿宋_GB2312" w:eastAsia="仿宋_GB2312" w:hAnsi="仿宋"/>
          <w:sz w:val="32"/>
          <w:szCs w:val="32"/>
        </w:rPr>
        <w:t>财政局本级行政、</w:t>
      </w:r>
      <w:r w:rsidRPr="00574EFC">
        <w:rPr>
          <w:rFonts w:ascii="仿宋_GB2312" w:eastAsia="仿宋_GB2312" w:hAnsi="仿宋" w:hint="eastAsia"/>
          <w:sz w:val="32"/>
          <w:szCs w:val="32"/>
        </w:rPr>
        <w:t>通州区</w:t>
      </w:r>
      <w:r w:rsidRPr="00574EFC">
        <w:rPr>
          <w:rFonts w:ascii="仿宋_GB2312" w:eastAsia="仿宋_GB2312" w:hAnsi="仿宋"/>
          <w:sz w:val="32"/>
          <w:szCs w:val="32"/>
        </w:rPr>
        <w:t>财政局本级事业。</w:t>
      </w:r>
    </w:p>
    <w:p w:rsidR="007D44F2" w:rsidRDefault="002B3ECC" w:rsidP="00574EFC">
      <w:pPr>
        <w:spacing w:line="500" w:lineRule="exact"/>
        <w:ind w:firstLineChars="200" w:firstLine="640"/>
        <w:rPr>
          <w:rFonts w:ascii="仿宋_GB2312" w:eastAsia="仿宋_GB2312" w:hAnsi="仿宋"/>
          <w:sz w:val="32"/>
          <w:szCs w:val="32"/>
        </w:rPr>
      </w:pPr>
      <w:r>
        <w:rPr>
          <w:rFonts w:ascii="仿宋_GB2312" w:eastAsia="仿宋_GB2312" w:hAnsi="仿宋" w:hint="eastAsia"/>
          <w:sz w:val="32"/>
          <w:szCs w:val="32"/>
        </w:rPr>
        <w:t>2.</w:t>
      </w:r>
      <w:r>
        <w:rPr>
          <w:rFonts w:ascii="仿宋_GB2312" w:eastAsia="仿宋_GB2312" w:hAnsi="仿宋"/>
          <w:sz w:val="32"/>
          <w:szCs w:val="32"/>
        </w:rPr>
        <w:t>职责</w:t>
      </w:r>
      <w:r>
        <w:rPr>
          <w:rFonts w:ascii="仿宋_GB2312" w:eastAsia="仿宋_GB2312" w:hAnsi="仿宋" w:hint="eastAsia"/>
          <w:sz w:val="32"/>
          <w:szCs w:val="32"/>
        </w:rPr>
        <w:t>工作任务情况</w:t>
      </w:r>
    </w:p>
    <w:p w:rsidR="00574EFC" w:rsidRPr="00574EFC" w:rsidRDefault="00574EFC" w:rsidP="00574EFC">
      <w:pPr>
        <w:spacing w:line="500" w:lineRule="exact"/>
        <w:ind w:firstLineChars="200" w:firstLine="640"/>
        <w:rPr>
          <w:rFonts w:ascii="仿宋_GB2312" w:eastAsia="仿宋_GB2312" w:hAnsi="仿宋"/>
          <w:sz w:val="32"/>
          <w:szCs w:val="32"/>
        </w:rPr>
      </w:pPr>
      <w:r w:rsidRPr="00574EFC">
        <w:rPr>
          <w:rFonts w:ascii="仿宋_GB2312" w:eastAsia="仿宋_GB2312" w:hAnsi="仿宋" w:hint="eastAsia"/>
          <w:sz w:val="32"/>
          <w:szCs w:val="32"/>
        </w:rPr>
        <w:t>1.贯彻落实国家和本市关于财政、财务、会计管理方面的法律、法规、规章和政策；编制并组织实施本区中长期财政计划；参与拟订本区重大经济决策和措施、办法，研究提出运用财税政策对经济运行实施调控和综合平衡本区财力的建议；执行市与区县、国家与企业的分配政策；拟订完善鼓励公益事业发展的财税相关措施、办法。</w:t>
      </w:r>
    </w:p>
    <w:p w:rsidR="00574EFC" w:rsidRPr="00574EFC" w:rsidRDefault="00574EFC" w:rsidP="00574EFC">
      <w:pPr>
        <w:spacing w:line="500" w:lineRule="exact"/>
        <w:ind w:firstLineChars="200" w:firstLine="640"/>
        <w:rPr>
          <w:rFonts w:ascii="仿宋_GB2312" w:eastAsia="仿宋_GB2312" w:hAnsi="仿宋"/>
          <w:sz w:val="32"/>
          <w:szCs w:val="32"/>
        </w:rPr>
      </w:pPr>
      <w:r w:rsidRPr="00574EFC">
        <w:rPr>
          <w:rFonts w:ascii="仿宋_GB2312" w:eastAsia="仿宋_GB2312" w:hAnsi="仿宋" w:hint="eastAsia"/>
          <w:sz w:val="32"/>
          <w:szCs w:val="32"/>
        </w:rPr>
        <w:t>2.承担本区各项财政收支管理的责任，编制年度预决算草案并组织执行；受区政府委托，向区人民代表大会报告预算及其执</w:t>
      </w:r>
      <w:r w:rsidRPr="00574EFC">
        <w:rPr>
          <w:rFonts w:ascii="仿宋_GB2312" w:eastAsia="仿宋_GB2312" w:hAnsi="仿宋" w:hint="eastAsia"/>
          <w:sz w:val="32"/>
          <w:szCs w:val="32"/>
        </w:rPr>
        <w:lastRenderedPageBreak/>
        <w:t>行情况，向区人大常委会报告决算；组织制定行政机关、事业单位经费开支标准、定额；负责审批部门和单位的年度预决算，完善转移支付制度；研究拟订区与乡镇财政管理体制。</w:t>
      </w:r>
    </w:p>
    <w:p w:rsidR="00574EFC" w:rsidRPr="00574EFC" w:rsidRDefault="00574EFC" w:rsidP="00574EFC">
      <w:pPr>
        <w:spacing w:line="500" w:lineRule="exact"/>
        <w:ind w:firstLineChars="200" w:firstLine="640"/>
        <w:rPr>
          <w:rFonts w:ascii="仿宋_GB2312" w:eastAsia="仿宋_GB2312" w:hAnsi="仿宋"/>
          <w:sz w:val="32"/>
          <w:szCs w:val="32"/>
        </w:rPr>
      </w:pPr>
      <w:r w:rsidRPr="00574EFC">
        <w:rPr>
          <w:rFonts w:ascii="仿宋_GB2312" w:eastAsia="仿宋_GB2312" w:hAnsi="仿宋" w:hint="eastAsia"/>
          <w:sz w:val="32"/>
          <w:szCs w:val="32"/>
        </w:rPr>
        <w:t>3.负责本区政府非税收入管理；负责政府性基金管理，按规定管理行政事业性收费；管理财政票据；负责彩票资金管理和彩票市场监管的有关工作。</w:t>
      </w:r>
    </w:p>
    <w:p w:rsidR="00574EFC" w:rsidRPr="00574EFC" w:rsidRDefault="00574EFC" w:rsidP="00574EFC">
      <w:pPr>
        <w:spacing w:line="500" w:lineRule="exact"/>
        <w:ind w:firstLineChars="200" w:firstLine="640"/>
        <w:rPr>
          <w:rFonts w:ascii="仿宋_GB2312" w:eastAsia="仿宋_GB2312" w:hAnsi="仿宋"/>
          <w:sz w:val="32"/>
          <w:szCs w:val="32"/>
        </w:rPr>
      </w:pPr>
      <w:r w:rsidRPr="00574EFC">
        <w:rPr>
          <w:rFonts w:ascii="仿宋_GB2312" w:eastAsia="仿宋_GB2312" w:hAnsi="仿宋" w:hint="eastAsia"/>
          <w:sz w:val="32"/>
          <w:szCs w:val="32"/>
        </w:rPr>
        <w:t>4.组织制定本区国库管理制度、国库集中收付制度，指导和监督本区国库业务，负责本区国库现金、各项财政收入、预算外资金和财政专户管理的有关工作。</w:t>
      </w:r>
    </w:p>
    <w:p w:rsidR="00574EFC" w:rsidRPr="00574EFC" w:rsidRDefault="00574EFC" w:rsidP="00574EFC">
      <w:pPr>
        <w:spacing w:line="500" w:lineRule="exact"/>
        <w:ind w:firstLineChars="200" w:firstLine="640"/>
        <w:rPr>
          <w:rFonts w:ascii="仿宋_GB2312" w:eastAsia="仿宋_GB2312" w:hAnsi="仿宋"/>
          <w:sz w:val="32"/>
          <w:szCs w:val="32"/>
        </w:rPr>
      </w:pPr>
      <w:r w:rsidRPr="00574EFC">
        <w:rPr>
          <w:rFonts w:ascii="仿宋_GB2312" w:eastAsia="仿宋_GB2312" w:hAnsi="仿宋" w:hint="eastAsia"/>
          <w:sz w:val="32"/>
          <w:szCs w:val="32"/>
        </w:rPr>
        <w:t>5.拟订本区政府采购的有关规定并进行监督管理；负责本区党政机关、财政拨款事业单位汽车定编工作。</w:t>
      </w:r>
    </w:p>
    <w:p w:rsidR="00574EFC" w:rsidRPr="00574EFC" w:rsidRDefault="00574EFC" w:rsidP="00574EFC">
      <w:pPr>
        <w:spacing w:line="500" w:lineRule="exact"/>
        <w:ind w:firstLineChars="200" w:firstLine="640"/>
        <w:rPr>
          <w:rFonts w:ascii="仿宋_GB2312" w:eastAsia="仿宋_GB2312" w:hAnsi="仿宋"/>
          <w:sz w:val="32"/>
          <w:szCs w:val="32"/>
        </w:rPr>
      </w:pPr>
      <w:r w:rsidRPr="00574EFC">
        <w:rPr>
          <w:rFonts w:ascii="仿宋_GB2312" w:eastAsia="仿宋_GB2312" w:hAnsi="仿宋" w:hint="eastAsia"/>
          <w:sz w:val="32"/>
          <w:szCs w:val="32"/>
        </w:rPr>
        <w:t>6.负责承办和监督本区财政的经济发展支出、政府性投资项目的财政拨款，参与拟订建设投资的有关制度、办法，负责落实基本建设财务管理制度；负责有关政策性补贴和专项储备资金财政管理工作；负责农业综合开发管理工作；承担财政投资评审管理工作。</w:t>
      </w:r>
    </w:p>
    <w:p w:rsidR="00574EFC" w:rsidRPr="00574EFC" w:rsidRDefault="00574EFC" w:rsidP="00574EFC">
      <w:pPr>
        <w:spacing w:line="500" w:lineRule="exact"/>
        <w:ind w:firstLineChars="200" w:firstLine="640"/>
        <w:rPr>
          <w:rFonts w:ascii="仿宋_GB2312" w:eastAsia="仿宋_GB2312" w:hAnsi="仿宋"/>
          <w:sz w:val="32"/>
          <w:szCs w:val="32"/>
        </w:rPr>
      </w:pPr>
      <w:r w:rsidRPr="00574EFC">
        <w:rPr>
          <w:rFonts w:ascii="仿宋_GB2312" w:eastAsia="仿宋_GB2312" w:hAnsi="仿宋" w:hint="eastAsia"/>
          <w:sz w:val="32"/>
          <w:szCs w:val="32"/>
        </w:rPr>
        <w:t>7.会同有关部门管理本区财政社会保障和就业及医疗卫生支出，贯彻执行社会保障资金的财务管理制度，编制本区社会保障预决算草案，组织实施对社会保障资金使用的财政监督。</w:t>
      </w:r>
    </w:p>
    <w:p w:rsidR="00574EFC" w:rsidRPr="00574EFC" w:rsidRDefault="00574EFC" w:rsidP="00574EFC">
      <w:pPr>
        <w:spacing w:line="500" w:lineRule="exact"/>
        <w:ind w:firstLineChars="200" w:firstLine="640"/>
        <w:rPr>
          <w:rFonts w:ascii="仿宋_GB2312" w:eastAsia="仿宋_GB2312" w:hAnsi="仿宋"/>
          <w:sz w:val="32"/>
          <w:szCs w:val="32"/>
        </w:rPr>
      </w:pPr>
      <w:r w:rsidRPr="00574EFC">
        <w:rPr>
          <w:rFonts w:ascii="仿宋_GB2312" w:eastAsia="仿宋_GB2312" w:hAnsi="仿宋" w:hint="eastAsia"/>
          <w:sz w:val="32"/>
          <w:szCs w:val="32"/>
        </w:rPr>
        <w:t>8.负责管理本区的会计工作，监督和规范会计行为，执行国家统一的会计制度。</w:t>
      </w:r>
    </w:p>
    <w:p w:rsidR="00574EFC" w:rsidRPr="00574EFC" w:rsidRDefault="00574EFC" w:rsidP="00574EFC">
      <w:pPr>
        <w:spacing w:line="500" w:lineRule="exact"/>
        <w:ind w:firstLineChars="200" w:firstLine="640"/>
        <w:rPr>
          <w:rFonts w:ascii="仿宋_GB2312" w:eastAsia="仿宋_GB2312" w:hAnsi="仿宋"/>
          <w:sz w:val="32"/>
          <w:szCs w:val="32"/>
        </w:rPr>
      </w:pPr>
      <w:r w:rsidRPr="00574EFC">
        <w:rPr>
          <w:rFonts w:ascii="仿宋_GB2312" w:eastAsia="仿宋_GB2312" w:hAnsi="仿宋" w:hint="eastAsia"/>
          <w:sz w:val="32"/>
          <w:szCs w:val="32"/>
        </w:rPr>
        <w:t>9.负责制定本区行政事业单位国有资产管理制度和办法，按照规定管理本区行政事业单位国有资产，制定全区统一的开支标准和支出管理办法。</w:t>
      </w:r>
    </w:p>
    <w:p w:rsidR="00574EFC" w:rsidRPr="00574EFC" w:rsidRDefault="00574EFC" w:rsidP="00574EFC">
      <w:pPr>
        <w:spacing w:line="500" w:lineRule="exact"/>
        <w:ind w:firstLineChars="200" w:firstLine="640"/>
        <w:rPr>
          <w:rFonts w:ascii="仿宋_GB2312" w:eastAsia="仿宋_GB2312" w:hAnsi="仿宋"/>
          <w:sz w:val="32"/>
          <w:szCs w:val="32"/>
        </w:rPr>
      </w:pPr>
      <w:r w:rsidRPr="00574EFC">
        <w:rPr>
          <w:rFonts w:ascii="仿宋_GB2312" w:eastAsia="仿宋_GB2312" w:hAnsi="仿宋" w:hint="eastAsia"/>
          <w:sz w:val="32"/>
          <w:szCs w:val="32"/>
        </w:rPr>
        <w:t>10.依法负责本区国有资本经营预算相关工作，收取区本级企业国有资本收益，组织实施企业财务制度，参与拟订企业国有</w:t>
      </w:r>
      <w:r w:rsidRPr="00574EFC">
        <w:rPr>
          <w:rFonts w:ascii="仿宋_GB2312" w:eastAsia="仿宋_GB2312" w:hAnsi="仿宋" w:hint="eastAsia"/>
          <w:sz w:val="32"/>
          <w:szCs w:val="32"/>
        </w:rPr>
        <w:lastRenderedPageBreak/>
        <w:t>资产管理相关制度，负责资产评估的有关管理工作。</w:t>
      </w:r>
    </w:p>
    <w:p w:rsidR="00574EFC" w:rsidRPr="00574EFC" w:rsidRDefault="00574EFC" w:rsidP="00574EFC">
      <w:pPr>
        <w:spacing w:line="500" w:lineRule="exact"/>
        <w:ind w:firstLineChars="200" w:firstLine="640"/>
        <w:rPr>
          <w:rFonts w:ascii="仿宋_GB2312" w:eastAsia="仿宋_GB2312" w:hAnsi="仿宋"/>
          <w:sz w:val="32"/>
          <w:szCs w:val="32"/>
        </w:rPr>
      </w:pPr>
      <w:r w:rsidRPr="00574EFC">
        <w:rPr>
          <w:rFonts w:ascii="仿宋_GB2312" w:eastAsia="仿宋_GB2312" w:hAnsi="仿宋" w:hint="eastAsia"/>
          <w:sz w:val="32"/>
          <w:szCs w:val="32"/>
        </w:rPr>
        <w:t>11.研究建立本区财政支出绩效评价制度和评价体系；监督检查财税法律、法规政策的执行情况；反映财政收支管理中的重大问题；研究提出加强财政管理的政策性建议。</w:t>
      </w:r>
    </w:p>
    <w:p w:rsidR="00574EFC" w:rsidRPr="00574EFC" w:rsidRDefault="00574EFC" w:rsidP="00574EFC">
      <w:pPr>
        <w:spacing w:line="500" w:lineRule="exact"/>
        <w:ind w:firstLineChars="200" w:firstLine="640"/>
        <w:rPr>
          <w:rFonts w:ascii="仿宋_GB2312" w:eastAsia="仿宋_GB2312" w:hAnsi="仿宋"/>
          <w:sz w:val="32"/>
          <w:szCs w:val="32"/>
        </w:rPr>
      </w:pPr>
      <w:r w:rsidRPr="00574EFC">
        <w:rPr>
          <w:rFonts w:ascii="仿宋_GB2312" w:eastAsia="仿宋_GB2312" w:hAnsi="仿宋" w:hint="eastAsia"/>
          <w:sz w:val="32"/>
          <w:szCs w:val="32"/>
        </w:rPr>
        <w:t>12.负责管理外国政府和国际金融组织对本区的贷款业务；贯彻执行政府国内债务管理的制度和政策；参与制定政府性债务管理办法；参与拟定政府防范债务风险的措施。</w:t>
      </w:r>
    </w:p>
    <w:p w:rsidR="00574EFC" w:rsidRPr="00574EFC" w:rsidRDefault="00574EFC" w:rsidP="00574EFC">
      <w:pPr>
        <w:spacing w:line="500" w:lineRule="exact"/>
        <w:ind w:firstLineChars="223" w:firstLine="714"/>
        <w:rPr>
          <w:rFonts w:ascii="仿宋_GB2312" w:eastAsia="仿宋_GB2312" w:hAnsi="仿宋"/>
          <w:sz w:val="32"/>
          <w:szCs w:val="32"/>
        </w:rPr>
      </w:pPr>
      <w:r w:rsidRPr="00574EFC">
        <w:rPr>
          <w:rFonts w:ascii="仿宋_GB2312" w:eastAsia="仿宋_GB2312" w:hAnsi="仿宋" w:hint="eastAsia"/>
          <w:sz w:val="32"/>
          <w:szCs w:val="32"/>
        </w:rPr>
        <w:t>13.承办区政府交办的其他事项。</w:t>
      </w:r>
    </w:p>
    <w:p w:rsidR="007D44F2" w:rsidRPr="00574EFC" w:rsidRDefault="007D44F2" w:rsidP="00574EFC">
      <w:pPr>
        <w:spacing w:line="500" w:lineRule="exact"/>
        <w:ind w:firstLineChars="200" w:firstLine="640"/>
        <w:rPr>
          <w:rFonts w:ascii="仿宋_GB2312" w:eastAsia="仿宋_GB2312" w:hAnsi="仿宋"/>
          <w:sz w:val="32"/>
          <w:szCs w:val="32"/>
        </w:rPr>
      </w:pPr>
    </w:p>
    <w:p w:rsidR="007D44F2" w:rsidRDefault="002B3ECC" w:rsidP="00574EFC">
      <w:pPr>
        <w:spacing w:line="500" w:lineRule="exact"/>
        <w:ind w:firstLineChars="200" w:firstLine="640"/>
        <w:rPr>
          <w:rFonts w:ascii="楷体_GB2312" w:eastAsia="楷体_GB2312"/>
          <w:sz w:val="32"/>
          <w:szCs w:val="32"/>
        </w:rPr>
      </w:pPr>
      <w:r>
        <w:rPr>
          <w:rFonts w:ascii="楷体_GB2312" w:eastAsia="楷体_GB2312" w:hint="eastAsia"/>
          <w:sz w:val="32"/>
          <w:szCs w:val="32"/>
        </w:rPr>
        <w:t>（二）部门整体绩效目标设立情况</w:t>
      </w:r>
    </w:p>
    <w:p w:rsidR="007D44F2" w:rsidRDefault="00574EFC" w:rsidP="00574EFC">
      <w:pPr>
        <w:spacing w:line="500" w:lineRule="exact"/>
        <w:ind w:firstLineChars="200" w:firstLine="640"/>
        <w:rPr>
          <w:rFonts w:ascii="仿宋_GB2312" w:eastAsia="仿宋_GB2312" w:hAnsi="仿宋"/>
          <w:sz w:val="32"/>
          <w:szCs w:val="32"/>
        </w:rPr>
      </w:pPr>
      <w:r w:rsidRPr="00574EFC">
        <w:rPr>
          <w:rFonts w:ascii="仿宋_GB2312" w:eastAsia="仿宋_GB2312" w:hAnsi="仿宋" w:hint="eastAsia"/>
          <w:sz w:val="32"/>
          <w:szCs w:val="32"/>
        </w:rPr>
        <w:t>根据《北京市通州区人民政府办公室关于印发北京市通州区财政局主要职责内设机构和人员编制规定的通知》（通政发[2009]053号）</w:t>
      </w:r>
      <w:r w:rsidR="002B3ECC">
        <w:rPr>
          <w:rFonts w:ascii="仿宋_GB2312" w:eastAsia="仿宋_GB2312" w:hAnsi="仿宋" w:hint="eastAsia"/>
          <w:sz w:val="32"/>
          <w:szCs w:val="32"/>
        </w:rPr>
        <w:t>确定的机构设置及主要职责，结合局内中长期规划、年度工作计划、政策要求以及年度主要工作任务设立，反映</w:t>
      </w:r>
      <w:r>
        <w:rPr>
          <w:rFonts w:ascii="仿宋_GB2312" w:eastAsia="仿宋_GB2312" w:hAnsi="仿宋" w:hint="eastAsia"/>
          <w:sz w:val="32"/>
          <w:szCs w:val="32"/>
        </w:rPr>
        <w:t>区</w:t>
      </w:r>
      <w:r w:rsidR="002B3ECC">
        <w:rPr>
          <w:rFonts w:ascii="仿宋_GB2312" w:eastAsia="仿宋_GB2312" w:hAnsi="仿宋" w:hint="eastAsia"/>
          <w:sz w:val="32"/>
          <w:szCs w:val="32"/>
        </w:rPr>
        <w:t>财政局使用部门预算资金在年度履职中预期达到的总体产出和效果。</w:t>
      </w:r>
    </w:p>
    <w:p w:rsidR="007D44F2" w:rsidRDefault="002B3ECC" w:rsidP="00574EFC">
      <w:pPr>
        <w:spacing w:line="500" w:lineRule="exact"/>
        <w:ind w:firstLineChars="200" w:firstLine="640"/>
      </w:pPr>
      <w:r>
        <w:rPr>
          <w:rFonts w:ascii="仿宋_GB2312" w:eastAsia="仿宋_GB2312" w:hAnsi="仿宋" w:hint="eastAsia"/>
          <w:sz w:val="32"/>
          <w:szCs w:val="32"/>
        </w:rPr>
        <w:t>目标设立从财政收入、财政支出、预算管理、绩效管理、依法理财等五个方面出发，聚力增效落实积极财政政策，加强财政资源统筹和调控引导，加大优化支出结构力度，强化预算约束和绩效管理，有效防范财政运行风险，更好发挥财政在全</w:t>
      </w:r>
      <w:r w:rsidR="00574EFC">
        <w:rPr>
          <w:rFonts w:ascii="仿宋_GB2312" w:eastAsia="仿宋_GB2312" w:hAnsi="仿宋" w:hint="eastAsia"/>
          <w:sz w:val="32"/>
          <w:szCs w:val="32"/>
        </w:rPr>
        <w:t>区</w:t>
      </w:r>
      <w:r>
        <w:rPr>
          <w:rFonts w:ascii="仿宋_GB2312" w:eastAsia="仿宋_GB2312" w:hAnsi="仿宋" w:hint="eastAsia"/>
          <w:sz w:val="32"/>
          <w:szCs w:val="32"/>
        </w:rPr>
        <w:t>治理中的基础和重要支柱作用。</w:t>
      </w:r>
    </w:p>
    <w:p w:rsidR="007D44F2" w:rsidRDefault="002B3ECC" w:rsidP="00574EFC">
      <w:pPr>
        <w:spacing w:line="500" w:lineRule="exact"/>
        <w:ind w:firstLineChars="200" w:firstLine="640"/>
        <w:outlineLvl w:val="0"/>
        <w:rPr>
          <w:rFonts w:ascii="黑体" w:eastAsia="黑体" w:hAnsi="黑体" w:cs="宋体"/>
          <w:kern w:val="0"/>
          <w:sz w:val="32"/>
          <w:szCs w:val="32"/>
        </w:rPr>
      </w:pPr>
      <w:r>
        <w:rPr>
          <w:rFonts w:ascii="黑体" w:eastAsia="黑体" w:hAnsi="黑体" w:cs="宋体" w:hint="eastAsia"/>
          <w:kern w:val="0"/>
          <w:sz w:val="32"/>
          <w:szCs w:val="32"/>
        </w:rPr>
        <w:t>二</w:t>
      </w:r>
      <w:r>
        <w:rPr>
          <w:rFonts w:ascii="黑体" w:eastAsia="黑体" w:hAnsi="黑体" w:cs="宋体"/>
          <w:kern w:val="0"/>
          <w:sz w:val="32"/>
          <w:szCs w:val="32"/>
        </w:rPr>
        <w:t>、</w:t>
      </w:r>
      <w:r>
        <w:rPr>
          <w:rFonts w:ascii="黑体" w:eastAsia="黑体" w:hAnsi="黑体" w:cs="宋体" w:hint="eastAsia"/>
          <w:kern w:val="0"/>
          <w:sz w:val="32"/>
          <w:szCs w:val="32"/>
        </w:rPr>
        <w:t>当年</w:t>
      </w:r>
      <w:r>
        <w:rPr>
          <w:rFonts w:ascii="黑体" w:eastAsia="黑体" w:hAnsi="黑体" w:cs="宋体"/>
          <w:kern w:val="0"/>
          <w:sz w:val="32"/>
          <w:szCs w:val="32"/>
        </w:rPr>
        <w:t>预算执行情况</w:t>
      </w:r>
    </w:p>
    <w:p w:rsidR="007D44F2" w:rsidRDefault="002B3ECC" w:rsidP="00574EFC">
      <w:pPr>
        <w:spacing w:line="5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2022年</w:t>
      </w:r>
      <w:r>
        <w:rPr>
          <w:rFonts w:ascii="仿宋_GB2312" w:eastAsia="仿宋_GB2312" w:hAnsi="宋体" w:cs="宋体"/>
          <w:kern w:val="0"/>
          <w:sz w:val="32"/>
          <w:szCs w:val="32"/>
        </w:rPr>
        <w:t>全年</w:t>
      </w:r>
      <w:r>
        <w:rPr>
          <w:rFonts w:ascii="仿宋_GB2312" w:eastAsia="仿宋_GB2312" w:hAnsi="宋体" w:cs="宋体" w:hint="eastAsia"/>
          <w:kern w:val="0"/>
          <w:sz w:val="32"/>
          <w:szCs w:val="32"/>
        </w:rPr>
        <w:t>预算数为</w:t>
      </w:r>
      <w:r w:rsidR="00574EFC">
        <w:rPr>
          <w:rFonts w:ascii="仿宋_GB2312" w:eastAsia="仿宋_GB2312" w:hAnsi="宋体" w:cs="宋体" w:hint="eastAsia"/>
          <w:kern w:val="0"/>
          <w:sz w:val="32"/>
          <w:szCs w:val="32"/>
        </w:rPr>
        <w:t>10163.85</w:t>
      </w:r>
      <w:r>
        <w:rPr>
          <w:rFonts w:ascii="仿宋_GB2312" w:eastAsia="仿宋_GB2312" w:hAnsi="宋体" w:cs="宋体" w:hint="eastAsia"/>
          <w:kern w:val="0"/>
          <w:sz w:val="32"/>
          <w:szCs w:val="32"/>
        </w:rPr>
        <w:t>万元</w:t>
      </w:r>
      <w:r>
        <w:rPr>
          <w:rFonts w:ascii="仿宋_GB2312" w:eastAsia="仿宋_GB2312" w:hAnsi="宋体" w:cs="宋体"/>
          <w:kern w:val="0"/>
          <w:sz w:val="32"/>
          <w:szCs w:val="32"/>
        </w:rPr>
        <w:t>，</w:t>
      </w:r>
      <w:r>
        <w:rPr>
          <w:rFonts w:ascii="仿宋_GB2312" w:eastAsia="仿宋_GB2312" w:hAnsi="宋体" w:cs="宋体" w:hint="eastAsia"/>
          <w:kern w:val="0"/>
          <w:sz w:val="32"/>
          <w:szCs w:val="32"/>
        </w:rPr>
        <w:t>其中</w:t>
      </w:r>
      <w:r>
        <w:rPr>
          <w:rFonts w:ascii="仿宋_GB2312" w:eastAsia="仿宋_GB2312" w:hAnsi="宋体" w:cs="宋体"/>
          <w:kern w:val="0"/>
          <w:sz w:val="32"/>
          <w:szCs w:val="32"/>
        </w:rPr>
        <w:t>，基本</w:t>
      </w:r>
      <w:r>
        <w:rPr>
          <w:rFonts w:ascii="仿宋_GB2312" w:eastAsia="仿宋_GB2312" w:hAnsi="宋体" w:cs="宋体" w:hint="eastAsia"/>
          <w:kern w:val="0"/>
          <w:sz w:val="32"/>
          <w:szCs w:val="32"/>
        </w:rPr>
        <w:t>支出</w:t>
      </w:r>
      <w:r>
        <w:rPr>
          <w:rFonts w:ascii="仿宋_GB2312" w:eastAsia="仿宋_GB2312" w:hAnsi="宋体" w:cs="宋体"/>
          <w:kern w:val="0"/>
          <w:sz w:val="32"/>
          <w:szCs w:val="32"/>
        </w:rPr>
        <w:t>预算数</w:t>
      </w:r>
      <w:r>
        <w:rPr>
          <w:rFonts w:ascii="仿宋_GB2312" w:eastAsia="仿宋_GB2312" w:hAnsi="宋体" w:cs="宋体" w:hint="eastAsia"/>
          <w:kern w:val="0"/>
          <w:sz w:val="32"/>
          <w:szCs w:val="32"/>
        </w:rPr>
        <w:t>为</w:t>
      </w:r>
      <w:r w:rsidR="00574EFC">
        <w:rPr>
          <w:rFonts w:ascii="仿宋_GB2312" w:eastAsia="仿宋_GB2312" w:hAnsi="宋体" w:cs="宋体" w:hint="eastAsia"/>
          <w:kern w:val="0"/>
          <w:sz w:val="32"/>
          <w:szCs w:val="32"/>
        </w:rPr>
        <w:t>5796.80</w:t>
      </w:r>
      <w:r>
        <w:rPr>
          <w:rFonts w:ascii="仿宋_GB2312" w:eastAsia="仿宋_GB2312" w:hAnsi="宋体" w:cs="宋体"/>
          <w:kern w:val="0"/>
          <w:sz w:val="32"/>
          <w:szCs w:val="32"/>
        </w:rPr>
        <w:t>万元，</w:t>
      </w:r>
      <w:r>
        <w:rPr>
          <w:rFonts w:ascii="仿宋_GB2312" w:eastAsia="仿宋_GB2312" w:hAnsi="宋体" w:cs="宋体" w:hint="eastAsia"/>
          <w:kern w:val="0"/>
          <w:sz w:val="32"/>
          <w:szCs w:val="32"/>
        </w:rPr>
        <w:t>项目支出预算数</w:t>
      </w:r>
      <w:r w:rsidR="00574EFC">
        <w:rPr>
          <w:rFonts w:ascii="仿宋_GB2312" w:eastAsia="仿宋_GB2312" w:hAnsi="宋体" w:cs="宋体" w:hint="eastAsia"/>
          <w:kern w:val="0"/>
          <w:sz w:val="32"/>
          <w:szCs w:val="32"/>
        </w:rPr>
        <w:t>4367.05</w:t>
      </w:r>
      <w:r>
        <w:rPr>
          <w:rFonts w:ascii="仿宋_GB2312" w:eastAsia="仿宋_GB2312" w:hAnsi="宋体" w:cs="宋体"/>
          <w:kern w:val="0"/>
          <w:sz w:val="32"/>
          <w:szCs w:val="32"/>
        </w:rPr>
        <w:t>万元</w:t>
      </w:r>
      <w:r>
        <w:rPr>
          <w:rFonts w:ascii="仿宋_GB2312" w:eastAsia="仿宋_GB2312" w:hAnsi="宋体" w:cs="宋体" w:hint="eastAsia"/>
          <w:kern w:val="0"/>
          <w:sz w:val="32"/>
          <w:szCs w:val="32"/>
        </w:rPr>
        <w:t>。</w:t>
      </w:r>
      <w:r>
        <w:rPr>
          <w:rFonts w:ascii="仿宋_GB2312" w:eastAsia="仿宋_GB2312" w:hAnsi="宋体" w:cs="宋体"/>
          <w:kern w:val="0"/>
          <w:sz w:val="32"/>
          <w:szCs w:val="32"/>
        </w:rPr>
        <w:t>资金总体</w:t>
      </w:r>
      <w:r>
        <w:rPr>
          <w:rFonts w:ascii="仿宋_GB2312" w:eastAsia="仿宋_GB2312" w:hAnsi="宋体" w:cs="宋体" w:hint="eastAsia"/>
          <w:kern w:val="0"/>
          <w:sz w:val="32"/>
          <w:szCs w:val="32"/>
        </w:rPr>
        <w:t>支出</w:t>
      </w:r>
      <w:r w:rsidR="00574EFC" w:rsidRPr="00574EFC">
        <w:rPr>
          <w:rFonts w:ascii="仿宋_GB2312" w:eastAsia="仿宋_GB2312" w:hAnsi="宋体" w:cs="宋体"/>
          <w:kern w:val="0"/>
          <w:sz w:val="32"/>
          <w:szCs w:val="32"/>
        </w:rPr>
        <w:t>11654</w:t>
      </w:r>
      <w:r w:rsidR="00574EFC">
        <w:rPr>
          <w:rFonts w:ascii="仿宋_GB2312" w:eastAsia="仿宋_GB2312" w:hAnsi="宋体" w:cs="宋体" w:hint="eastAsia"/>
          <w:kern w:val="0"/>
          <w:sz w:val="32"/>
          <w:szCs w:val="32"/>
        </w:rPr>
        <w:t>.</w:t>
      </w:r>
      <w:r w:rsidR="00574EFC" w:rsidRPr="00574EFC">
        <w:rPr>
          <w:rFonts w:ascii="仿宋_GB2312" w:eastAsia="仿宋_GB2312" w:hAnsi="宋体" w:cs="宋体"/>
          <w:kern w:val="0"/>
          <w:sz w:val="32"/>
          <w:szCs w:val="32"/>
        </w:rPr>
        <w:t>27</w:t>
      </w:r>
      <w:r>
        <w:rPr>
          <w:rFonts w:ascii="仿宋_GB2312" w:eastAsia="仿宋_GB2312" w:hAnsi="宋体" w:cs="宋体"/>
          <w:kern w:val="0"/>
          <w:sz w:val="32"/>
          <w:szCs w:val="32"/>
        </w:rPr>
        <w:t>万元，其中，基本支出</w:t>
      </w:r>
      <w:r w:rsidR="00574EFC">
        <w:rPr>
          <w:rFonts w:ascii="仿宋_GB2312" w:eastAsia="仿宋_GB2312" w:hAnsi="宋体" w:cs="宋体" w:hint="eastAsia"/>
          <w:kern w:val="0"/>
          <w:sz w:val="32"/>
          <w:szCs w:val="32"/>
        </w:rPr>
        <w:t>7679.42</w:t>
      </w:r>
      <w:r>
        <w:rPr>
          <w:rFonts w:ascii="仿宋_GB2312" w:eastAsia="仿宋_GB2312" w:hAnsi="宋体" w:cs="宋体"/>
          <w:kern w:val="0"/>
          <w:sz w:val="32"/>
          <w:szCs w:val="32"/>
        </w:rPr>
        <w:t>万元，项目</w:t>
      </w:r>
      <w:r>
        <w:rPr>
          <w:rFonts w:ascii="仿宋_GB2312" w:eastAsia="仿宋_GB2312" w:hAnsi="宋体" w:cs="宋体" w:hint="eastAsia"/>
          <w:kern w:val="0"/>
          <w:sz w:val="32"/>
          <w:szCs w:val="32"/>
        </w:rPr>
        <w:t>支出</w:t>
      </w:r>
      <w:r w:rsidR="00574EFC">
        <w:rPr>
          <w:rFonts w:ascii="仿宋_GB2312" w:eastAsia="仿宋_GB2312" w:hAnsi="宋体" w:cs="宋体" w:hint="eastAsia"/>
          <w:kern w:val="0"/>
          <w:sz w:val="32"/>
          <w:szCs w:val="32"/>
        </w:rPr>
        <w:t>3974.85</w:t>
      </w:r>
      <w:r>
        <w:rPr>
          <w:rFonts w:ascii="仿宋_GB2312" w:eastAsia="仿宋_GB2312" w:hAnsi="宋体" w:cs="宋体"/>
          <w:kern w:val="0"/>
          <w:sz w:val="32"/>
          <w:szCs w:val="32"/>
        </w:rPr>
        <w:t>万元。</w:t>
      </w:r>
      <w:r>
        <w:rPr>
          <w:rFonts w:ascii="仿宋_GB2312" w:eastAsia="仿宋_GB2312" w:hAnsi="宋体" w:cs="宋体" w:hint="eastAsia"/>
          <w:kern w:val="0"/>
          <w:sz w:val="32"/>
          <w:szCs w:val="32"/>
        </w:rPr>
        <w:t>预算</w:t>
      </w:r>
      <w:r>
        <w:rPr>
          <w:rFonts w:ascii="仿宋_GB2312" w:eastAsia="仿宋_GB2312" w:hAnsi="宋体" w:cs="宋体"/>
          <w:kern w:val="0"/>
          <w:sz w:val="32"/>
          <w:szCs w:val="32"/>
        </w:rPr>
        <w:t>执行率为</w:t>
      </w:r>
      <w:r w:rsidR="00574EFC">
        <w:rPr>
          <w:rFonts w:ascii="仿宋_GB2312" w:eastAsia="仿宋_GB2312" w:hAnsi="宋体" w:cs="宋体" w:hint="eastAsia"/>
          <w:kern w:val="0"/>
          <w:sz w:val="32"/>
          <w:szCs w:val="32"/>
          <w:lang w:val="en"/>
        </w:rPr>
        <w:t>114.66</w:t>
      </w:r>
      <w:r>
        <w:rPr>
          <w:rFonts w:ascii="仿宋_GB2312" w:eastAsia="仿宋_GB2312" w:hAnsi="宋体" w:cs="宋体" w:hint="eastAsia"/>
          <w:kern w:val="0"/>
          <w:sz w:val="32"/>
          <w:szCs w:val="32"/>
        </w:rPr>
        <w:t>%。</w:t>
      </w:r>
    </w:p>
    <w:p w:rsidR="007D44F2" w:rsidRDefault="002B3ECC" w:rsidP="00574EFC">
      <w:pPr>
        <w:spacing w:line="500" w:lineRule="exact"/>
        <w:ind w:firstLineChars="200" w:firstLine="640"/>
        <w:outlineLvl w:val="0"/>
        <w:rPr>
          <w:rFonts w:ascii="黑体" w:eastAsia="黑体" w:hAnsi="黑体" w:cs="宋体"/>
          <w:kern w:val="0"/>
          <w:sz w:val="32"/>
          <w:szCs w:val="32"/>
        </w:rPr>
      </w:pPr>
      <w:r>
        <w:rPr>
          <w:rFonts w:ascii="黑体" w:eastAsia="黑体" w:hAnsi="黑体" w:cs="宋体" w:hint="eastAsia"/>
          <w:kern w:val="0"/>
          <w:sz w:val="32"/>
          <w:szCs w:val="32"/>
        </w:rPr>
        <w:lastRenderedPageBreak/>
        <w:t>三</w:t>
      </w:r>
      <w:r>
        <w:rPr>
          <w:rFonts w:ascii="黑体" w:eastAsia="黑体" w:hAnsi="黑体" w:cs="宋体"/>
          <w:kern w:val="0"/>
          <w:sz w:val="32"/>
          <w:szCs w:val="32"/>
        </w:rPr>
        <w:t>、整体绩效目标实现情况</w:t>
      </w:r>
    </w:p>
    <w:p w:rsidR="007D44F2" w:rsidRDefault="002B3ECC" w:rsidP="00574EFC">
      <w:pPr>
        <w:spacing w:line="500" w:lineRule="exact"/>
        <w:ind w:firstLineChars="200" w:firstLine="640"/>
        <w:outlineLvl w:val="1"/>
        <w:rPr>
          <w:rFonts w:ascii="楷体_GB2312" w:eastAsia="楷体_GB2312"/>
          <w:sz w:val="32"/>
          <w:szCs w:val="32"/>
        </w:rPr>
      </w:pPr>
      <w:r>
        <w:rPr>
          <w:rFonts w:ascii="楷体_GB2312" w:eastAsia="楷体_GB2312" w:hint="eastAsia"/>
          <w:sz w:val="32"/>
          <w:szCs w:val="32"/>
        </w:rPr>
        <w:t>（一）产出完成情况分析</w:t>
      </w:r>
    </w:p>
    <w:p w:rsidR="007D44F2" w:rsidRDefault="00574EFC" w:rsidP="00574EFC">
      <w:pPr>
        <w:spacing w:line="5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2022</w:t>
      </w:r>
      <w:r w:rsidR="002B3ECC">
        <w:rPr>
          <w:rFonts w:ascii="仿宋_GB2312" w:eastAsia="仿宋_GB2312" w:hAnsi="宋体" w:cs="宋体" w:hint="eastAsia"/>
          <w:kern w:val="0"/>
          <w:sz w:val="32"/>
          <w:szCs w:val="32"/>
        </w:rPr>
        <w:t>年，</w:t>
      </w:r>
      <w:r>
        <w:rPr>
          <w:rFonts w:ascii="仿宋_GB2312" w:eastAsia="仿宋_GB2312" w:hAnsi="仿宋" w:hint="eastAsia"/>
          <w:sz w:val="32"/>
          <w:szCs w:val="32"/>
        </w:rPr>
        <w:t>区</w:t>
      </w:r>
      <w:r w:rsidR="002B3ECC">
        <w:rPr>
          <w:rFonts w:ascii="仿宋_GB2312" w:eastAsia="仿宋_GB2312" w:hAnsi="仿宋" w:hint="eastAsia"/>
          <w:sz w:val="32"/>
          <w:szCs w:val="32"/>
        </w:rPr>
        <w:t>财政局</w:t>
      </w:r>
      <w:r w:rsidR="002B3ECC">
        <w:rPr>
          <w:rFonts w:ascii="仿宋_GB2312" w:eastAsia="仿宋_GB2312" w:hAnsi="宋体" w:cs="宋体" w:hint="eastAsia"/>
          <w:kern w:val="0"/>
          <w:sz w:val="32"/>
          <w:szCs w:val="32"/>
        </w:rPr>
        <w:t>围绕财政收入、财政支出、预算管理、绩效管理、</w:t>
      </w:r>
      <w:r>
        <w:rPr>
          <w:rFonts w:ascii="仿宋_GB2312" w:eastAsia="仿宋_GB2312" w:hAnsi="宋体" w:cs="宋体" w:hint="eastAsia"/>
          <w:kern w:val="0"/>
          <w:sz w:val="32"/>
          <w:szCs w:val="32"/>
        </w:rPr>
        <w:t>财政运行安全</w:t>
      </w:r>
      <w:r w:rsidR="002B3ECC">
        <w:rPr>
          <w:rFonts w:ascii="仿宋_GB2312" w:eastAsia="仿宋_GB2312" w:hAnsi="宋体" w:cs="宋体" w:hint="eastAsia"/>
          <w:kern w:val="0"/>
          <w:sz w:val="32"/>
          <w:szCs w:val="32"/>
        </w:rPr>
        <w:t>等五个方面开展工作，截至2022年底，各项指标均按年初设置指标值完成。</w:t>
      </w:r>
    </w:p>
    <w:p w:rsidR="007D44F2" w:rsidRDefault="002B3ECC" w:rsidP="00574EFC">
      <w:pPr>
        <w:spacing w:line="500" w:lineRule="exact"/>
        <w:ind w:firstLineChars="200" w:firstLine="643"/>
        <w:rPr>
          <w:rFonts w:ascii="仿宋_GB2312" w:eastAsia="仿宋_GB2312" w:hAnsi="宋体" w:cs="宋体"/>
          <w:kern w:val="0"/>
          <w:sz w:val="32"/>
          <w:szCs w:val="32"/>
        </w:rPr>
      </w:pPr>
      <w:r>
        <w:rPr>
          <w:rFonts w:ascii="仿宋_GB2312" w:eastAsia="仿宋_GB2312" w:hAnsi="宋体" w:cs="宋体" w:hint="eastAsia"/>
          <w:b/>
          <w:bCs/>
          <w:kern w:val="0"/>
          <w:sz w:val="32"/>
          <w:szCs w:val="32"/>
        </w:rPr>
        <w:t>财政收入方面。</w:t>
      </w:r>
      <w:r w:rsidR="00574EFC" w:rsidRPr="00574EFC">
        <w:rPr>
          <w:rFonts w:eastAsia="仿宋_GB2312" w:hint="eastAsia"/>
          <w:bCs/>
          <w:sz w:val="32"/>
          <w:szCs w:val="22"/>
        </w:rPr>
        <w:t>2022</w:t>
      </w:r>
      <w:r w:rsidR="00574EFC">
        <w:rPr>
          <w:rFonts w:eastAsia="仿宋_GB2312" w:hint="eastAsia"/>
          <w:bCs/>
          <w:sz w:val="32"/>
          <w:szCs w:val="22"/>
        </w:rPr>
        <w:t>年，区级一般公共预算收入完成</w:t>
      </w:r>
      <w:r w:rsidR="00574EFC">
        <w:rPr>
          <w:rFonts w:eastAsia="仿宋_GB2312" w:hint="eastAsia"/>
          <w:bCs/>
          <w:sz w:val="32"/>
          <w:szCs w:val="22"/>
        </w:rPr>
        <w:t xml:space="preserve"> 89.39</w:t>
      </w:r>
      <w:r w:rsidR="00574EFC">
        <w:rPr>
          <w:rFonts w:eastAsia="仿宋_GB2312" w:hint="eastAsia"/>
          <w:bCs/>
          <w:sz w:val="32"/>
          <w:szCs w:val="22"/>
        </w:rPr>
        <w:t>亿元，扣除留抵退税因素增长</w:t>
      </w:r>
      <w:r w:rsidR="00574EFC">
        <w:rPr>
          <w:rFonts w:eastAsia="仿宋_GB2312" w:hint="eastAsia"/>
          <w:bCs/>
          <w:sz w:val="32"/>
          <w:szCs w:val="22"/>
        </w:rPr>
        <w:t xml:space="preserve"> 0.3%</w:t>
      </w:r>
      <w:r w:rsidR="00574EFC">
        <w:rPr>
          <w:rFonts w:eastAsia="仿宋_GB2312" w:hint="eastAsia"/>
          <w:bCs/>
          <w:sz w:val="32"/>
          <w:szCs w:val="22"/>
        </w:rPr>
        <w:t>（按自然口径计算下降</w:t>
      </w:r>
      <w:r w:rsidR="00574EFC">
        <w:rPr>
          <w:rFonts w:eastAsia="仿宋_GB2312" w:hint="eastAsia"/>
          <w:bCs/>
          <w:sz w:val="32"/>
          <w:szCs w:val="22"/>
        </w:rPr>
        <w:t xml:space="preserve"> 3.3%</w:t>
      </w:r>
      <w:r w:rsidR="00574EFC">
        <w:rPr>
          <w:rFonts w:eastAsia="仿宋_GB2312" w:hint="eastAsia"/>
          <w:bCs/>
          <w:sz w:val="32"/>
          <w:szCs w:val="22"/>
        </w:rPr>
        <w:t>）；区级一般公共预算支出</w:t>
      </w:r>
      <w:r w:rsidR="00574EFC">
        <w:rPr>
          <w:rFonts w:eastAsia="仿宋_GB2312" w:hint="eastAsia"/>
          <w:bCs/>
          <w:sz w:val="32"/>
          <w:szCs w:val="22"/>
        </w:rPr>
        <w:t>306.25</w:t>
      </w:r>
      <w:r w:rsidR="00574EFC">
        <w:rPr>
          <w:rFonts w:eastAsia="仿宋_GB2312" w:hint="eastAsia"/>
          <w:bCs/>
          <w:sz w:val="32"/>
          <w:szCs w:val="22"/>
        </w:rPr>
        <w:t>亿元。</w:t>
      </w:r>
    </w:p>
    <w:p w:rsidR="007D44F2" w:rsidRDefault="002B3ECC" w:rsidP="00574EFC">
      <w:pPr>
        <w:spacing w:line="500" w:lineRule="exact"/>
        <w:ind w:firstLineChars="200" w:firstLine="643"/>
        <w:rPr>
          <w:rFonts w:ascii="仿宋_GB2312" w:eastAsia="仿宋_GB2312" w:hAnsi="宋体" w:cs="宋体"/>
          <w:kern w:val="0"/>
          <w:sz w:val="32"/>
          <w:szCs w:val="32"/>
        </w:rPr>
      </w:pPr>
      <w:r>
        <w:rPr>
          <w:rFonts w:ascii="仿宋_GB2312" w:eastAsia="仿宋_GB2312" w:hAnsi="宋体" w:cs="宋体" w:hint="eastAsia"/>
          <w:b/>
          <w:bCs/>
          <w:kern w:val="0"/>
          <w:sz w:val="32"/>
          <w:szCs w:val="32"/>
        </w:rPr>
        <w:t>财政支出方面。</w:t>
      </w:r>
      <w:r w:rsidR="00574EFC">
        <w:rPr>
          <w:rFonts w:eastAsia="仿宋_GB2312" w:hint="eastAsia"/>
          <w:bCs/>
          <w:sz w:val="32"/>
          <w:szCs w:val="22"/>
        </w:rPr>
        <w:t>制定施行加快支出进度提高财政资金使用效益“十条措施”，着力强化直达资金项目管理，区级一般公共预算支出效益提升、直达资金支出进度达</w:t>
      </w:r>
      <w:r w:rsidR="00574EFC">
        <w:rPr>
          <w:rFonts w:eastAsia="仿宋_GB2312" w:hint="eastAsia"/>
          <w:bCs/>
          <w:sz w:val="32"/>
          <w:szCs w:val="22"/>
        </w:rPr>
        <w:t>99.9%</w:t>
      </w:r>
      <w:r w:rsidR="00574EFC">
        <w:rPr>
          <w:rFonts w:eastAsia="仿宋_GB2312" w:hint="eastAsia"/>
          <w:bCs/>
          <w:sz w:val="32"/>
          <w:szCs w:val="22"/>
        </w:rPr>
        <w:t>。继续落实积极的财政政策，落实“三保”支出，聚焦助企</w:t>
      </w:r>
      <w:proofErr w:type="gramStart"/>
      <w:r w:rsidR="00574EFC">
        <w:rPr>
          <w:rFonts w:eastAsia="仿宋_GB2312" w:hint="eastAsia"/>
          <w:bCs/>
          <w:sz w:val="32"/>
          <w:szCs w:val="22"/>
        </w:rPr>
        <w:t>纾</w:t>
      </w:r>
      <w:proofErr w:type="gramEnd"/>
      <w:r w:rsidR="00574EFC">
        <w:rPr>
          <w:rFonts w:eastAsia="仿宋_GB2312" w:hint="eastAsia"/>
          <w:bCs/>
          <w:sz w:val="32"/>
          <w:szCs w:val="22"/>
        </w:rPr>
        <w:t>困，加大疫情防控投入，社会保障和就业、卫生健康、农林水等重点领域支出保障有力。</w:t>
      </w:r>
    </w:p>
    <w:p w:rsidR="007D44F2" w:rsidRDefault="002B3ECC" w:rsidP="00574EFC">
      <w:pPr>
        <w:spacing w:line="500" w:lineRule="exact"/>
        <w:ind w:firstLineChars="200" w:firstLine="643"/>
        <w:rPr>
          <w:rFonts w:ascii="仿宋_GB2312" w:eastAsia="仿宋_GB2312" w:hAnsi="宋体" w:cs="宋体"/>
          <w:kern w:val="0"/>
          <w:sz w:val="32"/>
          <w:szCs w:val="32"/>
        </w:rPr>
      </w:pPr>
      <w:r>
        <w:rPr>
          <w:rFonts w:ascii="仿宋_GB2312" w:eastAsia="仿宋_GB2312" w:hAnsi="宋体" w:cs="宋体" w:hint="eastAsia"/>
          <w:b/>
          <w:bCs/>
          <w:kern w:val="0"/>
          <w:sz w:val="32"/>
          <w:szCs w:val="32"/>
        </w:rPr>
        <w:t>预算管理</w:t>
      </w:r>
      <w:r w:rsidR="00574EFC">
        <w:rPr>
          <w:rFonts w:ascii="仿宋_GB2312" w:eastAsia="仿宋_GB2312" w:hAnsi="宋体" w:cs="宋体" w:hint="eastAsia"/>
          <w:b/>
          <w:bCs/>
          <w:kern w:val="0"/>
          <w:sz w:val="32"/>
          <w:szCs w:val="32"/>
        </w:rPr>
        <w:t>和绩效管理</w:t>
      </w:r>
      <w:r>
        <w:rPr>
          <w:rFonts w:ascii="仿宋_GB2312" w:eastAsia="仿宋_GB2312" w:hAnsi="宋体" w:cs="宋体" w:hint="eastAsia"/>
          <w:b/>
          <w:bCs/>
          <w:kern w:val="0"/>
          <w:sz w:val="32"/>
          <w:szCs w:val="32"/>
        </w:rPr>
        <w:t>方面。</w:t>
      </w:r>
      <w:r w:rsidR="00574EFC">
        <w:rPr>
          <w:rFonts w:eastAsia="仿宋_GB2312" w:hint="eastAsia"/>
          <w:bCs/>
          <w:sz w:val="32"/>
          <w:szCs w:val="22"/>
        </w:rPr>
        <w:t>继续实施《全成本预算绩效管理三年行动计划》，在梨园、西集</w:t>
      </w:r>
      <w:r w:rsidR="00574EFC">
        <w:rPr>
          <w:rFonts w:eastAsia="仿宋_GB2312" w:hint="eastAsia"/>
          <w:bCs/>
          <w:sz w:val="32"/>
          <w:szCs w:val="22"/>
        </w:rPr>
        <w:t>2</w:t>
      </w:r>
      <w:r w:rsidR="00574EFC">
        <w:rPr>
          <w:rFonts w:eastAsia="仿宋_GB2312" w:hint="eastAsia"/>
          <w:bCs/>
          <w:sz w:val="32"/>
          <w:szCs w:val="22"/>
        </w:rPr>
        <w:t>个镇开展全面预算绩效管理试点，在</w:t>
      </w:r>
      <w:r w:rsidR="00574EFC">
        <w:rPr>
          <w:rFonts w:eastAsia="仿宋_GB2312" w:hint="eastAsia"/>
          <w:bCs/>
          <w:sz w:val="32"/>
          <w:szCs w:val="22"/>
        </w:rPr>
        <w:t>22</w:t>
      </w:r>
      <w:r w:rsidR="00574EFC">
        <w:rPr>
          <w:rFonts w:eastAsia="仿宋_GB2312" w:hint="eastAsia"/>
          <w:bCs/>
          <w:sz w:val="32"/>
          <w:szCs w:val="22"/>
        </w:rPr>
        <w:t>个街乡镇各选取</w:t>
      </w:r>
      <w:r w:rsidR="00574EFC">
        <w:rPr>
          <w:rFonts w:eastAsia="仿宋_GB2312" w:hint="eastAsia"/>
          <w:bCs/>
          <w:sz w:val="32"/>
          <w:szCs w:val="22"/>
        </w:rPr>
        <w:t>1</w:t>
      </w:r>
      <w:r w:rsidR="00574EFC">
        <w:rPr>
          <w:rFonts w:eastAsia="仿宋_GB2312" w:hint="eastAsia"/>
          <w:bCs/>
          <w:sz w:val="32"/>
          <w:szCs w:val="22"/>
        </w:rPr>
        <w:t>个项目进行成本绩效分析，探索“先管后评”与“以评促管”相结合绩效评价新模式，打通了预算绩效管理“最后一公里”。</w:t>
      </w:r>
    </w:p>
    <w:p w:rsidR="007D44F2" w:rsidRDefault="00574EFC" w:rsidP="00574EFC">
      <w:pPr>
        <w:spacing w:line="500" w:lineRule="exact"/>
        <w:ind w:firstLineChars="200" w:firstLine="643"/>
        <w:rPr>
          <w:rFonts w:ascii="仿宋_GB2312" w:eastAsia="仿宋_GB2312" w:hAnsi="宋体" w:cs="宋体"/>
          <w:kern w:val="0"/>
          <w:sz w:val="32"/>
          <w:szCs w:val="32"/>
        </w:rPr>
      </w:pPr>
      <w:r w:rsidRPr="00574EFC">
        <w:rPr>
          <w:rFonts w:ascii="仿宋_GB2312" w:eastAsia="仿宋_GB2312" w:hAnsi="宋体" w:cs="宋体" w:hint="eastAsia"/>
          <w:b/>
          <w:bCs/>
          <w:kern w:val="0"/>
          <w:sz w:val="32"/>
          <w:szCs w:val="32"/>
        </w:rPr>
        <w:t>财政运行安全</w:t>
      </w:r>
      <w:r w:rsidR="002B3ECC">
        <w:rPr>
          <w:rFonts w:ascii="仿宋_GB2312" w:eastAsia="仿宋_GB2312" w:hAnsi="宋体" w:cs="宋体" w:hint="eastAsia"/>
          <w:b/>
          <w:bCs/>
          <w:kern w:val="0"/>
          <w:sz w:val="32"/>
          <w:szCs w:val="32"/>
        </w:rPr>
        <w:t>方面。</w:t>
      </w:r>
      <w:r>
        <w:rPr>
          <w:rFonts w:eastAsia="仿宋_GB2312" w:hint="eastAsia"/>
          <w:bCs/>
          <w:sz w:val="32"/>
          <w:szCs w:val="22"/>
        </w:rPr>
        <w:t>区与街乡镇财政管理体制改革施行平稳顺利，率先实行的“保基本、保事权、促均衡、促发展”激励约束模式和结构性转移支付方式成效初显，充分激发了街乡镇加强财源建设、发展经济的积极性。在</w:t>
      </w:r>
      <w:r>
        <w:rPr>
          <w:rFonts w:eastAsia="仿宋_GB2312" w:hint="eastAsia"/>
          <w:bCs/>
          <w:sz w:val="32"/>
          <w:szCs w:val="22"/>
        </w:rPr>
        <w:t>10</w:t>
      </w:r>
      <w:r>
        <w:rPr>
          <w:rFonts w:eastAsia="仿宋_GB2312" w:hint="eastAsia"/>
          <w:bCs/>
          <w:sz w:val="32"/>
          <w:szCs w:val="22"/>
        </w:rPr>
        <w:t>家单位试点“业财一体化”内控管理系统建设，解决了部门单位合同管理不到位、经济活动行为不规范等问题，提高</w:t>
      </w:r>
      <w:proofErr w:type="gramStart"/>
      <w:r>
        <w:rPr>
          <w:rFonts w:eastAsia="仿宋_GB2312" w:hint="eastAsia"/>
          <w:bCs/>
          <w:sz w:val="32"/>
          <w:szCs w:val="22"/>
        </w:rPr>
        <w:t>了业财效能</w:t>
      </w:r>
      <w:proofErr w:type="gramEnd"/>
      <w:r>
        <w:rPr>
          <w:rFonts w:eastAsia="仿宋_GB2312" w:hint="eastAsia"/>
          <w:bCs/>
          <w:sz w:val="32"/>
          <w:szCs w:val="22"/>
        </w:rPr>
        <w:t>。</w:t>
      </w:r>
      <w:r w:rsidR="002B3ECC">
        <w:rPr>
          <w:rFonts w:ascii="仿宋_GB2312" w:eastAsia="仿宋_GB2312" w:hAnsi="宋体" w:cs="宋体" w:hint="eastAsia"/>
          <w:kern w:val="0"/>
          <w:sz w:val="32"/>
          <w:szCs w:val="32"/>
        </w:rPr>
        <w:t xml:space="preserve">                               </w:t>
      </w:r>
    </w:p>
    <w:p w:rsidR="007D44F2" w:rsidRDefault="002B3ECC" w:rsidP="00574EFC">
      <w:pPr>
        <w:spacing w:line="500" w:lineRule="exact"/>
        <w:ind w:firstLineChars="200" w:firstLine="640"/>
        <w:outlineLvl w:val="1"/>
        <w:rPr>
          <w:rFonts w:ascii="楷体_GB2312" w:eastAsia="楷体_GB2312"/>
          <w:sz w:val="32"/>
          <w:szCs w:val="32"/>
        </w:rPr>
      </w:pPr>
      <w:r>
        <w:rPr>
          <w:rFonts w:ascii="楷体_GB2312" w:eastAsia="楷体_GB2312" w:hint="eastAsia"/>
          <w:sz w:val="32"/>
          <w:szCs w:val="32"/>
        </w:rPr>
        <w:t>（二）效果</w:t>
      </w:r>
      <w:r>
        <w:rPr>
          <w:rFonts w:ascii="楷体_GB2312" w:eastAsia="楷体_GB2312"/>
          <w:sz w:val="32"/>
          <w:szCs w:val="32"/>
        </w:rPr>
        <w:t>实现情况分析</w:t>
      </w:r>
    </w:p>
    <w:p w:rsidR="007D44F2" w:rsidRDefault="00574EFC" w:rsidP="00574EFC">
      <w:pPr>
        <w:spacing w:line="500" w:lineRule="exact"/>
        <w:ind w:firstLineChars="200" w:firstLine="640"/>
        <w:rPr>
          <w:rFonts w:ascii="仿宋_GB2312" w:eastAsia="仿宋_GB2312" w:hAnsi="宋体" w:cs="宋体"/>
          <w:kern w:val="0"/>
          <w:sz w:val="32"/>
          <w:szCs w:val="32"/>
        </w:rPr>
      </w:pPr>
      <w:r>
        <w:rPr>
          <w:rFonts w:ascii="仿宋_GB2312" w:eastAsia="仿宋_GB2312" w:hAnsi="仿宋" w:hint="eastAsia"/>
          <w:sz w:val="32"/>
          <w:szCs w:val="32"/>
        </w:rPr>
        <w:lastRenderedPageBreak/>
        <w:t>区</w:t>
      </w:r>
      <w:r w:rsidR="002B3ECC">
        <w:rPr>
          <w:rFonts w:ascii="仿宋_GB2312" w:eastAsia="仿宋_GB2312" w:hAnsi="仿宋" w:hint="eastAsia"/>
          <w:sz w:val="32"/>
          <w:szCs w:val="32"/>
        </w:rPr>
        <w:t>财政局</w:t>
      </w:r>
      <w:r w:rsidR="002B3ECC">
        <w:rPr>
          <w:rFonts w:ascii="仿宋_GB2312" w:eastAsia="仿宋_GB2312" w:hAnsi="宋体" w:cs="宋体" w:hint="eastAsia"/>
          <w:kern w:val="0"/>
          <w:sz w:val="32"/>
          <w:szCs w:val="32"/>
        </w:rPr>
        <w:t>2022年部门整体支出坚持稳中求进总基调，积极财政政策加力提效促经济稳增长，实现了财政平稳运行和可持续发展；统筹优化财政支出结构，做好民生经费保障，完善了大事要事综合保障机制；坚持艰苦奋斗勤俭干事业，持续推进降本增效，强化了节约型效益型导向的财政支出管理；坚持将守住底线红线作为重要责任，持续加强政府债务管理，积极防范化解财政风险。</w:t>
      </w:r>
    </w:p>
    <w:p w:rsidR="007D44F2" w:rsidRDefault="002B3ECC" w:rsidP="00574EFC">
      <w:pPr>
        <w:spacing w:line="500" w:lineRule="exact"/>
        <w:ind w:firstLineChars="200" w:firstLine="640"/>
        <w:outlineLvl w:val="0"/>
        <w:rPr>
          <w:rFonts w:ascii="黑体" w:eastAsia="黑体" w:hAnsi="黑体" w:cs="宋体"/>
          <w:kern w:val="0"/>
          <w:sz w:val="32"/>
          <w:szCs w:val="32"/>
        </w:rPr>
      </w:pPr>
      <w:r>
        <w:rPr>
          <w:rFonts w:ascii="黑体" w:eastAsia="黑体" w:hAnsi="黑体" w:cs="宋体" w:hint="eastAsia"/>
          <w:kern w:val="0"/>
          <w:sz w:val="32"/>
          <w:szCs w:val="32"/>
        </w:rPr>
        <w:t>四</w:t>
      </w:r>
      <w:r>
        <w:rPr>
          <w:rFonts w:ascii="黑体" w:eastAsia="黑体" w:hAnsi="黑体" w:cs="宋体"/>
          <w:kern w:val="0"/>
          <w:sz w:val="32"/>
          <w:szCs w:val="32"/>
        </w:rPr>
        <w:t>、预算管理</w:t>
      </w:r>
      <w:r>
        <w:rPr>
          <w:rFonts w:ascii="黑体" w:eastAsia="黑体" w:hAnsi="黑体" w:cs="宋体" w:hint="eastAsia"/>
          <w:kern w:val="0"/>
          <w:sz w:val="32"/>
          <w:szCs w:val="32"/>
        </w:rPr>
        <w:t>情况分</w:t>
      </w:r>
      <w:r>
        <w:rPr>
          <w:rFonts w:ascii="黑体" w:eastAsia="黑体" w:hAnsi="黑体" w:cs="宋体"/>
          <w:kern w:val="0"/>
          <w:sz w:val="32"/>
          <w:szCs w:val="32"/>
        </w:rPr>
        <w:t>析</w:t>
      </w:r>
    </w:p>
    <w:p w:rsidR="007D44F2" w:rsidRDefault="002B3ECC" w:rsidP="00574EFC">
      <w:pPr>
        <w:spacing w:line="500" w:lineRule="exact"/>
        <w:ind w:firstLineChars="200" w:firstLine="640"/>
        <w:outlineLvl w:val="1"/>
        <w:rPr>
          <w:rFonts w:ascii="楷体_GB2312" w:eastAsia="楷体_GB2312"/>
          <w:sz w:val="32"/>
          <w:szCs w:val="32"/>
        </w:rPr>
      </w:pPr>
      <w:r>
        <w:rPr>
          <w:rFonts w:ascii="楷体_GB2312" w:eastAsia="楷体_GB2312" w:hint="eastAsia"/>
          <w:sz w:val="32"/>
          <w:szCs w:val="32"/>
        </w:rPr>
        <w:t>（一）财务管理</w:t>
      </w:r>
    </w:p>
    <w:p w:rsidR="007D44F2" w:rsidRDefault="002B3ECC" w:rsidP="00574EFC">
      <w:pPr>
        <w:spacing w:line="5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1.财务</w:t>
      </w:r>
      <w:r>
        <w:rPr>
          <w:rFonts w:ascii="仿宋_GB2312" w:eastAsia="仿宋_GB2312" w:hAnsi="宋体" w:cs="宋体"/>
          <w:kern w:val="0"/>
          <w:sz w:val="32"/>
          <w:szCs w:val="32"/>
        </w:rPr>
        <w:t>管理制度健全性</w:t>
      </w:r>
    </w:p>
    <w:p w:rsidR="007D44F2" w:rsidRDefault="00574EFC" w:rsidP="00574EFC">
      <w:pPr>
        <w:spacing w:line="500" w:lineRule="exact"/>
        <w:ind w:firstLineChars="200" w:firstLine="640"/>
        <w:rPr>
          <w:rFonts w:ascii="仿宋_GB2312" w:eastAsia="仿宋_GB2312" w:hAnsi="宋体" w:cs="宋体"/>
          <w:kern w:val="0"/>
          <w:sz w:val="32"/>
          <w:szCs w:val="32"/>
        </w:rPr>
      </w:pPr>
      <w:r>
        <w:rPr>
          <w:rFonts w:ascii="仿宋_GB2312" w:eastAsia="仿宋_GB2312" w:hAnsi="仿宋" w:hint="eastAsia"/>
          <w:sz w:val="32"/>
          <w:szCs w:val="32"/>
        </w:rPr>
        <w:t>区</w:t>
      </w:r>
      <w:r w:rsidR="002B3ECC">
        <w:rPr>
          <w:rFonts w:ascii="仿宋_GB2312" w:eastAsia="仿宋_GB2312" w:hAnsi="仿宋" w:hint="eastAsia"/>
          <w:sz w:val="32"/>
          <w:szCs w:val="32"/>
        </w:rPr>
        <w:t>财政局根据自身业务开展情况制定了财务管理、资产管理、采购管理、合同管理、等方面管理制度，实施内部控制管理，各项制度相对健全，为部门资金使用管理提供有效制度保障</w:t>
      </w:r>
      <w:r w:rsidR="002B3ECC">
        <w:rPr>
          <w:rFonts w:ascii="仿宋_GB2312" w:eastAsia="仿宋_GB2312" w:hAnsi="宋体" w:cs="宋体" w:hint="eastAsia"/>
          <w:kern w:val="0"/>
          <w:sz w:val="32"/>
          <w:szCs w:val="32"/>
        </w:rPr>
        <w:t>。</w:t>
      </w:r>
    </w:p>
    <w:p w:rsidR="007D44F2" w:rsidRDefault="002B3ECC" w:rsidP="00574EFC">
      <w:pPr>
        <w:spacing w:line="5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2.资金使用合</w:t>
      </w:r>
      <w:proofErr w:type="gramStart"/>
      <w:r>
        <w:rPr>
          <w:rFonts w:ascii="仿宋_GB2312" w:eastAsia="仿宋_GB2312" w:hAnsi="宋体" w:cs="宋体" w:hint="eastAsia"/>
          <w:kern w:val="0"/>
          <w:sz w:val="32"/>
          <w:szCs w:val="32"/>
        </w:rPr>
        <w:t>规</w:t>
      </w:r>
      <w:proofErr w:type="gramEnd"/>
      <w:r>
        <w:rPr>
          <w:rFonts w:ascii="仿宋_GB2312" w:eastAsia="仿宋_GB2312" w:hAnsi="宋体" w:cs="宋体" w:hint="eastAsia"/>
          <w:kern w:val="0"/>
          <w:sz w:val="32"/>
          <w:szCs w:val="32"/>
        </w:rPr>
        <w:t>性</w:t>
      </w:r>
      <w:r>
        <w:rPr>
          <w:rFonts w:ascii="仿宋_GB2312" w:eastAsia="仿宋_GB2312" w:hAnsi="宋体" w:cs="宋体"/>
          <w:kern w:val="0"/>
          <w:sz w:val="32"/>
          <w:szCs w:val="32"/>
        </w:rPr>
        <w:t>和安全性</w:t>
      </w:r>
    </w:p>
    <w:p w:rsidR="007D44F2" w:rsidRDefault="00574EFC" w:rsidP="00574EFC">
      <w:pPr>
        <w:spacing w:line="500" w:lineRule="exact"/>
        <w:ind w:firstLineChars="200" w:firstLine="640"/>
        <w:rPr>
          <w:rFonts w:ascii="仿宋_GB2312" w:eastAsia="仿宋_GB2312" w:hAnsi="宋体" w:cs="宋体"/>
          <w:kern w:val="0"/>
          <w:sz w:val="32"/>
          <w:szCs w:val="32"/>
        </w:rPr>
      </w:pPr>
      <w:r>
        <w:rPr>
          <w:rFonts w:ascii="仿宋_GB2312" w:eastAsia="仿宋_GB2312" w:hAnsi="仿宋" w:hint="eastAsia"/>
          <w:sz w:val="32"/>
          <w:szCs w:val="32"/>
        </w:rPr>
        <w:t>区</w:t>
      </w:r>
      <w:r w:rsidR="002B3ECC">
        <w:rPr>
          <w:rFonts w:ascii="仿宋_GB2312" w:eastAsia="仿宋_GB2312" w:hAnsi="仿宋" w:hint="eastAsia"/>
          <w:sz w:val="32"/>
          <w:szCs w:val="32"/>
        </w:rPr>
        <w:t>财政局资金使用严格按照国家财经法规和局内财务管理制度、资金支出管理办法规定以及有关专项资金管理办法的规定执行。不存在截留、挤占、挪用、虚列支出等情况，资金使用合</w:t>
      </w:r>
      <w:proofErr w:type="gramStart"/>
      <w:r w:rsidR="002B3ECC">
        <w:rPr>
          <w:rFonts w:ascii="仿宋_GB2312" w:eastAsia="仿宋_GB2312" w:hAnsi="仿宋" w:hint="eastAsia"/>
          <w:sz w:val="32"/>
          <w:szCs w:val="32"/>
        </w:rPr>
        <w:t>规</w:t>
      </w:r>
      <w:proofErr w:type="gramEnd"/>
      <w:r w:rsidR="002B3ECC">
        <w:rPr>
          <w:rFonts w:ascii="仿宋_GB2312" w:eastAsia="仿宋_GB2312" w:hAnsi="仿宋" w:hint="eastAsia"/>
          <w:sz w:val="32"/>
          <w:szCs w:val="32"/>
        </w:rPr>
        <w:t>性较好。在资金使用监管上，能够落实重大支出集体研究制度</w:t>
      </w:r>
      <w:r>
        <w:rPr>
          <w:rFonts w:ascii="仿宋_GB2312" w:eastAsia="仿宋_GB2312" w:hAnsi="仿宋" w:hint="eastAsia"/>
          <w:sz w:val="32"/>
          <w:szCs w:val="32"/>
        </w:rPr>
        <w:t>。预算执行中，严格按照政府采购及局内采购管理制度和流程执行。</w:t>
      </w:r>
      <w:r w:rsidR="002B3ECC">
        <w:rPr>
          <w:rFonts w:ascii="仿宋_GB2312" w:eastAsia="仿宋_GB2312" w:hAnsi="仿宋" w:hint="eastAsia"/>
          <w:sz w:val="32"/>
          <w:szCs w:val="32"/>
        </w:rPr>
        <w:t>会计核算方面，专款专用，项目资金在统一会计账簿中按照项目明细单独核算，会计凭证资料保存完整、装订规范。</w:t>
      </w:r>
    </w:p>
    <w:p w:rsidR="007D44F2" w:rsidRDefault="002B3ECC" w:rsidP="00574EFC">
      <w:pPr>
        <w:spacing w:line="500" w:lineRule="exact"/>
        <w:ind w:firstLineChars="200" w:firstLine="640"/>
        <w:outlineLvl w:val="1"/>
        <w:rPr>
          <w:rFonts w:ascii="仿宋_GB2312" w:eastAsia="仿宋_GB2312" w:hAnsi="宋体" w:cs="宋体"/>
          <w:kern w:val="0"/>
          <w:sz w:val="32"/>
          <w:szCs w:val="32"/>
        </w:rPr>
      </w:pPr>
      <w:r>
        <w:rPr>
          <w:rFonts w:ascii="楷体_GB2312" w:eastAsia="楷体_GB2312" w:hint="eastAsia"/>
          <w:sz w:val="32"/>
          <w:szCs w:val="32"/>
        </w:rPr>
        <w:t>（二）资产管理</w:t>
      </w:r>
    </w:p>
    <w:p w:rsidR="007D44F2" w:rsidRDefault="002B3ECC" w:rsidP="00574EFC">
      <w:pPr>
        <w:spacing w:line="5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根据《行政单位国有资产管理暂行办法》《事业单位国有资产管理暂行办法》和《行政事业单位固定资产管理暂行办法》及财政部相关规定，结合单位实际情况，</w:t>
      </w:r>
      <w:r w:rsidR="00915AB6">
        <w:rPr>
          <w:rFonts w:ascii="仿宋_GB2312" w:eastAsia="仿宋_GB2312" w:hAnsi="宋体" w:cs="宋体" w:hint="eastAsia"/>
          <w:kern w:val="0"/>
          <w:sz w:val="32"/>
          <w:szCs w:val="32"/>
        </w:rPr>
        <w:t>区</w:t>
      </w:r>
      <w:r>
        <w:rPr>
          <w:rFonts w:ascii="仿宋_GB2312" w:eastAsia="仿宋_GB2312" w:hAnsi="宋体" w:cs="宋体" w:hint="eastAsia"/>
          <w:kern w:val="0"/>
          <w:sz w:val="32"/>
          <w:szCs w:val="32"/>
        </w:rPr>
        <w:t>财政局制定了《</w:t>
      </w:r>
      <w:r w:rsidR="00574EFC">
        <w:rPr>
          <w:rFonts w:ascii="仿宋_GB2312" w:eastAsia="仿宋_GB2312" w:hAnsi="宋体" w:cs="宋体" w:hint="eastAsia"/>
          <w:kern w:val="0"/>
          <w:sz w:val="32"/>
          <w:szCs w:val="32"/>
        </w:rPr>
        <w:t>通州区财政局</w:t>
      </w:r>
      <w:r>
        <w:rPr>
          <w:rFonts w:ascii="仿宋_GB2312" w:eastAsia="仿宋_GB2312" w:hAnsi="宋体" w:cs="宋体" w:hint="eastAsia"/>
          <w:kern w:val="0"/>
          <w:sz w:val="32"/>
          <w:szCs w:val="32"/>
        </w:rPr>
        <w:t>固定资产管理办法》</w:t>
      </w:r>
      <w:r w:rsidR="00574EFC">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明确了资产管理部门及职责、资产</w:t>
      </w:r>
      <w:r>
        <w:rPr>
          <w:rFonts w:ascii="仿宋_GB2312" w:eastAsia="仿宋_GB2312" w:hAnsi="宋体" w:cs="宋体" w:hint="eastAsia"/>
          <w:kern w:val="0"/>
          <w:sz w:val="32"/>
          <w:szCs w:val="32"/>
        </w:rPr>
        <w:lastRenderedPageBreak/>
        <w:t>配置、资产管理、资产处置、资产出租出借等相关要求，规范和加强了局机关各部门的资产管理工作，维护了国有资产的安全完整、合理配置和有效利用。</w:t>
      </w:r>
    </w:p>
    <w:p w:rsidR="007D44F2" w:rsidRDefault="002B3ECC" w:rsidP="00574EFC">
      <w:pPr>
        <w:spacing w:line="500" w:lineRule="exact"/>
        <w:ind w:firstLineChars="200" w:firstLine="640"/>
        <w:outlineLvl w:val="1"/>
        <w:rPr>
          <w:rFonts w:ascii="楷体_GB2312" w:eastAsia="楷体_GB2312"/>
          <w:sz w:val="32"/>
          <w:szCs w:val="32"/>
        </w:rPr>
      </w:pPr>
      <w:r>
        <w:rPr>
          <w:rFonts w:ascii="楷体_GB2312" w:eastAsia="楷体_GB2312" w:hint="eastAsia"/>
          <w:sz w:val="32"/>
          <w:szCs w:val="32"/>
        </w:rPr>
        <w:t>（</w:t>
      </w:r>
      <w:r w:rsidR="00574EFC">
        <w:rPr>
          <w:rFonts w:ascii="楷体_GB2312" w:eastAsia="楷体_GB2312" w:hint="eastAsia"/>
          <w:sz w:val="32"/>
          <w:szCs w:val="32"/>
        </w:rPr>
        <w:t>三</w:t>
      </w:r>
      <w:r>
        <w:rPr>
          <w:rFonts w:ascii="楷体_GB2312" w:eastAsia="楷体_GB2312" w:hint="eastAsia"/>
          <w:sz w:val="32"/>
          <w:szCs w:val="32"/>
        </w:rPr>
        <w:t>）结转结余率</w:t>
      </w:r>
    </w:p>
    <w:p w:rsidR="007D44F2" w:rsidRDefault="002B3ECC" w:rsidP="00574EFC">
      <w:pPr>
        <w:spacing w:line="500" w:lineRule="exact"/>
        <w:ind w:firstLineChars="200" w:firstLine="640"/>
        <w:outlineLvl w:val="0"/>
        <w:rPr>
          <w:rFonts w:ascii="仿宋_GB2312" w:eastAsia="仿宋_GB2312" w:hAnsi="宋体" w:cs="宋体"/>
          <w:kern w:val="0"/>
          <w:sz w:val="32"/>
          <w:szCs w:val="32"/>
        </w:rPr>
      </w:pPr>
      <w:r>
        <w:rPr>
          <w:rFonts w:ascii="仿宋_GB2312" w:eastAsia="仿宋_GB2312" w:hAnsi="宋体" w:cs="宋体" w:hint="eastAsia"/>
          <w:kern w:val="0"/>
          <w:sz w:val="32"/>
          <w:szCs w:val="32"/>
        </w:rPr>
        <w:t>2022年</w:t>
      </w:r>
      <w:r w:rsidR="00574EFC">
        <w:rPr>
          <w:rFonts w:ascii="仿宋_GB2312" w:eastAsia="仿宋_GB2312" w:hAnsi="宋体" w:cs="宋体" w:hint="eastAsia"/>
          <w:kern w:val="0"/>
          <w:sz w:val="32"/>
          <w:szCs w:val="32"/>
        </w:rPr>
        <w:t>通州区财政局</w:t>
      </w:r>
      <w:r>
        <w:rPr>
          <w:rFonts w:ascii="仿宋_GB2312" w:eastAsia="仿宋_GB2312" w:hAnsi="宋体" w:cs="宋体" w:hint="eastAsia"/>
          <w:kern w:val="0"/>
          <w:sz w:val="32"/>
          <w:szCs w:val="32"/>
        </w:rPr>
        <w:t>全年预算数为</w:t>
      </w:r>
      <w:r w:rsidR="00574EFC">
        <w:rPr>
          <w:rFonts w:ascii="仿宋_GB2312" w:eastAsia="仿宋_GB2312" w:hAnsi="宋体" w:cs="宋体" w:hint="eastAsia"/>
          <w:kern w:val="0"/>
          <w:sz w:val="32"/>
          <w:szCs w:val="32"/>
        </w:rPr>
        <w:t>10163.85</w:t>
      </w:r>
      <w:r>
        <w:rPr>
          <w:rFonts w:ascii="仿宋_GB2312" w:eastAsia="仿宋_GB2312" w:hAnsi="宋体" w:cs="宋体" w:hint="eastAsia"/>
          <w:kern w:val="0"/>
          <w:sz w:val="32"/>
          <w:szCs w:val="32"/>
        </w:rPr>
        <w:t>万元，年末结余结转金额为</w:t>
      </w:r>
      <w:r w:rsidR="00574EFC">
        <w:rPr>
          <w:rFonts w:ascii="仿宋_GB2312" w:eastAsia="仿宋_GB2312" w:hAnsi="宋体" w:cs="宋体" w:hint="eastAsia"/>
          <w:kern w:val="0"/>
          <w:sz w:val="32"/>
          <w:szCs w:val="32"/>
        </w:rPr>
        <w:t>89.30</w:t>
      </w:r>
      <w:r>
        <w:rPr>
          <w:rFonts w:ascii="仿宋_GB2312" w:eastAsia="仿宋_GB2312" w:hAnsi="宋体" w:cs="宋体" w:hint="eastAsia"/>
          <w:kern w:val="0"/>
          <w:sz w:val="32"/>
          <w:szCs w:val="32"/>
        </w:rPr>
        <w:t>万元，结余结转率</w:t>
      </w:r>
      <w:r w:rsidR="00574EFC">
        <w:rPr>
          <w:rFonts w:ascii="仿宋_GB2312" w:eastAsia="仿宋_GB2312" w:hAnsi="宋体" w:cs="宋体" w:hint="eastAsia"/>
          <w:kern w:val="0"/>
          <w:sz w:val="32"/>
          <w:szCs w:val="32"/>
        </w:rPr>
        <w:t>0.88</w:t>
      </w:r>
      <w:r>
        <w:rPr>
          <w:rFonts w:ascii="仿宋_GB2312" w:eastAsia="仿宋_GB2312" w:hAnsi="宋体" w:cs="宋体" w:hint="eastAsia"/>
          <w:kern w:val="0"/>
          <w:sz w:val="32"/>
          <w:szCs w:val="32"/>
        </w:rPr>
        <w:t>%。</w:t>
      </w:r>
    </w:p>
    <w:p w:rsidR="007D44F2" w:rsidRDefault="002B3ECC" w:rsidP="00574EFC">
      <w:pPr>
        <w:spacing w:line="500" w:lineRule="exact"/>
        <w:ind w:firstLineChars="200" w:firstLine="640"/>
        <w:outlineLvl w:val="1"/>
        <w:rPr>
          <w:rFonts w:ascii="楷体_GB2312" w:eastAsia="楷体_GB2312"/>
          <w:sz w:val="32"/>
          <w:szCs w:val="32"/>
        </w:rPr>
      </w:pPr>
      <w:r>
        <w:rPr>
          <w:rFonts w:ascii="楷体_GB2312" w:eastAsia="楷体_GB2312" w:hint="eastAsia"/>
          <w:sz w:val="32"/>
          <w:szCs w:val="32"/>
        </w:rPr>
        <w:t>（五）部门</w:t>
      </w:r>
      <w:r>
        <w:rPr>
          <w:rFonts w:ascii="楷体_GB2312" w:eastAsia="楷体_GB2312"/>
          <w:sz w:val="32"/>
          <w:szCs w:val="32"/>
        </w:rPr>
        <w:t>预决算差异率</w:t>
      </w:r>
    </w:p>
    <w:p w:rsidR="007D44F2" w:rsidRDefault="002B3ECC" w:rsidP="00574EFC">
      <w:pPr>
        <w:spacing w:line="500" w:lineRule="exact"/>
        <w:ind w:firstLineChars="200" w:firstLine="640"/>
        <w:outlineLvl w:val="0"/>
        <w:rPr>
          <w:rFonts w:ascii="仿宋_GB2312" w:eastAsia="仿宋_GB2312" w:hAnsi="宋体" w:cs="宋体"/>
          <w:kern w:val="0"/>
          <w:sz w:val="32"/>
          <w:szCs w:val="32"/>
        </w:rPr>
      </w:pPr>
      <w:r>
        <w:rPr>
          <w:rFonts w:ascii="仿宋_GB2312" w:eastAsia="仿宋_GB2312" w:hAnsi="宋体" w:cs="宋体" w:hint="eastAsia"/>
          <w:kern w:val="0"/>
          <w:sz w:val="32"/>
          <w:szCs w:val="32"/>
        </w:rPr>
        <w:t>2022年年初预算数为</w:t>
      </w:r>
      <w:r w:rsidR="00574EFC">
        <w:rPr>
          <w:rFonts w:ascii="仿宋_GB2312" w:eastAsia="仿宋_GB2312" w:hAnsi="宋体" w:cs="宋体" w:hint="eastAsia"/>
          <w:kern w:val="0"/>
          <w:sz w:val="32"/>
          <w:szCs w:val="32"/>
        </w:rPr>
        <w:t>10163.85</w:t>
      </w:r>
      <w:r>
        <w:rPr>
          <w:rFonts w:ascii="仿宋_GB2312" w:eastAsia="仿宋_GB2312" w:hAnsi="宋体" w:cs="宋体" w:hint="eastAsia"/>
          <w:kern w:val="0"/>
          <w:sz w:val="32"/>
          <w:szCs w:val="32"/>
        </w:rPr>
        <w:t xml:space="preserve">万元，决算数为 </w:t>
      </w:r>
      <w:r w:rsidR="00574EFC" w:rsidRPr="00574EFC">
        <w:rPr>
          <w:rFonts w:ascii="仿宋_GB2312" w:eastAsia="仿宋_GB2312" w:hAnsi="宋体" w:cs="宋体"/>
          <w:kern w:val="0"/>
          <w:sz w:val="32"/>
          <w:szCs w:val="32"/>
        </w:rPr>
        <w:t>11654</w:t>
      </w:r>
      <w:r w:rsidR="00574EFC">
        <w:rPr>
          <w:rFonts w:ascii="仿宋_GB2312" w:eastAsia="仿宋_GB2312" w:hAnsi="宋体" w:cs="宋体" w:hint="eastAsia"/>
          <w:kern w:val="0"/>
          <w:sz w:val="32"/>
          <w:szCs w:val="32"/>
        </w:rPr>
        <w:t>.</w:t>
      </w:r>
      <w:r w:rsidR="00574EFC" w:rsidRPr="00574EFC">
        <w:rPr>
          <w:rFonts w:ascii="仿宋_GB2312" w:eastAsia="仿宋_GB2312" w:hAnsi="宋体" w:cs="宋体"/>
          <w:kern w:val="0"/>
          <w:sz w:val="32"/>
          <w:szCs w:val="32"/>
        </w:rPr>
        <w:t>27</w:t>
      </w:r>
      <w:r>
        <w:rPr>
          <w:rFonts w:ascii="仿宋_GB2312" w:eastAsia="仿宋_GB2312" w:hAnsi="宋体" w:cs="宋体" w:hint="eastAsia"/>
          <w:kern w:val="0"/>
          <w:sz w:val="32"/>
          <w:szCs w:val="32"/>
        </w:rPr>
        <w:t>万元，差额为</w:t>
      </w:r>
      <w:r w:rsidR="00574EFC">
        <w:rPr>
          <w:rFonts w:ascii="仿宋_GB2312" w:eastAsia="仿宋_GB2312" w:hAnsi="宋体" w:cs="宋体" w:hint="eastAsia"/>
          <w:kern w:val="0"/>
          <w:sz w:val="32"/>
          <w:szCs w:val="32"/>
          <w:lang w:val="en"/>
        </w:rPr>
        <w:t>1490.42</w:t>
      </w:r>
      <w:r>
        <w:rPr>
          <w:rFonts w:ascii="仿宋_GB2312" w:eastAsia="仿宋_GB2312" w:hAnsi="宋体" w:cs="宋体" w:hint="eastAsia"/>
          <w:kern w:val="0"/>
          <w:sz w:val="32"/>
          <w:szCs w:val="32"/>
        </w:rPr>
        <w:t>万元, 占年初预算批复总额的</w:t>
      </w:r>
      <w:r w:rsidR="00574EFC">
        <w:rPr>
          <w:rFonts w:ascii="仿宋_GB2312" w:eastAsia="仿宋_GB2312" w:hAnsi="宋体" w:cs="宋体" w:hint="eastAsia"/>
          <w:kern w:val="0"/>
          <w:sz w:val="32"/>
          <w:szCs w:val="32"/>
        </w:rPr>
        <w:t>14.67</w:t>
      </w:r>
      <w:r>
        <w:rPr>
          <w:rFonts w:ascii="仿宋_GB2312" w:eastAsia="仿宋_GB2312" w:hAnsi="宋体" w:cs="宋体" w:hint="eastAsia"/>
          <w:kern w:val="0"/>
          <w:sz w:val="32"/>
          <w:szCs w:val="32"/>
        </w:rPr>
        <w:t>%。</w:t>
      </w:r>
    </w:p>
    <w:p w:rsidR="007D44F2" w:rsidRDefault="002B3ECC" w:rsidP="00574EFC">
      <w:pPr>
        <w:spacing w:line="500" w:lineRule="exact"/>
        <w:ind w:firstLineChars="200" w:firstLine="640"/>
        <w:outlineLvl w:val="0"/>
        <w:rPr>
          <w:rFonts w:ascii="黑体" w:eastAsia="黑体" w:hAnsi="黑体"/>
          <w:sz w:val="32"/>
          <w:szCs w:val="32"/>
        </w:rPr>
      </w:pPr>
      <w:r>
        <w:rPr>
          <w:rFonts w:ascii="黑体" w:eastAsia="黑体" w:hAnsi="黑体" w:hint="eastAsia"/>
          <w:sz w:val="32"/>
          <w:szCs w:val="32"/>
        </w:rPr>
        <w:t>五、总体</w:t>
      </w:r>
      <w:r>
        <w:rPr>
          <w:rFonts w:ascii="黑体" w:eastAsia="黑体" w:hAnsi="黑体"/>
          <w:sz w:val="32"/>
          <w:szCs w:val="32"/>
        </w:rPr>
        <w:t>评价结论</w:t>
      </w:r>
    </w:p>
    <w:p w:rsidR="007D44F2" w:rsidRDefault="002B3ECC" w:rsidP="00574EFC">
      <w:pPr>
        <w:spacing w:line="500" w:lineRule="exact"/>
        <w:ind w:firstLineChars="200" w:firstLine="640"/>
        <w:rPr>
          <w:rFonts w:ascii="楷体_GB2312" w:eastAsia="楷体_GB2312"/>
          <w:sz w:val="32"/>
          <w:szCs w:val="32"/>
        </w:rPr>
      </w:pPr>
      <w:r>
        <w:rPr>
          <w:rFonts w:ascii="楷体_GB2312" w:eastAsia="楷体_GB2312" w:hint="eastAsia"/>
          <w:sz w:val="32"/>
          <w:szCs w:val="32"/>
        </w:rPr>
        <w:t>（一）评价</w:t>
      </w:r>
      <w:r>
        <w:rPr>
          <w:rFonts w:ascii="楷体_GB2312" w:eastAsia="楷体_GB2312"/>
          <w:sz w:val="32"/>
          <w:szCs w:val="32"/>
        </w:rPr>
        <w:t>得分</w:t>
      </w:r>
      <w:r>
        <w:rPr>
          <w:rFonts w:ascii="楷体_GB2312" w:eastAsia="楷体_GB2312" w:hint="eastAsia"/>
          <w:sz w:val="32"/>
          <w:szCs w:val="32"/>
        </w:rPr>
        <w:t>情况</w:t>
      </w:r>
    </w:p>
    <w:p w:rsidR="007D44F2" w:rsidRDefault="002B3ECC" w:rsidP="00574EFC">
      <w:pPr>
        <w:spacing w:line="500" w:lineRule="exact"/>
        <w:ind w:firstLineChars="200" w:firstLine="640"/>
        <w:outlineLvl w:val="0"/>
        <w:rPr>
          <w:rFonts w:ascii="仿宋_GB2312" w:eastAsia="仿宋_GB2312" w:hAnsi="宋体" w:cs="宋体"/>
          <w:kern w:val="0"/>
          <w:sz w:val="32"/>
          <w:szCs w:val="32"/>
        </w:rPr>
      </w:pPr>
      <w:r>
        <w:rPr>
          <w:rFonts w:ascii="仿宋_GB2312" w:eastAsia="仿宋_GB2312" w:hAnsi="宋体" w:cs="宋体" w:hint="eastAsia"/>
          <w:kern w:val="0"/>
          <w:sz w:val="32"/>
          <w:szCs w:val="32"/>
        </w:rPr>
        <w:t>2022年度</w:t>
      </w:r>
      <w:r w:rsidR="00847ED7">
        <w:rPr>
          <w:rFonts w:ascii="仿宋_GB2312" w:eastAsia="仿宋_GB2312" w:hAnsi="仿宋" w:hint="eastAsia"/>
          <w:sz w:val="32"/>
          <w:szCs w:val="32"/>
        </w:rPr>
        <w:t>区</w:t>
      </w:r>
      <w:r>
        <w:rPr>
          <w:rFonts w:ascii="仿宋_GB2312" w:eastAsia="仿宋_GB2312" w:hAnsi="仿宋" w:hint="eastAsia"/>
          <w:sz w:val="32"/>
          <w:szCs w:val="32"/>
        </w:rPr>
        <w:t>财政局</w:t>
      </w:r>
      <w:r>
        <w:rPr>
          <w:rFonts w:ascii="仿宋_GB2312" w:eastAsia="仿宋_GB2312" w:hAnsi="宋体" w:cs="宋体" w:hint="eastAsia"/>
          <w:kern w:val="0"/>
          <w:sz w:val="32"/>
          <w:szCs w:val="32"/>
        </w:rPr>
        <w:t>整体支出绩效评价综合得分</w:t>
      </w:r>
      <w:r w:rsidR="00847ED7">
        <w:rPr>
          <w:rFonts w:ascii="仿宋_GB2312" w:eastAsia="仿宋_GB2312" w:hAnsi="宋体" w:cs="宋体" w:hint="eastAsia"/>
          <w:kern w:val="0"/>
          <w:sz w:val="32"/>
          <w:szCs w:val="32"/>
        </w:rPr>
        <w:t>87</w:t>
      </w:r>
      <w:r>
        <w:rPr>
          <w:rFonts w:ascii="仿宋_GB2312" w:eastAsia="仿宋_GB2312" w:hAnsi="宋体" w:cs="宋体" w:hint="eastAsia"/>
          <w:kern w:val="0"/>
          <w:sz w:val="32"/>
          <w:szCs w:val="32"/>
        </w:rPr>
        <w:t>.60分，其中当年预算执行情况</w:t>
      </w:r>
      <w:r w:rsidR="00847ED7">
        <w:rPr>
          <w:rFonts w:ascii="仿宋_GB2312" w:eastAsia="仿宋_GB2312" w:hAnsi="宋体" w:cs="宋体" w:hint="eastAsia"/>
          <w:kern w:val="0"/>
          <w:sz w:val="32"/>
          <w:szCs w:val="32"/>
        </w:rPr>
        <w:t>17.00</w:t>
      </w:r>
      <w:r>
        <w:rPr>
          <w:rFonts w:ascii="仿宋_GB2312" w:eastAsia="仿宋_GB2312" w:hAnsi="宋体" w:cs="宋体" w:hint="eastAsia"/>
          <w:kern w:val="0"/>
          <w:sz w:val="32"/>
          <w:szCs w:val="32"/>
        </w:rPr>
        <w:t>分、整体绩效目标实现情况5</w:t>
      </w:r>
      <w:r w:rsidR="00847ED7">
        <w:rPr>
          <w:rFonts w:ascii="仿宋_GB2312" w:eastAsia="仿宋_GB2312" w:hAnsi="宋体" w:cs="宋体" w:hint="eastAsia"/>
          <w:kern w:val="0"/>
          <w:sz w:val="32"/>
          <w:szCs w:val="32"/>
        </w:rPr>
        <w:t>3</w:t>
      </w:r>
      <w:r>
        <w:rPr>
          <w:rFonts w:ascii="仿宋_GB2312" w:eastAsia="仿宋_GB2312" w:hAnsi="宋体" w:cs="宋体" w:hint="eastAsia"/>
          <w:kern w:val="0"/>
          <w:sz w:val="32"/>
          <w:szCs w:val="32"/>
        </w:rPr>
        <w:t>.00分、预算管理情况</w:t>
      </w:r>
      <w:r w:rsidR="00847ED7">
        <w:rPr>
          <w:rFonts w:ascii="仿宋_GB2312" w:eastAsia="仿宋_GB2312" w:hAnsi="宋体" w:cs="宋体" w:hint="eastAsia"/>
          <w:kern w:val="0"/>
          <w:sz w:val="32"/>
          <w:szCs w:val="32"/>
        </w:rPr>
        <w:t>17.60</w:t>
      </w:r>
      <w:r>
        <w:rPr>
          <w:rFonts w:ascii="仿宋_GB2312" w:eastAsia="仿宋_GB2312" w:hAnsi="宋体" w:cs="宋体" w:hint="eastAsia"/>
          <w:kern w:val="0"/>
          <w:sz w:val="32"/>
          <w:szCs w:val="32"/>
        </w:rPr>
        <w:t>分，绩效评定结论为“优”。具体情况详见下表。</w:t>
      </w:r>
    </w:p>
    <w:tbl>
      <w:tblPr>
        <w:tblpPr w:leftFromText="180" w:rightFromText="180" w:vertAnchor="text" w:horzAnchor="page" w:tblpX="1828" w:tblpY="743"/>
        <w:tblOverlap w:val="never"/>
        <w:tblW w:w="8485"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C0C0C0"/>
        <w:tblLayout w:type="fixed"/>
        <w:tblCellMar>
          <w:left w:w="57" w:type="dxa"/>
          <w:right w:w="57" w:type="dxa"/>
        </w:tblCellMar>
        <w:tblLook w:val="04A0" w:firstRow="1" w:lastRow="0" w:firstColumn="1" w:lastColumn="0" w:noHBand="0" w:noVBand="1"/>
      </w:tblPr>
      <w:tblGrid>
        <w:gridCol w:w="3079"/>
        <w:gridCol w:w="2411"/>
        <w:gridCol w:w="2995"/>
      </w:tblGrid>
      <w:tr w:rsidR="007D44F2">
        <w:trPr>
          <w:cantSplit/>
          <w:trHeight w:val="680"/>
        </w:trPr>
        <w:tc>
          <w:tcPr>
            <w:tcW w:w="3079" w:type="dxa"/>
            <w:tcBorders>
              <w:top w:val="single" w:sz="4" w:space="0" w:color="FFFFFF"/>
              <w:left w:val="single" w:sz="4" w:space="0" w:color="FFFFFF"/>
              <w:bottom w:val="single" w:sz="6" w:space="0" w:color="FFFFFF"/>
              <w:right w:val="single" w:sz="6" w:space="0" w:color="FFFFFF"/>
            </w:tcBorders>
            <w:shd w:val="clear" w:color="auto" w:fill="C0C0C0"/>
            <w:vAlign w:val="center"/>
          </w:tcPr>
          <w:p w:rsidR="007D44F2" w:rsidRDefault="002B3ECC">
            <w:pPr>
              <w:adjustRightInd w:val="0"/>
              <w:snapToGrid w:val="0"/>
              <w:spacing w:before="120" w:after="60" w:line="300" w:lineRule="auto"/>
              <w:jc w:val="center"/>
              <w:rPr>
                <w:rFonts w:ascii="仿宋_GB2312" w:eastAsia="仿宋_GB2312" w:hAnsi="仿宋_GB2312" w:cs="仿宋_GB2312"/>
                <w:b/>
                <w:sz w:val="28"/>
                <w:szCs w:val="28"/>
              </w:rPr>
            </w:pPr>
            <w:r>
              <w:rPr>
                <w:rFonts w:ascii="仿宋_GB2312" w:eastAsia="仿宋_GB2312" w:hAnsi="仿宋_GB2312" w:cs="仿宋_GB2312" w:hint="eastAsia"/>
                <w:b/>
                <w:sz w:val="28"/>
                <w:szCs w:val="28"/>
              </w:rPr>
              <w:t>评价内容</w:t>
            </w:r>
          </w:p>
        </w:tc>
        <w:tc>
          <w:tcPr>
            <w:tcW w:w="2411" w:type="dxa"/>
            <w:tcBorders>
              <w:top w:val="single" w:sz="4" w:space="0" w:color="FFFFFF"/>
              <w:left w:val="single" w:sz="6" w:space="0" w:color="FFFFFF"/>
              <w:bottom w:val="single" w:sz="6" w:space="0" w:color="FFFFFF"/>
              <w:right w:val="single" w:sz="6" w:space="0" w:color="FFFFFF"/>
            </w:tcBorders>
            <w:shd w:val="clear" w:color="auto" w:fill="C0C0C0"/>
            <w:vAlign w:val="center"/>
          </w:tcPr>
          <w:p w:rsidR="007D44F2" w:rsidRDefault="002B3ECC">
            <w:pPr>
              <w:adjustRightInd w:val="0"/>
              <w:snapToGrid w:val="0"/>
              <w:spacing w:before="120" w:after="60" w:line="300" w:lineRule="auto"/>
              <w:jc w:val="center"/>
              <w:rPr>
                <w:rFonts w:ascii="仿宋_GB2312" w:eastAsia="仿宋_GB2312" w:hAnsi="仿宋_GB2312" w:cs="仿宋_GB2312"/>
                <w:b/>
                <w:sz w:val="28"/>
                <w:szCs w:val="28"/>
              </w:rPr>
            </w:pPr>
            <w:r>
              <w:rPr>
                <w:rFonts w:ascii="仿宋_GB2312" w:eastAsia="仿宋_GB2312" w:hAnsi="仿宋_GB2312" w:cs="仿宋_GB2312" w:hint="eastAsia"/>
                <w:b/>
                <w:sz w:val="28"/>
                <w:szCs w:val="28"/>
              </w:rPr>
              <w:t>分值</w:t>
            </w:r>
          </w:p>
        </w:tc>
        <w:tc>
          <w:tcPr>
            <w:tcW w:w="2995" w:type="dxa"/>
            <w:tcBorders>
              <w:top w:val="single" w:sz="4" w:space="0" w:color="FFFFFF"/>
              <w:left w:val="single" w:sz="6" w:space="0" w:color="FFFFFF"/>
              <w:bottom w:val="single" w:sz="6" w:space="0" w:color="FFFFFF"/>
              <w:right w:val="single" w:sz="4" w:space="0" w:color="FFFFFF"/>
            </w:tcBorders>
            <w:shd w:val="clear" w:color="auto" w:fill="C0C0C0"/>
            <w:vAlign w:val="center"/>
          </w:tcPr>
          <w:p w:rsidR="007D44F2" w:rsidRDefault="002B3ECC">
            <w:pPr>
              <w:adjustRightInd w:val="0"/>
              <w:snapToGrid w:val="0"/>
              <w:spacing w:before="120" w:after="60" w:line="300" w:lineRule="auto"/>
              <w:jc w:val="center"/>
              <w:rPr>
                <w:rFonts w:ascii="仿宋_GB2312" w:eastAsia="仿宋_GB2312" w:hAnsi="仿宋_GB2312" w:cs="仿宋_GB2312"/>
                <w:b/>
                <w:sz w:val="28"/>
                <w:szCs w:val="28"/>
              </w:rPr>
            </w:pPr>
            <w:r>
              <w:rPr>
                <w:rFonts w:ascii="仿宋_GB2312" w:eastAsia="仿宋_GB2312" w:hAnsi="仿宋_GB2312" w:cs="仿宋_GB2312" w:hint="eastAsia"/>
                <w:b/>
                <w:sz w:val="28"/>
                <w:szCs w:val="28"/>
              </w:rPr>
              <w:t>评价得分</w:t>
            </w:r>
          </w:p>
        </w:tc>
      </w:tr>
      <w:tr w:rsidR="007D44F2">
        <w:trPr>
          <w:cantSplit/>
          <w:trHeight w:val="543"/>
        </w:trPr>
        <w:tc>
          <w:tcPr>
            <w:tcW w:w="3079" w:type="dxa"/>
            <w:tcBorders>
              <w:top w:val="single" w:sz="6" w:space="0" w:color="FFFFFF"/>
              <w:left w:val="single" w:sz="4" w:space="0" w:color="FFFFFF"/>
              <w:bottom w:val="single" w:sz="6" w:space="0" w:color="FFFFFF"/>
              <w:right w:val="single" w:sz="6" w:space="0" w:color="FFFFFF"/>
            </w:tcBorders>
            <w:shd w:val="clear" w:color="auto" w:fill="C0C0C0"/>
            <w:vAlign w:val="center"/>
          </w:tcPr>
          <w:p w:rsidR="007D44F2" w:rsidRDefault="002B3ECC">
            <w:pPr>
              <w:pStyle w:val="a3"/>
              <w:adjustRightInd w:val="0"/>
              <w:snapToGrid w:val="0"/>
              <w:spacing w:before="120" w:after="60" w:line="300" w:lineRule="auto"/>
              <w:ind w:firstLine="0"/>
              <w:jc w:val="center"/>
              <w:rPr>
                <w:rFonts w:ascii="仿宋_GB2312" w:eastAsia="仿宋_GB2312" w:hAnsi="仿宋_GB2312" w:cs="仿宋_GB2312"/>
                <w:b/>
                <w:sz w:val="28"/>
                <w:szCs w:val="28"/>
              </w:rPr>
            </w:pPr>
            <w:r>
              <w:rPr>
                <w:rFonts w:ascii="仿宋_GB2312" w:eastAsia="仿宋_GB2312" w:hAnsi="仿宋_GB2312" w:cs="仿宋_GB2312" w:hint="eastAsia"/>
                <w:b/>
                <w:sz w:val="28"/>
                <w:szCs w:val="28"/>
              </w:rPr>
              <w:t>当年预算执行情况</w:t>
            </w:r>
          </w:p>
        </w:tc>
        <w:tc>
          <w:tcPr>
            <w:tcW w:w="2411" w:type="dxa"/>
            <w:tcBorders>
              <w:top w:val="single" w:sz="6" w:space="0" w:color="FFFFFF"/>
              <w:left w:val="single" w:sz="6" w:space="0" w:color="FFFFFF"/>
              <w:bottom w:val="single" w:sz="6" w:space="0" w:color="FFFFFF"/>
              <w:right w:val="single" w:sz="6" w:space="0" w:color="FFFFFF"/>
            </w:tcBorders>
            <w:shd w:val="clear" w:color="auto" w:fill="C0C0C0"/>
            <w:vAlign w:val="center"/>
          </w:tcPr>
          <w:p w:rsidR="007D44F2" w:rsidRDefault="00847ED7">
            <w:pPr>
              <w:adjustRightInd w:val="0"/>
              <w:snapToGrid w:val="0"/>
              <w:jc w:val="center"/>
              <w:rPr>
                <w:rFonts w:ascii="仿宋_GB2312" w:eastAsia="仿宋_GB2312" w:hAnsi="仿宋_GB2312" w:cs="仿宋_GB2312"/>
                <w:b/>
                <w:sz w:val="28"/>
                <w:szCs w:val="28"/>
              </w:rPr>
            </w:pPr>
            <w:r>
              <w:rPr>
                <w:rFonts w:ascii="仿宋_GB2312" w:eastAsia="仿宋_GB2312" w:hAnsi="仿宋_GB2312" w:cs="仿宋_GB2312" w:hint="eastAsia"/>
                <w:b/>
                <w:sz w:val="28"/>
                <w:szCs w:val="28"/>
              </w:rPr>
              <w:t>2</w:t>
            </w:r>
            <w:r w:rsidR="002B3ECC">
              <w:rPr>
                <w:rFonts w:ascii="仿宋_GB2312" w:eastAsia="仿宋_GB2312" w:hAnsi="仿宋_GB2312" w:cs="仿宋_GB2312" w:hint="eastAsia"/>
                <w:b/>
                <w:sz w:val="28"/>
                <w:szCs w:val="28"/>
              </w:rPr>
              <w:t>0.00</w:t>
            </w:r>
          </w:p>
        </w:tc>
        <w:tc>
          <w:tcPr>
            <w:tcW w:w="2995" w:type="dxa"/>
            <w:tcBorders>
              <w:top w:val="single" w:sz="6" w:space="0" w:color="FFFFFF"/>
              <w:left w:val="single" w:sz="6" w:space="0" w:color="FFFFFF"/>
              <w:bottom w:val="single" w:sz="6" w:space="0" w:color="FFFFFF"/>
              <w:right w:val="single" w:sz="4" w:space="0" w:color="FFFFFF"/>
            </w:tcBorders>
            <w:shd w:val="clear" w:color="auto" w:fill="C0C0C0"/>
            <w:vAlign w:val="center"/>
          </w:tcPr>
          <w:p w:rsidR="007D44F2" w:rsidRDefault="002B3ECC" w:rsidP="00FF2044">
            <w:pPr>
              <w:adjustRightInd w:val="0"/>
              <w:snapToGrid w:val="0"/>
              <w:jc w:val="center"/>
              <w:rPr>
                <w:rFonts w:ascii="仿宋_GB2312" w:eastAsia="仿宋_GB2312" w:hAnsi="仿宋_GB2312" w:cs="仿宋_GB2312"/>
                <w:b/>
                <w:sz w:val="28"/>
                <w:szCs w:val="28"/>
              </w:rPr>
            </w:pPr>
            <w:r>
              <w:rPr>
                <w:rFonts w:ascii="仿宋_GB2312" w:eastAsia="仿宋_GB2312" w:hAnsi="仿宋_GB2312" w:cs="仿宋_GB2312" w:hint="eastAsia"/>
                <w:b/>
                <w:sz w:val="28"/>
                <w:szCs w:val="28"/>
              </w:rPr>
              <w:t>1</w:t>
            </w:r>
            <w:r w:rsidR="00FF2044">
              <w:rPr>
                <w:rFonts w:ascii="仿宋_GB2312" w:eastAsia="仿宋_GB2312" w:hAnsi="仿宋_GB2312" w:cs="仿宋_GB2312" w:hint="eastAsia"/>
                <w:b/>
                <w:sz w:val="28"/>
                <w:szCs w:val="28"/>
              </w:rPr>
              <w:t>8</w:t>
            </w:r>
            <w:r>
              <w:rPr>
                <w:rFonts w:ascii="仿宋_GB2312" w:eastAsia="仿宋_GB2312" w:hAnsi="仿宋_GB2312" w:cs="仿宋_GB2312" w:hint="eastAsia"/>
                <w:b/>
                <w:sz w:val="28"/>
                <w:szCs w:val="28"/>
              </w:rPr>
              <w:t>.00</w:t>
            </w:r>
          </w:p>
        </w:tc>
      </w:tr>
      <w:tr w:rsidR="007D44F2">
        <w:trPr>
          <w:cantSplit/>
          <w:trHeight w:val="393"/>
        </w:trPr>
        <w:tc>
          <w:tcPr>
            <w:tcW w:w="3079" w:type="dxa"/>
            <w:tcBorders>
              <w:top w:val="single" w:sz="6" w:space="0" w:color="FFFFFF"/>
              <w:left w:val="single" w:sz="4" w:space="0" w:color="FFFFFF"/>
              <w:bottom w:val="single" w:sz="6" w:space="0" w:color="FFFFFF"/>
              <w:right w:val="single" w:sz="6" w:space="0" w:color="FFFFFF"/>
            </w:tcBorders>
            <w:shd w:val="clear" w:color="auto" w:fill="C0C0C0"/>
            <w:vAlign w:val="center"/>
          </w:tcPr>
          <w:p w:rsidR="007D44F2" w:rsidRDefault="002B3ECC">
            <w:pPr>
              <w:adjustRightInd w:val="0"/>
              <w:snapToGrid w:val="0"/>
              <w:spacing w:before="120" w:after="60" w:line="300" w:lineRule="auto"/>
              <w:jc w:val="center"/>
              <w:rPr>
                <w:rFonts w:ascii="仿宋_GB2312" w:eastAsia="仿宋_GB2312" w:hAnsi="仿宋_GB2312" w:cs="仿宋_GB2312"/>
                <w:b/>
                <w:sz w:val="28"/>
                <w:szCs w:val="28"/>
              </w:rPr>
            </w:pPr>
            <w:r>
              <w:rPr>
                <w:rFonts w:ascii="仿宋_GB2312" w:eastAsia="仿宋_GB2312" w:hAnsi="仿宋_GB2312" w:cs="仿宋_GB2312" w:hint="eastAsia"/>
                <w:b/>
                <w:sz w:val="28"/>
                <w:szCs w:val="28"/>
              </w:rPr>
              <w:t>整体绩效目标实现情况</w:t>
            </w:r>
          </w:p>
        </w:tc>
        <w:tc>
          <w:tcPr>
            <w:tcW w:w="2411" w:type="dxa"/>
            <w:tcBorders>
              <w:top w:val="single" w:sz="6" w:space="0" w:color="FFFFFF"/>
              <w:left w:val="single" w:sz="6" w:space="0" w:color="FFFFFF"/>
              <w:bottom w:val="single" w:sz="6" w:space="0" w:color="FFFFFF"/>
              <w:right w:val="single" w:sz="6" w:space="0" w:color="FFFFFF"/>
            </w:tcBorders>
            <w:shd w:val="clear" w:color="auto" w:fill="C0C0C0"/>
            <w:vAlign w:val="center"/>
          </w:tcPr>
          <w:p w:rsidR="007D44F2" w:rsidRDefault="002B3ECC">
            <w:pPr>
              <w:adjustRightInd w:val="0"/>
              <w:snapToGrid w:val="0"/>
              <w:jc w:val="center"/>
              <w:rPr>
                <w:rFonts w:ascii="仿宋_GB2312" w:eastAsia="仿宋_GB2312" w:hAnsi="仿宋_GB2312" w:cs="仿宋_GB2312"/>
                <w:b/>
                <w:sz w:val="28"/>
                <w:szCs w:val="28"/>
              </w:rPr>
            </w:pPr>
            <w:r>
              <w:rPr>
                <w:rFonts w:ascii="仿宋_GB2312" w:eastAsia="仿宋_GB2312" w:hAnsi="仿宋_GB2312" w:cs="仿宋_GB2312" w:hint="eastAsia"/>
                <w:b/>
                <w:sz w:val="28"/>
                <w:szCs w:val="28"/>
              </w:rPr>
              <w:t>60.00</w:t>
            </w:r>
          </w:p>
        </w:tc>
        <w:tc>
          <w:tcPr>
            <w:tcW w:w="2995" w:type="dxa"/>
            <w:tcBorders>
              <w:top w:val="single" w:sz="6" w:space="0" w:color="FFFFFF"/>
              <w:left w:val="single" w:sz="6" w:space="0" w:color="FFFFFF"/>
              <w:bottom w:val="single" w:sz="6" w:space="0" w:color="FFFFFF"/>
              <w:right w:val="single" w:sz="4" w:space="0" w:color="FFFFFF"/>
            </w:tcBorders>
            <w:shd w:val="clear" w:color="auto" w:fill="C0C0C0"/>
            <w:vAlign w:val="center"/>
          </w:tcPr>
          <w:p w:rsidR="007D44F2" w:rsidRDefault="002B3ECC" w:rsidP="001148C3">
            <w:pPr>
              <w:adjustRightInd w:val="0"/>
              <w:snapToGrid w:val="0"/>
              <w:jc w:val="center"/>
              <w:rPr>
                <w:rFonts w:ascii="仿宋_GB2312" w:eastAsia="仿宋_GB2312" w:hAnsi="仿宋_GB2312" w:cs="仿宋_GB2312"/>
                <w:b/>
                <w:sz w:val="28"/>
                <w:szCs w:val="28"/>
              </w:rPr>
            </w:pPr>
            <w:r>
              <w:rPr>
                <w:rFonts w:ascii="仿宋_GB2312" w:eastAsia="仿宋_GB2312" w:hAnsi="仿宋_GB2312" w:cs="仿宋_GB2312" w:hint="eastAsia"/>
                <w:b/>
                <w:sz w:val="28"/>
                <w:szCs w:val="28"/>
              </w:rPr>
              <w:t>5</w:t>
            </w:r>
            <w:r w:rsidR="001148C3">
              <w:rPr>
                <w:rFonts w:ascii="仿宋_GB2312" w:eastAsia="仿宋_GB2312" w:hAnsi="仿宋_GB2312" w:cs="仿宋_GB2312" w:hint="eastAsia"/>
                <w:b/>
                <w:sz w:val="28"/>
                <w:szCs w:val="28"/>
              </w:rPr>
              <w:t>5</w:t>
            </w:r>
            <w:r w:rsidR="00847ED7">
              <w:rPr>
                <w:rFonts w:ascii="仿宋_GB2312" w:eastAsia="仿宋_GB2312" w:hAnsi="仿宋_GB2312" w:cs="仿宋_GB2312" w:hint="eastAsia"/>
                <w:b/>
                <w:sz w:val="28"/>
                <w:szCs w:val="28"/>
              </w:rPr>
              <w:t>.00</w:t>
            </w:r>
          </w:p>
        </w:tc>
      </w:tr>
      <w:tr w:rsidR="007D44F2">
        <w:trPr>
          <w:cantSplit/>
          <w:trHeight w:val="368"/>
        </w:trPr>
        <w:tc>
          <w:tcPr>
            <w:tcW w:w="3079" w:type="dxa"/>
            <w:tcBorders>
              <w:top w:val="single" w:sz="6" w:space="0" w:color="FFFFFF"/>
              <w:left w:val="single" w:sz="4" w:space="0" w:color="FFFFFF"/>
              <w:bottom w:val="single" w:sz="4" w:space="0" w:color="FFFFFF"/>
              <w:right w:val="single" w:sz="6" w:space="0" w:color="FFFFFF"/>
            </w:tcBorders>
            <w:shd w:val="clear" w:color="auto" w:fill="C0C0C0"/>
            <w:vAlign w:val="center"/>
          </w:tcPr>
          <w:p w:rsidR="007D44F2" w:rsidRDefault="002B3ECC">
            <w:pPr>
              <w:adjustRightInd w:val="0"/>
              <w:snapToGrid w:val="0"/>
              <w:spacing w:before="120" w:after="60" w:line="300" w:lineRule="auto"/>
              <w:jc w:val="center"/>
              <w:rPr>
                <w:rFonts w:ascii="仿宋_GB2312" w:eastAsia="仿宋_GB2312" w:hAnsi="仿宋_GB2312" w:cs="仿宋_GB2312"/>
                <w:b/>
                <w:sz w:val="28"/>
                <w:szCs w:val="28"/>
              </w:rPr>
            </w:pPr>
            <w:r>
              <w:rPr>
                <w:rFonts w:ascii="仿宋_GB2312" w:eastAsia="仿宋_GB2312" w:hAnsi="仿宋_GB2312" w:cs="仿宋_GB2312" w:hint="eastAsia"/>
                <w:b/>
                <w:sz w:val="28"/>
                <w:szCs w:val="28"/>
              </w:rPr>
              <w:t>预算管理情况</w:t>
            </w:r>
          </w:p>
        </w:tc>
        <w:tc>
          <w:tcPr>
            <w:tcW w:w="2411" w:type="dxa"/>
            <w:tcBorders>
              <w:top w:val="single" w:sz="6" w:space="0" w:color="FFFFFF"/>
              <w:left w:val="single" w:sz="6" w:space="0" w:color="FFFFFF"/>
              <w:bottom w:val="single" w:sz="4" w:space="0" w:color="FFFFFF"/>
              <w:right w:val="single" w:sz="4" w:space="0" w:color="FFFFFF"/>
            </w:tcBorders>
            <w:shd w:val="clear" w:color="auto" w:fill="C0C0C0"/>
            <w:vAlign w:val="center"/>
          </w:tcPr>
          <w:p w:rsidR="007D44F2" w:rsidRDefault="002B3ECC">
            <w:pPr>
              <w:adjustRightInd w:val="0"/>
              <w:snapToGrid w:val="0"/>
              <w:jc w:val="center"/>
              <w:rPr>
                <w:rFonts w:ascii="仿宋_GB2312" w:eastAsia="仿宋_GB2312" w:hAnsi="仿宋_GB2312" w:cs="仿宋_GB2312"/>
                <w:b/>
                <w:sz w:val="28"/>
                <w:szCs w:val="28"/>
              </w:rPr>
            </w:pPr>
            <w:r>
              <w:rPr>
                <w:rFonts w:ascii="仿宋_GB2312" w:eastAsia="仿宋_GB2312" w:hAnsi="仿宋_GB2312" w:cs="仿宋_GB2312" w:hint="eastAsia"/>
                <w:b/>
                <w:sz w:val="28"/>
                <w:szCs w:val="28"/>
              </w:rPr>
              <w:t>20.00</w:t>
            </w:r>
          </w:p>
        </w:tc>
        <w:tc>
          <w:tcPr>
            <w:tcW w:w="2995" w:type="dxa"/>
            <w:tcBorders>
              <w:top w:val="single" w:sz="6" w:space="0" w:color="FFFFFF"/>
              <w:left w:val="single" w:sz="4" w:space="0" w:color="FFFFFF"/>
              <w:bottom w:val="single" w:sz="4" w:space="0" w:color="FFFFFF"/>
              <w:right w:val="single" w:sz="4" w:space="0" w:color="FFFFFF"/>
            </w:tcBorders>
            <w:shd w:val="clear" w:color="auto" w:fill="C0C0C0"/>
            <w:vAlign w:val="center"/>
          </w:tcPr>
          <w:p w:rsidR="007D44F2" w:rsidRDefault="00915AB6" w:rsidP="00847ED7">
            <w:pPr>
              <w:adjustRightInd w:val="0"/>
              <w:snapToGrid w:val="0"/>
              <w:jc w:val="center"/>
              <w:rPr>
                <w:rFonts w:ascii="仿宋_GB2312" w:eastAsia="仿宋_GB2312" w:hAnsi="仿宋_GB2312" w:cs="仿宋_GB2312"/>
                <w:b/>
                <w:sz w:val="28"/>
                <w:szCs w:val="28"/>
              </w:rPr>
            </w:pPr>
            <w:r>
              <w:rPr>
                <w:rFonts w:ascii="仿宋_GB2312" w:eastAsia="仿宋_GB2312" w:hAnsi="仿宋_GB2312" w:cs="仿宋_GB2312" w:hint="eastAsia"/>
                <w:b/>
                <w:sz w:val="28"/>
                <w:szCs w:val="28"/>
              </w:rPr>
              <w:t>17.</w:t>
            </w:r>
            <w:r w:rsidR="00847ED7">
              <w:rPr>
                <w:rFonts w:ascii="仿宋_GB2312" w:eastAsia="仿宋_GB2312" w:hAnsi="仿宋_GB2312" w:cs="仿宋_GB2312" w:hint="eastAsia"/>
                <w:b/>
                <w:sz w:val="28"/>
                <w:szCs w:val="28"/>
              </w:rPr>
              <w:t>6</w:t>
            </w:r>
            <w:r>
              <w:rPr>
                <w:rFonts w:ascii="仿宋_GB2312" w:eastAsia="仿宋_GB2312" w:hAnsi="仿宋_GB2312" w:cs="仿宋_GB2312" w:hint="eastAsia"/>
                <w:b/>
                <w:sz w:val="28"/>
                <w:szCs w:val="28"/>
              </w:rPr>
              <w:t>0</w:t>
            </w:r>
          </w:p>
        </w:tc>
      </w:tr>
      <w:tr w:rsidR="007D44F2">
        <w:trPr>
          <w:cantSplit/>
          <w:trHeight w:val="338"/>
        </w:trPr>
        <w:tc>
          <w:tcPr>
            <w:tcW w:w="3079" w:type="dxa"/>
            <w:tcBorders>
              <w:top w:val="single" w:sz="4" w:space="0" w:color="FFFFFF"/>
              <w:left w:val="single" w:sz="4" w:space="0" w:color="FFFFFF"/>
              <w:bottom w:val="single" w:sz="4" w:space="0" w:color="FFFFFF"/>
              <w:right w:val="single" w:sz="6" w:space="0" w:color="FFFFFF"/>
            </w:tcBorders>
            <w:shd w:val="clear" w:color="auto" w:fill="C0C0C0"/>
            <w:vAlign w:val="center"/>
          </w:tcPr>
          <w:p w:rsidR="007D44F2" w:rsidRDefault="002B3ECC">
            <w:pPr>
              <w:adjustRightInd w:val="0"/>
              <w:snapToGrid w:val="0"/>
              <w:spacing w:before="120" w:after="60" w:line="300" w:lineRule="auto"/>
              <w:jc w:val="center"/>
              <w:rPr>
                <w:rFonts w:ascii="仿宋_GB2312" w:eastAsia="仿宋_GB2312" w:hAnsi="仿宋_GB2312" w:cs="仿宋_GB2312"/>
                <w:b/>
                <w:sz w:val="28"/>
                <w:szCs w:val="28"/>
              </w:rPr>
            </w:pPr>
            <w:r>
              <w:rPr>
                <w:rFonts w:ascii="仿宋_GB2312" w:eastAsia="仿宋_GB2312" w:hAnsi="仿宋_GB2312" w:cs="仿宋_GB2312" w:hint="eastAsia"/>
                <w:b/>
                <w:sz w:val="28"/>
                <w:szCs w:val="28"/>
              </w:rPr>
              <w:t>综合得分</w:t>
            </w:r>
          </w:p>
        </w:tc>
        <w:tc>
          <w:tcPr>
            <w:tcW w:w="2411" w:type="dxa"/>
            <w:tcBorders>
              <w:top w:val="single" w:sz="4" w:space="0" w:color="FFFFFF"/>
              <w:left w:val="single" w:sz="6" w:space="0" w:color="FFFFFF"/>
              <w:bottom w:val="single" w:sz="4" w:space="0" w:color="FFFFFF"/>
              <w:right w:val="single" w:sz="4" w:space="0" w:color="FFFFFF"/>
            </w:tcBorders>
            <w:shd w:val="clear" w:color="auto" w:fill="C0C0C0"/>
            <w:vAlign w:val="center"/>
          </w:tcPr>
          <w:p w:rsidR="007D44F2" w:rsidRDefault="002B3ECC">
            <w:pPr>
              <w:adjustRightInd w:val="0"/>
              <w:snapToGrid w:val="0"/>
              <w:jc w:val="center"/>
              <w:rPr>
                <w:rFonts w:ascii="仿宋_GB2312" w:eastAsia="仿宋_GB2312" w:hAnsi="仿宋_GB2312" w:cs="仿宋_GB2312"/>
                <w:b/>
                <w:sz w:val="28"/>
                <w:szCs w:val="28"/>
              </w:rPr>
            </w:pPr>
            <w:r>
              <w:rPr>
                <w:rFonts w:ascii="仿宋_GB2312" w:eastAsia="仿宋_GB2312" w:hAnsi="仿宋_GB2312" w:cs="仿宋_GB2312" w:hint="eastAsia"/>
                <w:b/>
                <w:sz w:val="28"/>
                <w:szCs w:val="28"/>
              </w:rPr>
              <w:t>100.00</w:t>
            </w:r>
          </w:p>
        </w:tc>
        <w:tc>
          <w:tcPr>
            <w:tcW w:w="2995" w:type="dxa"/>
            <w:tcBorders>
              <w:top w:val="single" w:sz="4" w:space="0" w:color="FFFFFF"/>
              <w:left w:val="single" w:sz="4" w:space="0" w:color="FFFFFF"/>
              <w:bottom w:val="single" w:sz="4" w:space="0" w:color="FFFFFF"/>
              <w:right w:val="single" w:sz="4" w:space="0" w:color="FFFFFF"/>
            </w:tcBorders>
            <w:shd w:val="clear" w:color="auto" w:fill="C0C0C0"/>
            <w:vAlign w:val="center"/>
          </w:tcPr>
          <w:p w:rsidR="007D44F2" w:rsidRDefault="001148C3" w:rsidP="00847ED7">
            <w:pPr>
              <w:adjustRightInd w:val="0"/>
              <w:snapToGrid w:val="0"/>
              <w:jc w:val="center"/>
              <w:rPr>
                <w:rFonts w:ascii="仿宋_GB2312" w:eastAsia="仿宋_GB2312" w:hAnsi="仿宋_GB2312" w:cs="仿宋_GB2312"/>
                <w:b/>
                <w:sz w:val="28"/>
                <w:szCs w:val="28"/>
              </w:rPr>
            </w:pPr>
            <w:r>
              <w:rPr>
                <w:rFonts w:ascii="仿宋_GB2312" w:eastAsia="仿宋_GB2312" w:hAnsi="仿宋_GB2312" w:cs="仿宋_GB2312" w:hint="eastAsia"/>
                <w:b/>
                <w:sz w:val="28"/>
                <w:szCs w:val="28"/>
              </w:rPr>
              <w:t>90</w:t>
            </w:r>
            <w:r w:rsidR="00847ED7">
              <w:rPr>
                <w:rFonts w:ascii="仿宋_GB2312" w:eastAsia="仿宋_GB2312" w:hAnsi="仿宋_GB2312" w:cs="仿宋_GB2312" w:hint="eastAsia"/>
                <w:b/>
                <w:sz w:val="28"/>
                <w:szCs w:val="28"/>
              </w:rPr>
              <w:t>.6</w:t>
            </w:r>
            <w:r w:rsidR="002B3ECC">
              <w:rPr>
                <w:rFonts w:ascii="仿宋_GB2312" w:eastAsia="仿宋_GB2312" w:hAnsi="仿宋_GB2312" w:cs="仿宋_GB2312" w:hint="eastAsia"/>
                <w:b/>
                <w:sz w:val="28"/>
                <w:szCs w:val="28"/>
              </w:rPr>
              <w:t>0</w:t>
            </w:r>
          </w:p>
        </w:tc>
      </w:tr>
      <w:tr w:rsidR="007D44F2">
        <w:trPr>
          <w:cantSplit/>
          <w:trHeight w:val="198"/>
        </w:trPr>
        <w:tc>
          <w:tcPr>
            <w:tcW w:w="3079" w:type="dxa"/>
            <w:tcBorders>
              <w:top w:val="single" w:sz="4" w:space="0" w:color="FFFFFF"/>
              <w:left w:val="single" w:sz="4" w:space="0" w:color="FFFFFF"/>
              <w:bottom w:val="single" w:sz="4" w:space="0" w:color="FFFFFF"/>
              <w:right w:val="single" w:sz="6" w:space="0" w:color="FFFFFF"/>
            </w:tcBorders>
            <w:shd w:val="clear" w:color="auto" w:fill="C0C0C0"/>
            <w:vAlign w:val="center"/>
          </w:tcPr>
          <w:p w:rsidR="007D44F2" w:rsidRDefault="002B3ECC">
            <w:pPr>
              <w:adjustRightInd w:val="0"/>
              <w:snapToGrid w:val="0"/>
              <w:spacing w:before="120" w:after="60" w:line="300" w:lineRule="auto"/>
              <w:jc w:val="center"/>
              <w:rPr>
                <w:rFonts w:ascii="仿宋_GB2312" w:eastAsia="仿宋_GB2312" w:hAnsi="仿宋_GB2312" w:cs="仿宋_GB2312"/>
                <w:b/>
                <w:sz w:val="28"/>
                <w:szCs w:val="28"/>
              </w:rPr>
            </w:pPr>
            <w:r>
              <w:rPr>
                <w:rFonts w:ascii="仿宋_GB2312" w:eastAsia="仿宋_GB2312" w:hAnsi="仿宋_GB2312" w:cs="仿宋_GB2312" w:hint="eastAsia"/>
                <w:b/>
                <w:sz w:val="28"/>
                <w:szCs w:val="28"/>
              </w:rPr>
              <w:t>绩效评定级别</w:t>
            </w:r>
          </w:p>
        </w:tc>
        <w:tc>
          <w:tcPr>
            <w:tcW w:w="5406" w:type="dxa"/>
            <w:gridSpan w:val="2"/>
            <w:tcBorders>
              <w:top w:val="single" w:sz="4" w:space="0" w:color="FFFFFF"/>
              <w:left w:val="single" w:sz="6" w:space="0" w:color="FFFFFF"/>
              <w:bottom w:val="single" w:sz="4" w:space="0" w:color="FFFFFF"/>
              <w:right w:val="single" w:sz="4" w:space="0" w:color="FFFFFF"/>
            </w:tcBorders>
            <w:shd w:val="clear" w:color="auto" w:fill="C0C0C0"/>
            <w:vAlign w:val="center"/>
          </w:tcPr>
          <w:p w:rsidR="007D44F2" w:rsidRDefault="002B3ECC">
            <w:pPr>
              <w:adjustRightInd w:val="0"/>
              <w:snapToGrid w:val="0"/>
              <w:jc w:val="center"/>
              <w:rPr>
                <w:rFonts w:ascii="仿宋_GB2312" w:eastAsia="仿宋_GB2312" w:hAnsi="仿宋_GB2312" w:cs="仿宋_GB2312"/>
                <w:b/>
                <w:sz w:val="28"/>
                <w:szCs w:val="28"/>
              </w:rPr>
            </w:pPr>
            <w:r>
              <w:rPr>
                <w:rFonts w:ascii="仿宋_GB2312" w:eastAsia="仿宋_GB2312" w:hAnsi="仿宋_GB2312" w:cs="仿宋_GB2312" w:hint="eastAsia"/>
                <w:b/>
                <w:sz w:val="28"/>
                <w:szCs w:val="28"/>
              </w:rPr>
              <w:t>优</w:t>
            </w:r>
          </w:p>
        </w:tc>
      </w:tr>
    </w:tbl>
    <w:p w:rsidR="007D44F2" w:rsidRDefault="002B3ECC" w:rsidP="00574EFC">
      <w:pPr>
        <w:spacing w:line="600" w:lineRule="exact"/>
        <w:ind w:left="103" w:hangingChars="32" w:hanging="103"/>
        <w:jc w:val="center"/>
        <w:rPr>
          <w:rFonts w:ascii="楷体_GB2312" w:eastAsia="仿宋_GB2312"/>
          <w:b/>
          <w:bCs/>
          <w:sz w:val="32"/>
          <w:szCs w:val="32"/>
        </w:rPr>
      </w:pPr>
      <w:r>
        <w:rPr>
          <w:rFonts w:ascii="仿宋_GB2312" w:eastAsia="仿宋_GB2312" w:hAnsi="宋体" w:cs="宋体" w:hint="eastAsia"/>
          <w:b/>
          <w:bCs/>
          <w:kern w:val="0"/>
          <w:sz w:val="32"/>
          <w:szCs w:val="32"/>
        </w:rPr>
        <w:t>部门整体支出绩效评价结论一览表</w:t>
      </w:r>
    </w:p>
    <w:p w:rsidR="007D44F2" w:rsidRDefault="002B3ECC">
      <w:pPr>
        <w:spacing w:line="600" w:lineRule="exact"/>
        <w:ind w:firstLineChars="200" w:firstLine="640"/>
        <w:rPr>
          <w:rFonts w:ascii="楷体_GB2312" w:eastAsia="楷体_GB2312"/>
          <w:sz w:val="32"/>
          <w:szCs w:val="32"/>
        </w:rPr>
      </w:pPr>
      <w:r>
        <w:rPr>
          <w:rFonts w:ascii="楷体_GB2312" w:eastAsia="楷体_GB2312" w:hint="eastAsia"/>
          <w:sz w:val="32"/>
          <w:szCs w:val="32"/>
        </w:rPr>
        <w:t>（二）存在的问题及原因分析</w:t>
      </w:r>
    </w:p>
    <w:p w:rsidR="007D44F2" w:rsidRDefault="002B3ECC">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部分项目绩效指标存在受疫情及政策等原因的影响，启动实施时间延迟的情况，实施计划性有待提升；个别项目年度指标值较实际完成值设定偏低，指标设定科学性有待加强。</w:t>
      </w:r>
    </w:p>
    <w:p w:rsidR="007D44F2" w:rsidRDefault="002B3ECC">
      <w:pPr>
        <w:spacing w:line="600" w:lineRule="exact"/>
        <w:ind w:firstLineChars="200" w:firstLine="640"/>
        <w:outlineLvl w:val="0"/>
        <w:rPr>
          <w:rFonts w:ascii="仿宋_GB2312" w:eastAsia="仿宋_GB2312" w:hAnsi="宋体" w:cs="宋体"/>
          <w:kern w:val="0"/>
          <w:sz w:val="32"/>
          <w:szCs w:val="32"/>
        </w:rPr>
      </w:pPr>
      <w:r>
        <w:rPr>
          <w:rFonts w:ascii="黑体" w:eastAsia="黑体" w:hAnsi="黑体" w:cs="宋体" w:hint="eastAsia"/>
          <w:kern w:val="0"/>
          <w:sz w:val="32"/>
          <w:szCs w:val="32"/>
        </w:rPr>
        <w:t>六、措施建议</w:t>
      </w:r>
    </w:p>
    <w:p w:rsidR="007D44F2" w:rsidRDefault="002B3ECC">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建议在编制绩效指标时，加强需求调研及项目前期论证，对项目实施过程中可能出现的潜在风险合理预判，督促项目实施进度，切实保障项目有序、有效运行；明确各主要工作任务的功能特性，围绕核心工作，从中概括、提炼出最能反映项目预期实现程度的关键性指标，将其确定为相应的绩效指标，并通过收集资料相关基础数据，确定绩效标准，结合预期进展，预计投入等情况，确定绩效</w:t>
      </w:r>
      <w:bookmarkStart w:id="0" w:name="_GoBack"/>
      <w:bookmarkEnd w:id="0"/>
      <w:r>
        <w:rPr>
          <w:rFonts w:ascii="仿宋_GB2312" w:eastAsia="仿宋_GB2312" w:hAnsi="宋体" w:cs="宋体" w:hint="eastAsia"/>
          <w:kern w:val="0"/>
          <w:sz w:val="32"/>
          <w:szCs w:val="32"/>
        </w:rPr>
        <w:t>指标的具体数值。</w:t>
      </w:r>
    </w:p>
    <w:sectPr w:rsidR="007D44F2">
      <w:footerReference w:type="default" r:id="rId9"/>
      <w:pgSz w:w="11906" w:h="16838"/>
      <w:pgMar w:top="1911" w:right="1474" w:bottom="1882" w:left="1588" w:header="851" w:footer="992" w:gutter="0"/>
      <w:pgNumType w:fmt="numberInDash"/>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73F2" w:rsidRDefault="002B3ECC">
      <w:r>
        <w:separator/>
      </w:r>
    </w:p>
  </w:endnote>
  <w:endnote w:type="continuationSeparator" w:id="0">
    <w:p w:rsidR="003B73F2" w:rsidRDefault="002B3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方正小标宋简体">
    <w:altName w:val="Arial Unicode MS"/>
    <w:charset w:val="86"/>
    <w:family w:val="script"/>
    <w:pitch w:val="default"/>
    <w:sig w:usb0="00000000" w:usb1="184F6CFA" w:usb2="00000012" w:usb3="00000000" w:csb0="00040001" w:csb1="00000000"/>
  </w:font>
  <w:font w:name="楷体_GB2312">
    <w:altName w:val="楷体"/>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44F2" w:rsidRDefault="007D44F2">
    <w:pPr>
      <w:pStyle w:val="a6"/>
      <w:jc w:val="right"/>
      <w:rPr>
        <w:rFonts w:ascii="宋体" w:hAnsi="宋体"/>
        <w:sz w:val="28"/>
        <w:szCs w:val="28"/>
      </w:rPr>
    </w:pPr>
  </w:p>
  <w:p w:rsidR="007D44F2" w:rsidRDefault="007D44F2">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44F2" w:rsidRDefault="002B3ECC">
    <w:pPr>
      <w:pStyle w:val="a6"/>
      <w:jc w:val="right"/>
      <w:rPr>
        <w:rFonts w:ascii="宋体" w:hAnsi="宋体"/>
        <w:sz w:val="28"/>
        <w:szCs w:val="28"/>
      </w:rPr>
    </w:pPr>
    <w:r>
      <w:rPr>
        <w:noProof/>
        <w:sz w:val="2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rsidR="007D44F2" w:rsidRDefault="002B3ECC">
                          <w:pPr>
                            <w:pStyle w:val="a6"/>
                            <w:jc w:val="right"/>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001148C3" w:rsidRPr="001148C3">
                            <w:rPr>
                              <w:rFonts w:ascii="宋体" w:hAnsi="宋体"/>
                              <w:noProof/>
                              <w:sz w:val="28"/>
                              <w:szCs w:val="28"/>
                              <w:lang w:val="zh-CN"/>
                            </w:rPr>
                            <w:t>-</w:t>
                          </w:r>
                          <w:r w:rsidR="001148C3">
                            <w:rPr>
                              <w:rFonts w:ascii="宋体" w:hAnsi="宋体"/>
                              <w:noProof/>
                              <w:sz w:val="28"/>
                              <w:szCs w:val="28"/>
                            </w:rPr>
                            <w:t xml:space="preserve"> 7 -</w:t>
                          </w:r>
                          <w:r>
                            <w:rPr>
                              <w:rFonts w:ascii="宋体" w:hAnsi="宋体"/>
                              <w:sz w:val="28"/>
                              <w:szCs w:val="2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" filled="f" stroked="f" strokeweight=".5pt">
              <v:textbox style="mso-fit-shape-to-text:t" inset="0,0,0,0">
                <w:txbxContent>
                  <w:p w:rsidR="007D44F2" w:rsidRDefault="002B3ECC">
                    <w:pPr>
                      <w:pStyle w:val="a6"/>
                      <w:jc w:val="right"/>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001148C3" w:rsidRPr="001148C3">
                      <w:rPr>
                        <w:rFonts w:ascii="宋体" w:hAnsi="宋体"/>
                        <w:noProof/>
                        <w:sz w:val="28"/>
                        <w:szCs w:val="28"/>
                        <w:lang w:val="zh-CN"/>
                      </w:rPr>
                      <w:t>-</w:t>
                    </w:r>
                    <w:r w:rsidR="001148C3">
                      <w:rPr>
                        <w:rFonts w:ascii="宋体" w:hAnsi="宋体"/>
                        <w:noProof/>
                        <w:sz w:val="28"/>
                        <w:szCs w:val="28"/>
                      </w:rPr>
                      <w:t xml:space="preserve"> 7 -</w:t>
                    </w:r>
                    <w:r>
                      <w:rPr>
                        <w:rFonts w:ascii="宋体" w:hAnsi="宋体"/>
                        <w:sz w:val="28"/>
                        <w:szCs w:val="28"/>
                      </w:rPr>
                      <w:fldChar w:fldCharType="end"/>
                    </w:r>
                  </w:p>
                </w:txbxContent>
              </v:textbox>
              <w10:wrap anchorx="margin"/>
            </v:shape>
          </w:pict>
        </mc:Fallback>
      </mc:AlternateContent>
    </w:r>
  </w:p>
  <w:p w:rsidR="007D44F2" w:rsidRDefault="007D44F2">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73F2" w:rsidRDefault="002B3ECC">
      <w:r>
        <w:separator/>
      </w:r>
    </w:p>
  </w:footnote>
  <w:footnote w:type="continuationSeparator" w:id="0">
    <w:p w:rsidR="003B73F2" w:rsidRDefault="002B3EC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E6F9A18"/>
    <w:rsid w:val="FE6F9A18"/>
    <w:rsid w:val="13FB3EAF"/>
    <w:rsid w:val="1FEF42D1"/>
    <w:rsid w:val="3BFF733F"/>
    <w:rsid w:val="55CF1C75"/>
    <w:rsid w:val="55DF084D"/>
    <w:rsid w:val="59FF87CE"/>
    <w:rsid w:val="5BEF01CA"/>
    <w:rsid w:val="6FEDF74F"/>
    <w:rsid w:val="767F3035"/>
    <w:rsid w:val="77FFBDFC"/>
    <w:rsid w:val="78BF7056"/>
    <w:rsid w:val="7C77B8D7"/>
    <w:rsid w:val="7EADD508"/>
    <w:rsid w:val="7EB3F0A4"/>
    <w:rsid w:val="7EF6A610"/>
    <w:rsid w:val="7F6754CA"/>
    <w:rsid w:val="7FB78CCF"/>
    <w:rsid w:val="7FBE8907"/>
    <w:rsid w:val="7FEF54A5"/>
    <w:rsid w:val="AA3BF02A"/>
    <w:rsid w:val="B76D107F"/>
    <w:rsid w:val="B9FFE08E"/>
    <w:rsid w:val="BFDD2A33"/>
    <w:rsid w:val="BFDD3452"/>
    <w:rsid w:val="BFFF8F89"/>
    <w:rsid w:val="C5B63C33"/>
    <w:rsid w:val="CEFF7995"/>
    <w:rsid w:val="DBFD8AB5"/>
    <w:rsid w:val="DD7EAED2"/>
    <w:rsid w:val="E3773DB9"/>
    <w:rsid w:val="E7D6ED8A"/>
    <w:rsid w:val="EBB4B6C7"/>
    <w:rsid w:val="EDD9A1F6"/>
    <w:rsid w:val="EDDB463A"/>
    <w:rsid w:val="EDFFA5F8"/>
    <w:rsid w:val="F1DDEACA"/>
    <w:rsid w:val="F3AFC4DF"/>
    <w:rsid w:val="F6FEE71D"/>
    <w:rsid w:val="F7E7A13B"/>
    <w:rsid w:val="FBAB102B"/>
    <w:rsid w:val="FBDE8A1A"/>
    <w:rsid w:val="FDBF6539"/>
    <w:rsid w:val="FE6F9A18"/>
    <w:rsid w:val="FEB3D5CB"/>
    <w:rsid w:val="FFBD8EAF"/>
    <w:rsid w:val="FFE1C8E8"/>
    <w:rsid w:val="FFE6E76A"/>
    <w:rsid w:val="FFFFE134"/>
    <w:rsid w:val="001148C3"/>
    <w:rsid w:val="002B3ECC"/>
    <w:rsid w:val="003B73F2"/>
    <w:rsid w:val="00574EFC"/>
    <w:rsid w:val="007D44F2"/>
    <w:rsid w:val="00847ED7"/>
    <w:rsid w:val="00915AB6"/>
    <w:rsid w:val="00FF20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annotation text" w:qFormat="1"/>
    <w:lsdException w:name="footer" w:uiPriority="99"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hAnsi="Times New Roman"/>
      <w:kern w:val="2"/>
      <w:sz w:val="21"/>
      <w:szCs w:val="24"/>
    </w:rPr>
  </w:style>
  <w:style w:type="paragraph" w:styleId="2">
    <w:name w:val="heading 2"/>
    <w:basedOn w:val="a"/>
    <w:next w:val="a"/>
    <w:unhideWhenUsed/>
    <w:qFormat/>
    <w:pPr>
      <w:keepNext/>
      <w:keepLines/>
      <w:spacing w:beforeAutospacing="1" w:afterAutospacing="1"/>
      <w:ind w:firstLineChars="200" w:firstLine="720"/>
      <w:outlineLvl w:val="1"/>
    </w:pPr>
    <w:rPr>
      <w:rFonts w:ascii="Cambria" w:eastAsia="黑体" w:hAnsi="Cambria"/>
      <w:b/>
      <w:bCs/>
      <w:kern w:val="0"/>
      <w:sz w:val="36"/>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qFormat/>
    <w:pPr>
      <w:widowControl w:val="0"/>
      <w:ind w:firstLine="420"/>
      <w:jc w:val="both"/>
    </w:pPr>
    <w:rPr>
      <w:rFonts w:ascii="Times New Roman" w:hAnsi="Times New Roman"/>
      <w:kern w:val="2"/>
      <w:sz w:val="21"/>
    </w:rPr>
  </w:style>
  <w:style w:type="paragraph" w:styleId="a4">
    <w:name w:val="annotation text"/>
    <w:basedOn w:val="a"/>
    <w:qFormat/>
    <w:pPr>
      <w:jc w:val="left"/>
    </w:pPr>
  </w:style>
  <w:style w:type="paragraph" w:styleId="a5">
    <w:name w:val="Body Text"/>
    <w:basedOn w:val="a"/>
    <w:next w:val="a"/>
    <w:link w:val="Char"/>
    <w:qFormat/>
    <w:pPr>
      <w:ind w:firstLineChars="200" w:firstLine="640"/>
    </w:pPr>
    <w:rPr>
      <w:szCs w:val="22"/>
    </w:rPr>
  </w:style>
  <w:style w:type="paragraph" w:styleId="a6">
    <w:name w:val="footer"/>
    <w:uiPriority w:val="99"/>
    <w:qFormat/>
    <w:pPr>
      <w:widowControl w:val="0"/>
      <w:tabs>
        <w:tab w:val="center" w:pos="4153"/>
        <w:tab w:val="right" w:pos="8306"/>
      </w:tabs>
      <w:snapToGrid w:val="0"/>
    </w:pPr>
    <w:rPr>
      <w:rFonts w:ascii="Times New Roman" w:hAnsi="Times New Roman"/>
      <w:kern w:val="2"/>
      <w:sz w:val="18"/>
    </w:rPr>
  </w:style>
  <w:style w:type="character" w:customStyle="1" w:styleId="Char">
    <w:name w:val="正文文本 Char"/>
    <w:link w:val="a5"/>
    <w:qFormat/>
    <w:rPr>
      <w:rFonts w:ascii="仿宋_GB2312" w:eastAsia="仿宋_GB2312" w:hAnsi="仿宋_GB2312" w:cs="Times New Roman"/>
      <w:kern w:val="2"/>
      <w:sz w:val="36"/>
      <w:szCs w:val="22"/>
      <w:lang w:val="en-US" w:eastAsia="zh-CN" w:bidi="ar-SA"/>
    </w:rPr>
  </w:style>
  <w:style w:type="paragraph" w:styleId="a7">
    <w:name w:val="header"/>
    <w:basedOn w:val="a"/>
    <w:link w:val="Char0"/>
    <w:rsid w:val="00574EF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rsid w:val="00574EFC"/>
    <w:rPr>
      <w:rFonts w:ascii="Times New Roman" w:hAnsi="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annotation text" w:qFormat="1"/>
    <w:lsdException w:name="footer" w:uiPriority="99"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hAnsi="Times New Roman"/>
      <w:kern w:val="2"/>
      <w:sz w:val="21"/>
      <w:szCs w:val="24"/>
    </w:rPr>
  </w:style>
  <w:style w:type="paragraph" w:styleId="2">
    <w:name w:val="heading 2"/>
    <w:basedOn w:val="a"/>
    <w:next w:val="a"/>
    <w:unhideWhenUsed/>
    <w:qFormat/>
    <w:pPr>
      <w:keepNext/>
      <w:keepLines/>
      <w:spacing w:beforeAutospacing="1" w:afterAutospacing="1"/>
      <w:ind w:firstLineChars="200" w:firstLine="720"/>
      <w:outlineLvl w:val="1"/>
    </w:pPr>
    <w:rPr>
      <w:rFonts w:ascii="Cambria" w:eastAsia="黑体" w:hAnsi="Cambria"/>
      <w:b/>
      <w:bCs/>
      <w:kern w:val="0"/>
      <w:sz w:val="36"/>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qFormat/>
    <w:pPr>
      <w:widowControl w:val="0"/>
      <w:ind w:firstLine="420"/>
      <w:jc w:val="both"/>
    </w:pPr>
    <w:rPr>
      <w:rFonts w:ascii="Times New Roman" w:hAnsi="Times New Roman"/>
      <w:kern w:val="2"/>
      <w:sz w:val="21"/>
    </w:rPr>
  </w:style>
  <w:style w:type="paragraph" w:styleId="a4">
    <w:name w:val="annotation text"/>
    <w:basedOn w:val="a"/>
    <w:qFormat/>
    <w:pPr>
      <w:jc w:val="left"/>
    </w:pPr>
  </w:style>
  <w:style w:type="paragraph" w:styleId="a5">
    <w:name w:val="Body Text"/>
    <w:basedOn w:val="a"/>
    <w:next w:val="a"/>
    <w:link w:val="Char"/>
    <w:qFormat/>
    <w:pPr>
      <w:ind w:firstLineChars="200" w:firstLine="640"/>
    </w:pPr>
    <w:rPr>
      <w:szCs w:val="22"/>
    </w:rPr>
  </w:style>
  <w:style w:type="paragraph" w:styleId="a6">
    <w:name w:val="footer"/>
    <w:uiPriority w:val="99"/>
    <w:qFormat/>
    <w:pPr>
      <w:widowControl w:val="0"/>
      <w:tabs>
        <w:tab w:val="center" w:pos="4153"/>
        <w:tab w:val="right" w:pos="8306"/>
      </w:tabs>
      <w:snapToGrid w:val="0"/>
    </w:pPr>
    <w:rPr>
      <w:rFonts w:ascii="Times New Roman" w:hAnsi="Times New Roman"/>
      <w:kern w:val="2"/>
      <w:sz w:val="18"/>
    </w:rPr>
  </w:style>
  <w:style w:type="character" w:customStyle="1" w:styleId="Char">
    <w:name w:val="正文文本 Char"/>
    <w:link w:val="a5"/>
    <w:qFormat/>
    <w:rPr>
      <w:rFonts w:ascii="仿宋_GB2312" w:eastAsia="仿宋_GB2312" w:hAnsi="仿宋_GB2312" w:cs="Times New Roman"/>
      <w:kern w:val="2"/>
      <w:sz w:val="36"/>
      <w:szCs w:val="22"/>
      <w:lang w:val="en-US" w:eastAsia="zh-CN" w:bidi="ar-SA"/>
    </w:rPr>
  </w:style>
  <w:style w:type="paragraph" w:styleId="a7">
    <w:name w:val="header"/>
    <w:basedOn w:val="a"/>
    <w:link w:val="Char0"/>
    <w:rsid w:val="00574EF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rsid w:val="00574EFC"/>
    <w:rPr>
      <w:rFonts w:ascii="Times New Roman"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8</Pages>
  <Words>3503</Words>
  <Characters>352</Characters>
  <Application>Microsoft Office Word</Application>
  <DocSecurity>0</DocSecurity>
  <Lines>2</Lines>
  <Paragraphs>7</Paragraphs>
  <ScaleCrop>false</ScaleCrop>
  <Company/>
  <LinksUpToDate>false</LinksUpToDate>
  <CharactersWithSpaces>3848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asdc</cp:lastModifiedBy>
  <cp:revision>7</cp:revision>
  <cp:lastPrinted>2023-09-14T06:54:00Z</cp:lastPrinted>
  <dcterms:created xsi:type="dcterms:W3CDTF">2023-09-14T02:51:00Z</dcterms:created>
  <dcterms:modified xsi:type="dcterms:W3CDTF">2023-09-15T03:09:00Z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