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（</w:t>
            </w:r>
            <w:r>
              <w:rPr>
                <w:rFonts w:ascii="宋体" w:hAnsi="宋体" w:eastAsia="宋体" w:cs="宋体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2022</w:t>
            </w:r>
            <w:r>
              <w:rPr>
                <w:rFonts w:ascii="宋体" w:hAnsi="宋体" w:eastAsia="宋体" w:cs="宋体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4" w:lineRule="auto"/>
              <w:ind w:left="375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8"/>
                <w:sz w:val="12"/>
                <w:szCs w:val="12"/>
              </w:rPr>
              <w:t>心理咨询疏导服务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马思卓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3" w:line="194" w:lineRule="auto"/>
              <w:ind w:left="29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12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3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12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12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spacing w:before="73" w:line="194" w:lineRule="auto"/>
              <w:ind w:left="3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其中：</w:t>
            </w:r>
            <w:r>
              <w:rPr>
                <w:rFonts w:ascii="宋体" w:hAnsi="宋体" w:eastAsia="宋体" w:cs="宋体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3" w:line="194" w:lineRule="auto"/>
              <w:ind w:left="29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12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3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12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12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年度总体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目标1：社会组织、心理疏导机构参与信访接待工作，辅助矛盾纠纷的调解，对长期缠访人员进行心理疏导；</w:t>
            </w:r>
          </w:p>
          <w:p>
            <w:pPr>
              <w:pStyle w:val="5"/>
              <w:spacing w:line="215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目标2：深入社区配合做好矛盾化解工作。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目标1：已完成社会组织、心理疏导机构参与信访接待工作，辅助矛盾纠纷的调解，对长期缠访人员进行心理疏导；</w:t>
            </w:r>
          </w:p>
          <w:p>
            <w:pPr>
              <w:pStyle w:val="5"/>
              <w:spacing w:line="215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目标2：已完成年度深入社区配合做好矛盾化解工作。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宋体" w:hAnsi="宋体" w:eastAsia="宋体" w:cs="宋体"/>
                <w:spacing w:val="2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4" w:line="229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指标1：聘请数量</w:t>
            </w:r>
          </w:p>
        </w:tc>
        <w:tc>
          <w:tcPr>
            <w:tcW w:w="691" w:type="dxa"/>
            <w:vAlign w:val="top"/>
          </w:tcPr>
          <w:p>
            <w:pPr>
              <w:spacing w:before="76" w:line="194" w:lineRule="auto"/>
              <w:ind w:left="32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</w:t>
            </w:r>
          </w:p>
        </w:tc>
        <w:tc>
          <w:tcPr>
            <w:tcW w:w="691" w:type="dxa"/>
            <w:vAlign w:val="top"/>
          </w:tcPr>
          <w:p>
            <w:pPr>
              <w:spacing w:before="76" w:line="194" w:lineRule="auto"/>
              <w:ind w:left="32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6" w:line="235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指标1：完成当日咨询任务</w:t>
            </w:r>
          </w:p>
        </w:tc>
        <w:tc>
          <w:tcPr>
            <w:tcW w:w="691" w:type="dxa"/>
            <w:vAlign w:val="top"/>
          </w:tcPr>
          <w:p>
            <w:pPr>
              <w:spacing w:before="57" w:line="242" w:lineRule="auto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57" w:line="242" w:lineRule="auto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8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8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指标1：项目总支出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6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≥100%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1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3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84" w:line="243" w:lineRule="auto"/>
              <w:ind w:left="217" w:right="82" w:hanging="1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生态效益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65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9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3" w:line="207" w:lineRule="auto"/>
              <w:ind w:left="1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1" w:line="233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指标1：做好矛盾化解工作</w:t>
            </w:r>
          </w:p>
        </w:tc>
        <w:tc>
          <w:tcPr>
            <w:tcW w:w="691" w:type="dxa"/>
            <w:vAlign w:val="top"/>
          </w:tcPr>
          <w:p>
            <w:pPr>
              <w:spacing w:before="121" w:line="164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121" w:line="165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42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42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3" w:line="234" w:lineRule="auto"/>
              <w:ind w:left="1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4" w:lineRule="auto"/>
              <w:ind w:left="217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3" w:line="192" w:lineRule="auto"/>
              <w:ind w:left="84" w:right="8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服务对象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90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指标1：群众满意度</w:t>
            </w:r>
          </w:p>
        </w:tc>
        <w:tc>
          <w:tcPr>
            <w:tcW w:w="691" w:type="dxa"/>
            <w:vAlign w:val="top"/>
          </w:tcPr>
          <w:p>
            <w:pPr>
              <w:spacing w:before="90" w:line="164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90" w:line="165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2" w:line="194" w:lineRule="auto"/>
              <w:ind w:left="60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2" w:line="194" w:lineRule="auto"/>
              <w:ind w:left="60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3D9CC2FE"/>
    <w:rsid w:val="60422D59"/>
    <w:rsid w:val="77CE07C6"/>
    <w:rsid w:val="7F3B1A70"/>
    <w:rsid w:val="BFFFEC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Office_11.8.2.8555_F1E327BC-269C-435d-A152-05C5408002CA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2023-09-13T14:38:00Z</dcterms:created>
  <dc:creator>user</dc:creator>
  <cp:lastModifiedBy>Administrator</cp:lastModifiedBy>
  <dcterms:modified xsi:type="dcterms:W3CDTF">2010-12-31T23:52:33Z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2023-09-12T22:30:26Z</vt:filetime>
  </property>
  <property fmtid="{D5CDD505-2E9C-101B-9397-08002B2CF9AE}" pid="4" name="KSOProductBuildVer">
    <vt:lpwstr>2052-11.8.2.8555</vt:lpwstr>
  </property>
</Properties>
</file>