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中共北京市委城市副中心工作委员会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北京城市副中心管理委员会关于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印发《202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年北京城市副中心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重大工程行动计划》的通知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副中心工委发</w:t>
      </w:r>
      <w:r>
        <w:rPr>
          <w:rFonts w:hint="eastAsia" w:ascii="仿宋_GB2312" w:hAnsi="宋体" w:eastAsia="仿宋_GB2312" w:cs="仿宋_GB2312"/>
          <w:sz w:val="32"/>
          <w:szCs w:val="32"/>
        </w:rPr>
        <w:t>〔</w:t>
      </w:r>
      <w:r>
        <w:rPr>
          <w:rFonts w:ascii="仿宋_GB2312" w:hAnsi="宋体" w:eastAsia="仿宋_GB2312" w:cs="仿宋_GB231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spacing w:val="-1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方正小标宋简体" w:hAnsi="方正小标宋简体" w:eastAsia="方正小标宋简体" w:cs="方正小标宋简体"/>
          <w:spacing w:val="-1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各相关单位：</w:t>
      </w:r>
    </w:p>
    <w:p>
      <w:pPr>
        <w:spacing w:before="172" w:line="225" w:lineRule="auto"/>
        <w:ind w:firstLine="640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年北京城市副中心重大工程行动计划》已于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日经市委常委会会议审议通过，现印发给你们，请认真组织实施。</w:t>
      </w:r>
    </w:p>
    <w:p>
      <w:pPr>
        <w:spacing w:line="640" w:lineRule="exact"/>
        <w:jc w:val="center"/>
        <w:rPr>
          <w:rFonts w:hint="eastAsia" w:ascii="楷体" w:hAnsi="楷体" w:eastAsia="楷体" w:cs="楷体"/>
          <w:spacing w:val="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3949065</wp:posOffset>
                </wp:positionH>
                <wp:positionV relativeFrom="page">
                  <wp:posOffset>6461125</wp:posOffset>
                </wp:positionV>
                <wp:extent cx="1851660" cy="115443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304" w:lineRule="auto"/>
                              <w:ind w:left="99" w:right="187"/>
                              <w:rPr>
                                <w:rFonts w:hint="eastAsia" w:ascii="仿宋_GB2312" w:hAnsi="仿宋_GB2312" w:eastAsia="仿宋_GB2312" w:cs="仿宋_GB2312"/>
                                <w:spacing w:val="-1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3"/>
                                <w:sz w:val="32"/>
                                <w:szCs w:val="32"/>
                              </w:rPr>
                              <w:t>北京城市副中心</w:t>
                            </w:r>
                          </w:p>
                          <w:p>
                            <w:pPr>
                              <w:spacing w:before="19" w:line="304" w:lineRule="auto"/>
                              <w:ind w:left="99" w:right="187"/>
                              <w:rPr>
                                <w:rFonts w:hint="eastAsia" w:ascii="仿宋_GB2312" w:hAnsi="仿宋_GB2312" w:eastAsia="仿宋_GB2312" w:cs="仿宋_GB2312"/>
                                <w:spacing w:val="-2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2"/>
                                <w:sz w:val="32"/>
                                <w:szCs w:val="32"/>
                              </w:rPr>
                              <w:t>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6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2"/>
                                <w:sz w:val="32"/>
                                <w:szCs w:val="32"/>
                              </w:rPr>
                              <w:t>理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2"/>
                                <w:sz w:val="32"/>
                                <w:szCs w:val="32"/>
                              </w:rPr>
                              <w:t>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2"/>
                                <w:sz w:val="32"/>
                                <w:szCs w:val="32"/>
                              </w:rPr>
                              <w:t>员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2"/>
                                <w:sz w:val="32"/>
                                <w:szCs w:val="32"/>
                              </w:rPr>
                              <w:t>会</w:t>
                            </w:r>
                          </w:p>
                          <w:p>
                            <w:pPr>
                              <w:spacing w:line="225" w:lineRule="auto"/>
                              <w:ind w:left="401" w:leftChars="9" w:hanging="382" w:hangingChars="100"/>
                              <w:rPr>
                                <w:rFonts w:ascii="楷体" w:hAnsi="楷体" w:eastAsia="楷体" w:cs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31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  <w:p>
                            <w:pPr>
                              <w:spacing w:before="19" w:line="304" w:lineRule="auto"/>
                              <w:ind w:left="99" w:right="187"/>
                              <w:rPr>
                                <w:rFonts w:ascii="楷体" w:hAnsi="楷体" w:eastAsia="楷体" w:cs="楷体"/>
                                <w:spacing w:val="-22"/>
                                <w:sz w:val="31"/>
                                <w:szCs w:val="31"/>
                              </w:rPr>
                            </w:pPr>
                          </w:p>
                          <w:p>
                            <w:pPr>
                              <w:spacing w:line="225" w:lineRule="auto"/>
                              <w:ind w:left="20"/>
                              <w:rPr>
                                <w:rFonts w:ascii="楷体" w:hAnsi="楷体" w:eastAsia="楷体" w:cs="楷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31"/>
                                <w:sz w:val="31"/>
                                <w:szCs w:val="31"/>
                              </w:rPr>
                              <w:t>2022年2月24日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95pt;margin-top:508.75pt;height:90.9pt;width:145.8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+LF1I2gAAAA0BAAAPAAAAAAAAAAEAIAAAACIAAABkcnMvZG93bnJldi54bWxQ&#10;SwECFAAUAAAACACHTuJAfTRTBr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304" w:lineRule="auto"/>
                        <w:ind w:left="99" w:right="187"/>
                        <w:rPr>
                          <w:rFonts w:hint="eastAsia" w:ascii="仿宋_GB2312" w:hAnsi="仿宋_GB2312" w:eastAsia="仿宋_GB2312" w:cs="仿宋_GB2312"/>
                          <w:spacing w:val="-13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13"/>
                          <w:sz w:val="32"/>
                          <w:szCs w:val="32"/>
                        </w:rPr>
                        <w:t>北京城市副中心</w:t>
                      </w:r>
                    </w:p>
                    <w:p>
                      <w:pPr>
                        <w:spacing w:before="19" w:line="304" w:lineRule="auto"/>
                        <w:ind w:left="99" w:right="187"/>
                        <w:rPr>
                          <w:rFonts w:hint="eastAsia" w:ascii="仿宋_GB2312" w:hAnsi="仿宋_GB2312" w:eastAsia="仿宋_GB2312" w:cs="仿宋_GB2312"/>
                          <w:spacing w:val="-2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22"/>
                          <w:sz w:val="32"/>
                          <w:szCs w:val="32"/>
                        </w:rPr>
                        <w:t>管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2"/>
                          <w:sz w:val="32"/>
                          <w:szCs w:val="32"/>
                        </w:rPr>
                        <w:t>理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2"/>
                          <w:sz w:val="32"/>
                          <w:szCs w:val="32"/>
                        </w:rPr>
                        <w:t>委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2"/>
                          <w:sz w:val="32"/>
                          <w:szCs w:val="32"/>
                        </w:rPr>
                        <w:t>员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22"/>
                          <w:sz w:val="32"/>
                          <w:szCs w:val="32"/>
                        </w:rPr>
                        <w:t>会</w:t>
                      </w:r>
                    </w:p>
                    <w:p>
                      <w:pPr>
                        <w:spacing w:line="225" w:lineRule="auto"/>
                        <w:ind w:left="401" w:leftChars="9" w:hanging="382" w:hangingChars="100"/>
                        <w:rPr>
                          <w:rFonts w:ascii="楷体" w:hAnsi="楷体" w:eastAsia="楷体" w:cs="楷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31"/>
                          <w:sz w:val="32"/>
                          <w:szCs w:val="32"/>
                        </w:rPr>
                        <w:t>日</w:t>
                      </w:r>
                    </w:p>
                    <w:p>
                      <w:pPr>
                        <w:spacing w:before="19" w:line="304" w:lineRule="auto"/>
                        <w:ind w:left="99" w:right="187"/>
                        <w:rPr>
                          <w:rFonts w:ascii="楷体" w:hAnsi="楷体" w:eastAsia="楷体" w:cs="楷体"/>
                          <w:spacing w:val="-22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225" w:lineRule="auto"/>
                        <w:ind w:left="20"/>
                        <w:rPr>
                          <w:rFonts w:ascii="楷体" w:hAnsi="楷体" w:eastAsia="楷体" w:cs="楷体"/>
                          <w:sz w:val="31"/>
                          <w:szCs w:val="31"/>
                        </w:rPr>
                      </w:pPr>
                      <w:r>
                        <w:rPr>
                          <w:rFonts w:ascii="楷体" w:hAnsi="楷体" w:eastAsia="楷体" w:cs="楷体"/>
                          <w:spacing w:val="31"/>
                          <w:sz w:val="31"/>
                          <w:szCs w:val="31"/>
                        </w:rPr>
                        <w:t>2022年2月24日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1400175</wp:posOffset>
                </wp:positionH>
                <wp:positionV relativeFrom="page">
                  <wp:posOffset>6478270</wp:posOffset>
                </wp:positionV>
                <wp:extent cx="1787525" cy="115443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304" w:lineRule="auto"/>
                              <w:ind w:right="187"/>
                              <w:jc w:val="distribute"/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中共北京市委城市</w:t>
                            </w:r>
                          </w:p>
                          <w:p>
                            <w:pPr>
                              <w:spacing w:line="225" w:lineRule="auto"/>
                              <w:ind w:left="339" w:leftChars="9" w:hanging="320" w:hangingChars="100"/>
                              <w:jc w:val="both"/>
                              <w:rPr>
                                <w:rFonts w:hint="default" w:ascii="楷体" w:hAnsi="楷体" w:eastAsia="楷体" w:cs="楷体"/>
                                <w:sz w:val="31"/>
                                <w:szCs w:val="31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0"/>
                                <w:sz w:val="32"/>
                                <w:szCs w:val="32"/>
                                <w:lang w:val="en-US" w:eastAsia="zh-CN"/>
                              </w:rPr>
                              <w:t>副中心工作委员会</w:t>
                            </w:r>
                          </w:p>
                          <w:p>
                            <w:pPr>
                              <w:spacing w:before="19" w:line="304" w:lineRule="auto"/>
                              <w:ind w:left="99" w:right="187"/>
                              <w:jc w:val="distribute"/>
                              <w:rPr>
                                <w:rFonts w:ascii="楷体" w:hAnsi="楷体" w:eastAsia="楷体" w:cs="楷体"/>
                                <w:spacing w:val="-22"/>
                                <w:sz w:val="31"/>
                                <w:szCs w:val="31"/>
                              </w:rPr>
                            </w:pPr>
                          </w:p>
                          <w:p>
                            <w:pPr>
                              <w:spacing w:line="225" w:lineRule="auto"/>
                              <w:ind w:left="20"/>
                              <w:jc w:val="distribute"/>
                              <w:rPr>
                                <w:rFonts w:ascii="楷体" w:hAnsi="楷体" w:eastAsia="楷体" w:cs="楷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楷体" w:hAnsi="楷体" w:eastAsia="楷体" w:cs="楷体"/>
                                <w:spacing w:val="31"/>
                                <w:sz w:val="31"/>
                                <w:szCs w:val="31"/>
                              </w:rPr>
                              <w:t>2022年2月24日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25pt;margin-top:510.1pt;height:90.9pt;width:140.75pt;mso-position-horizontal-relative:page;mso-position-vertical-relative:page;z-index:251661312;mso-width-relative:page;mso-height-relative:page;" filled="f" stroked="f" coordsize="21600,21600" o:allowincell="f" o:gfxdata="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PPCxHYAAAADQEAAA8AAAAAAAAAAQAgAAAAIgAAAGRycy9kb3ducmV2LnhtbFBL&#10;AQIUABQAAAAIAIdO4kAKNbfpvQEAAHM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304" w:lineRule="auto"/>
                        <w:ind w:right="187"/>
                        <w:jc w:val="distribute"/>
                        <w:rPr>
                          <w:rFonts w:hint="eastAsia" w:ascii="仿宋_GB2312" w:hAnsi="仿宋_GB2312" w:eastAsia="仿宋_GB2312" w:cs="仿宋_GB2312"/>
                          <w:spacing w:val="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32"/>
                          <w:szCs w:val="32"/>
                          <w:lang w:val="en-US" w:eastAsia="zh-CN"/>
                        </w:rPr>
                        <w:t>中共北京市委城市</w:t>
                      </w:r>
                    </w:p>
                    <w:p>
                      <w:pPr>
                        <w:spacing w:line="225" w:lineRule="auto"/>
                        <w:ind w:left="339" w:leftChars="9" w:hanging="320" w:hangingChars="100"/>
                        <w:jc w:val="both"/>
                        <w:rPr>
                          <w:rFonts w:hint="default" w:ascii="楷体" w:hAnsi="楷体" w:eastAsia="楷体" w:cs="楷体"/>
                          <w:sz w:val="31"/>
                          <w:szCs w:val="31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0"/>
                          <w:sz w:val="32"/>
                          <w:szCs w:val="32"/>
                          <w:lang w:val="en-US" w:eastAsia="zh-CN"/>
                        </w:rPr>
                        <w:t>副中心工作委员会</w:t>
                      </w:r>
                    </w:p>
                    <w:p>
                      <w:pPr>
                        <w:spacing w:before="19" w:line="304" w:lineRule="auto"/>
                        <w:ind w:left="99" w:right="187"/>
                        <w:jc w:val="distribute"/>
                        <w:rPr>
                          <w:rFonts w:ascii="楷体" w:hAnsi="楷体" w:eastAsia="楷体" w:cs="楷体"/>
                          <w:spacing w:val="-22"/>
                          <w:sz w:val="31"/>
                          <w:szCs w:val="31"/>
                        </w:rPr>
                      </w:pPr>
                    </w:p>
                    <w:p>
                      <w:pPr>
                        <w:spacing w:line="225" w:lineRule="auto"/>
                        <w:ind w:left="20"/>
                        <w:jc w:val="distribute"/>
                        <w:rPr>
                          <w:rFonts w:ascii="楷体" w:hAnsi="楷体" w:eastAsia="楷体" w:cs="楷体"/>
                          <w:sz w:val="31"/>
                          <w:szCs w:val="31"/>
                        </w:rPr>
                      </w:pPr>
                      <w:r>
                        <w:rPr>
                          <w:rFonts w:ascii="楷体" w:hAnsi="楷体" w:eastAsia="楷体" w:cs="楷体"/>
                          <w:spacing w:val="31"/>
                          <w:sz w:val="31"/>
                          <w:szCs w:val="31"/>
                        </w:rPr>
                        <w:t>2022年2月24日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center"/>
        <w:rPr>
          <w:rFonts w:hint="eastAsia" w:ascii="楷体" w:hAnsi="楷体" w:eastAsia="楷体" w:cs="楷体"/>
          <w:spacing w:val="-14"/>
          <w:sz w:val="32"/>
          <w:szCs w:val="32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32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44"/>
          <w:szCs w:val="44"/>
          <w:highlight w:val="none"/>
        </w:rPr>
      </w:pPr>
    </w:p>
    <w:p>
      <w:pPr>
        <w:spacing w:line="640" w:lineRule="exact"/>
        <w:jc w:val="center"/>
        <w:rPr>
          <w:rFonts w:hint="eastAsia" w:ascii="华文中宋" w:hAnsi="华文中宋" w:eastAsia="华文中宋" w:cs="华文中宋"/>
          <w:sz w:val="44"/>
          <w:szCs w:val="44"/>
          <w:highlight w:val="none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154" w:right="1474" w:bottom="1474" w:left="1587" w:header="851" w:footer="850" w:gutter="0"/>
          <w:pgNumType w:fmt="decimal"/>
          <w:cols w:space="425" w:num="1"/>
          <w:titlePg/>
          <w:docGrid w:type="lines" w:linePitch="312" w:charSpace="0"/>
        </w:sect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2023年北京城市副中心重大工程行动计划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hAnsi="仿宋" w:eastAsia="仿宋_GB2312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2023年是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全面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贯彻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落实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党的二十大精神开局之年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是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“十四五”规划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实施承上启下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之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，也是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推动城市副中心开创新局面的关键一年</w:t>
      </w:r>
      <w:r>
        <w:rPr>
          <w:rFonts w:ascii="仿宋_GB2312" w:hAnsi="仿宋" w:eastAsia="仿宋_GB2312" w:cs="Times New Roman"/>
          <w:sz w:val="32"/>
          <w:szCs w:val="32"/>
          <w:highlight w:val="none"/>
          <w:lang w:eastAsia="zh-Hans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为全面实施城市副中心控规，深入推进城市副中心高质量发展，加快重大工程建设，特制定本行动计划。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一、20</w:t>
      </w:r>
      <w:r>
        <w:rPr>
          <w:rFonts w:ascii="黑体" w:hAnsi="Times New Roman" w:eastAsia="黑体" w:cs="Times New Roman"/>
          <w:sz w:val="32"/>
          <w:szCs w:val="32"/>
          <w:highlight w:val="none"/>
        </w:rPr>
        <w:t>2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3年行动计划编制思路</w:t>
      </w:r>
      <w:r>
        <w:rPr>
          <w:rFonts w:ascii="黑体" w:hAnsi="Times New Roman" w:eastAsia="黑体" w:cs="Times New Roman"/>
          <w:sz w:val="32"/>
          <w:szCs w:val="32"/>
          <w:highlight w:val="none"/>
        </w:rPr>
        <w:t>及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ascii="楷体_GB2312" w:hAnsi="仿宋_GB2312" w:eastAsia="楷体_GB2312" w:cs="仿宋_GB2312"/>
          <w:sz w:val="32"/>
          <w:szCs w:val="32"/>
          <w:highlight w:val="none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  <w:lang w:eastAsia="zh-Hans"/>
        </w:rPr>
        <w:t>一</w:t>
      </w:r>
      <w:r>
        <w:rPr>
          <w:rFonts w:ascii="楷体_GB2312" w:hAnsi="仿宋_GB2312" w:eastAsia="楷体_GB2312" w:cs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坚持规划引领，深入推进副中心高质量发展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把行动计划作为落实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城市副中心控规、高质量发展意见和“十四五”规划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的重要抓手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和项目支撑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立长远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强功能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全面上台阶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，系统推进基础设施、高精尖产业、民生改善和行政办公等重点领域建设，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形成重点突破，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努力打造高质量发展典范，为城市副中心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zh-TW" w:eastAsia="zh-TW"/>
        </w:rPr>
        <w:t>保持千亿以上投资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zh-TW"/>
        </w:rPr>
        <w:t>强度提供有力支撑。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（二）聚焦产业成势，大力推进产业集群发展壮大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坚持五子联动，聚焦六大产业，激发经济发展新活力，持续优化产业资源配置，加快壮大数字经济核心产业规模，巩固金融业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特别是绿色金融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发展势头，加快促进制造业向高精尖提质转型，加速培育头部企业集群，积极推动国际消费中心城市建设，加强消费圈谋划，完善消费业态布局，增强消费吸引力，推动文旅产业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不断做大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做强，为经济长期增长注入不竭动力。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仿宋_GB2312" w:eastAsia="楷体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（三）筑牢绿色底色，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  <w:lang w:eastAsia="zh-Hans"/>
        </w:rPr>
        <w:t>全力打造国家绿色发展示范区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落实建设国家绿色发展示范区实施方案，全面推行绿色建筑，加快构建以轨道交通为主体的绿色交通体系，坚持增加路网密度和提升交通管理水平并重，持续扩绿增绿，推动公园融入城市，全方位深耕水环境治理，大力优化能源结构，规模化推进地热及余热利用，持续培育绿色经济发展新动能，奋力锻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副中心绿色发展新优势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仿宋_GB2312" w:eastAsia="楷体_GB2312" w:cs="仿宋_GB2312"/>
          <w:sz w:val="32"/>
          <w:szCs w:val="32"/>
          <w:highlight w:val="none"/>
        </w:rPr>
      </w:pPr>
      <w:r>
        <w:rPr>
          <w:rFonts w:ascii="楷体_GB2312" w:hAnsi="仿宋_GB2312" w:eastAsia="楷体_GB2312" w:cs="仿宋_GB2312"/>
          <w:sz w:val="32"/>
          <w:szCs w:val="32"/>
          <w:highlight w:val="none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四</w:t>
      </w:r>
      <w:r>
        <w:rPr>
          <w:rFonts w:ascii="楷体_GB2312" w:hAnsi="仿宋_GB2312" w:eastAsia="楷体_GB2312" w:cs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增强协同联动，扎实推进与北三县一体化高质量发展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聚焦协同发展新要求，紧抓一体化发展链条，扎实推进基础设施、生态环境、产业发展、公共服务等领域对接合作，加快构建一体化交通网络，持续推动教育、医疗、文化等公共服务资源向北三县延伸，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</w:rPr>
        <w:t>鼓励在京企业以市场化方式参与北三县开发建设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拓宽一体化高质量发展的新空间新动能，打造新时代区域协同发展典范。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仿宋" w:eastAsia="黑体" w:cs="Times New Roman"/>
          <w:sz w:val="32"/>
          <w:szCs w:val="32"/>
          <w:highlight w:val="none"/>
        </w:rPr>
        <w:t>二、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20</w:t>
      </w:r>
      <w:r>
        <w:rPr>
          <w:rFonts w:ascii="黑体" w:hAnsi="Times New Roman" w:eastAsia="黑体" w:cs="Times New Roman"/>
          <w:sz w:val="32"/>
          <w:szCs w:val="32"/>
          <w:highlight w:val="none"/>
        </w:rPr>
        <w:t>2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3年重大</w:t>
      </w:r>
      <w:r>
        <w:rPr>
          <w:rFonts w:ascii="黑体" w:hAnsi="Times New Roman" w:eastAsia="黑体" w:cs="Times New Roman"/>
          <w:sz w:val="32"/>
          <w:szCs w:val="32"/>
          <w:highlight w:val="none"/>
        </w:rPr>
        <w:t>工程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20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3年，计划集中推动217项城市副中心重大工程，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总投资约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065亿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元，当年计划完成投资约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587亿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元。计划新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开工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78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项，续建139项，力争当年完工61项。各领域具体安排如下：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highlight w:val="none"/>
        </w:rPr>
        <w:t>（一）基础设施领域82项，2023年计划完成投资176亿元。计划新开工40项，续建42项，力争当年完工19项。</w:t>
      </w:r>
      <w:r>
        <w:rPr>
          <w:rFonts w:hint="eastAsia" w:ascii="仿宋_GB2312" w:hAnsi="宋体" w:eastAsia="仿宋_GB2312" w:cs="宋体"/>
          <w:b/>
          <w:bCs/>
          <w:sz w:val="32"/>
          <w:szCs w:val="32"/>
          <w:highlight w:val="none"/>
        </w:rPr>
        <w:t>主要任务：</w:t>
      </w:r>
      <w:r>
        <w:rPr>
          <w:rFonts w:hint="eastAsia" w:ascii="仿宋_GB2312" w:hAnsi="宋体" w:eastAsia="仿宋_GB2312" w:cs="宋体"/>
          <w:sz w:val="32"/>
          <w:szCs w:val="32"/>
          <w:highlight w:val="none"/>
        </w:rPr>
        <w:t>持续推进区域互联互通，加快轨道网络建设，拓展对外交通联系通道，增强枢纽集散功能。完善三个特色小镇、台马科技板块等重点功能区内部路网和市政供给。加快防洪排涝体系建设，加强流域水系生态系统保护修复，提升城乡水处理能力。持续加大绿色能源应用，提升能源保障水平，稳步推进地下综合管廊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重点工程：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加快建设轨道交通平谷线、城市副中心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M101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线。加快推进城市副中心站、通马路、环球影城北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综合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交通枢纽建设，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建成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东夏园交通枢纽。开工建设春明路、石小路，加快实施东六环加宽（入地）改造、通马路改扩建、厂通路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完善张家湾设计小镇、台湖演艺小镇、棚改安置房等区域内部路网。开工建设减河北综合资源利用中心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加快建设温潮减河，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推进两河水网、城北水网、城南水网建设。开工建设创意园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220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千伏输变电工程、再生能源发电厂二期，实施城市绿心起步区地源热泵供热供冷系统、六合村分布式地源热泵能源站等一批新能源示范项目。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</w:rPr>
        <w:t>（二）民生改善领域53项，2023年计划完成投资162亿元。计划新开工15项，续建</w:t>
      </w:r>
      <w:r>
        <w:rPr>
          <w:rFonts w:ascii="楷体_GB2312" w:hAnsi="黑体" w:eastAsia="楷体_GB2312" w:cs="Times New Roman"/>
          <w:bCs/>
          <w:sz w:val="32"/>
          <w:szCs w:val="32"/>
          <w:highlight w:val="none"/>
        </w:rPr>
        <w:t>38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</w:rPr>
        <w:t>项，力争当年完工</w:t>
      </w:r>
      <w:r>
        <w:rPr>
          <w:rFonts w:ascii="楷体_GB2312" w:hAnsi="黑体" w:eastAsia="楷体_GB2312" w:cs="Times New Roman"/>
          <w:bCs/>
          <w:sz w:val="32"/>
          <w:szCs w:val="32"/>
          <w:highlight w:val="none"/>
        </w:rPr>
        <w:t>15</w:t>
      </w:r>
      <w:r>
        <w:rPr>
          <w:rFonts w:hint="eastAsia" w:ascii="楷体_GB2312" w:hAnsi="黑体" w:eastAsia="楷体_GB2312" w:cs="Times New Roman"/>
          <w:bCs/>
          <w:sz w:val="32"/>
          <w:szCs w:val="32"/>
          <w:highlight w:val="none"/>
        </w:rPr>
        <w:t>项。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主要任务：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持续推进公共服务优质共享，全力增加基础教育学位，提升医疗服务承载能力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。扩大优质文体设施供给，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擦亮大运河历史文化金名片。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深入推进城市更新，加快推进老旧小区改造、棚户区改造和政策性住房建设。持续厚植绿色生态底色，继续扩大绿色空间。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  <w:lang w:eastAsia="zh-Hans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重点工程：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加快建设人大通州新校区一期、北京卫生职业学院新院区。开工建设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东直门医院国家医学中心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，加快建设首儿所通州院区、北京市疾病预防控制中心迁建，基本建成安贞医院通州院区、友谊医院通州院区二期。建成城市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绿心三大文化设施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并投入运营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，开工建设瓮城遗址项目，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推进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实施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通州区体育场升级改造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。加快建设城市副中心住房项目，推进实施台湖镇、张家湾镇等一批集体土地租赁住房项目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扎实推进潞城、东方厂棚户区改造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项目收尾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开工建设北苑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eastAsia="zh-Hans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玉桥家园中心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eastAsia="zh-Hans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稳步实施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南大街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及周边片区腾退保护更新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Hans"/>
        </w:rPr>
        <w:t>项目</w:t>
      </w:r>
      <w:r>
        <w:rPr>
          <w:rFonts w:ascii="仿宋_GB2312" w:hAnsi="Times New Roman" w:eastAsia="仿宋_GB2312" w:cs="Times New Roman"/>
          <w:sz w:val="32"/>
          <w:szCs w:val="32"/>
          <w:highlight w:val="none"/>
          <w:lang w:eastAsia="zh-Hans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开工建设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路县故城考古遗址公园二期。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（三）产业领域</w:t>
      </w:r>
      <w:r>
        <w:rPr>
          <w:rFonts w:ascii="楷体_GB2312" w:hAnsi="仿宋_GB2312" w:eastAsia="楷体_GB2312" w:cs="仿宋_GB2312"/>
          <w:bCs/>
          <w:sz w:val="32"/>
          <w:szCs w:val="32"/>
          <w:highlight w:val="none"/>
        </w:rPr>
        <w:t>7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1项，2023年计划完成投资243亿元。计划新开工</w:t>
      </w:r>
      <w:r>
        <w:rPr>
          <w:rFonts w:ascii="楷体_GB2312" w:hAnsi="仿宋_GB2312" w:eastAsia="楷体_GB2312" w:cs="仿宋_GB2312"/>
          <w:bCs/>
          <w:sz w:val="32"/>
          <w:szCs w:val="32"/>
          <w:highlight w:val="none"/>
        </w:rPr>
        <w:t>2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2项，续建49项，力争当年完工</w:t>
      </w:r>
      <w:r>
        <w:rPr>
          <w:rFonts w:ascii="楷体_GB2312" w:hAnsi="仿宋_GB2312" w:eastAsia="楷体_GB2312" w:cs="仿宋_GB2312"/>
          <w:bCs/>
          <w:sz w:val="32"/>
          <w:szCs w:val="32"/>
          <w:highlight w:val="none"/>
        </w:rPr>
        <w:t>1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7项。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主要任务：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继续释放“两区”政策效能，有序承接中心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城区非首都功能疏解。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加快培育壮大现代化产业体系，推动制造业向高端迈进。提升金融商务服务功能，加快打造全球财富管理中心。积极承接环球主题公园外溢效应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，加快推动文旅商融合发展。激发数字经济活力，高标准建设国家网络安全产业园。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提升联动发展水平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，加快建设张家湾设计小镇、台湖演艺小镇、宋庄艺术创意小镇，宋庄艺术创意小镇要保持艺术家气息。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Times New Roman" w:hAnsi="Times New Roman" w:eastAsia="宋体" w:cs="Times New Roman"/>
          <w:sz w:val="32"/>
          <w:szCs w:val="32"/>
          <w:highlight w:val="none"/>
          <w:lang w:eastAsia="zh-Hans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重点工程：</w:t>
      </w:r>
      <w:r>
        <w:rPr>
          <w:rFonts w:hint="eastAsia" w:ascii="仿宋_GB2312" w:hAnsi="宋体" w:eastAsia="仿宋_GB2312" w:cs="Times New Roman"/>
          <w:bCs/>
          <w:sz w:val="32"/>
          <w:szCs w:val="32"/>
          <w:highlight w:val="none"/>
        </w:rPr>
        <w:t>加快建设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首旅集团总部、华夏银行总部、保障房中心总部、北京建院总部、北咨公司总部，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建成北投集团总部，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开工建设同仁堂集团总部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工建设中国信通院产业创新基地，加快实施西北工业大学北京研究院、网络安全领军人才培育基地项目。加快建设小米智能制造产业基地、益生祥明科技产业园，建成博格华纳北京新工厂。开工建设北京未来设计园区（二期），加快建设北京国际设计周永久会址配套项目、环球奥莱小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黑体" w:eastAsia="楷体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  <w:highlight w:val="none"/>
        </w:rPr>
        <w:t>（四）行政办公领域</w:t>
      </w:r>
      <w:r>
        <w:rPr>
          <w:rFonts w:ascii="楷体_GB2312" w:hAnsi="Times New Roman" w:eastAsia="楷体_GB2312" w:cs="Times New Roman"/>
          <w:bCs/>
          <w:sz w:val="32"/>
          <w:szCs w:val="32"/>
          <w:highlight w:val="none"/>
        </w:rPr>
        <w:t>1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highlight w:val="none"/>
        </w:rPr>
        <w:t>1项，2023年计划完成投资6亿元。计划新开工1项，续建</w:t>
      </w:r>
      <w:r>
        <w:rPr>
          <w:rFonts w:ascii="楷体_GB2312" w:hAnsi="Times New Roman" w:eastAsia="楷体_GB2312" w:cs="Times New Roman"/>
          <w:bCs/>
          <w:sz w:val="32"/>
          <w:szCs w:val="32"/>
          <w:highlight w:val="none"/>
        </w:rPr>
        <w:t>10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highlight w:val="none"/>
        </w:rPr>
        <w:t>项，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力争当年完工10项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highlight w:val="none"/>
        </w:rPr>
        <w:t>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</w:rPr>
        <w:t>主要任务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确保行政办公区二期竣工，启动第二批市级行政机关搬迁。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0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highlight w:val="none"/>
        </w:rPr>
        <w:t>重点工程：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开工建设市高院办公及技术业务用房项目，建成行政办公区二期启动区7个行政办公地块及六合村3个行政办公地块。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同时，按照滚动发展思路，做好今后三年项目储备工作，2023年安排重大工程储备项目</w:t>
      </w:r>
      <w:r>
        <w:rPr>
          <w:rFonts w:ascii="仿宋_GB2312" w:hAnsi="宋体" w:eastAsia="仿宋_GB2312" w:cs="Times New Roman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09项，重点谋划姚家园路东延、城市绿心体育设施、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Hans"/>
        </w:rPr>
        <w:t>六环高线公园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、张家湾古镇等项目。相关项目由各主责单位加快推进方案研究、规划选址、征地拆迁等前期工作，待具备条件后及时调整纳入当年行动计划加快实施。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Times New Roman"/>
          <w:sz w:val="32"/>
          <w:szCs w:val="32"/>
          <w:highlight w:val="none"/>
        </w:rPr>
        <w:t>三、</w:t>
      </w:r>
      <w:r>
        <w:rPr>
          <w:rFonts w:hint="eastAsia" w:ascii="黑体" w:hAnsi="仿宋" w:eastAsia="黑体" w:cs="Times New Roman"/>
          <w:sz w:val="32"/>
          <w:szCs w:val="32"/>
          <w:highlight w:val="none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（一）狠抓分级分类调度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城市副中心党工委管委会加强统筹调度，充分发挥投资计划、规划设计、工程推进、征地拆迁四个工作专班作用，加大督查力度。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Hans"/>
        </w:rPr>
        <w:t>各市级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主责部门严格落实行业统筹和管理职责。经开区管委会加强台马地区项目统筹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工作力度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加快投资落地。通州区加强区属项目统筹调度，对部分重点项目实施“全过程代办”，高效推动项目实施。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（二）做深做细前期工作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建设单位加快开展规划选址、方案设计、专项评价、立项报告编制等前期工作，强化成本管控。相关审批部门主动向前，加强服务指导，对列入本行动计划的项目在供地安排、指标配给等方面予以优先保障，充分用好市级赋权，进一步缩短审批时限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加强项目前期谋划，发挥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重大项目前期工作营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机制</w:t>
      </w:r>
      <w:r>
        <w:rPr>
          <w:rFonts w:ascii="仿宋_GB2312" w:hAnsi="仿宋" w:eastAsia="仿宋_GB2312" w:cs="Times New Roman"/>
          <w:sz w:val="32"/>
          <w:szCs w:val="32"/>
          <w:highlight w:val="none"/>
        </w:rPr>
        <w:t>，创新项目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实施模式。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楷体_GB2312" w:hAnsi="Times New Roman" w:eastAsia="楷体_GB2312" w:cs="Times New Roman"/>
          <w:sz w:val="32"/>
          <w:szCs w:val="32"/>
          <w:highlight w:val="none"/>
        </w:rPr>
        <w:t>（三）加强资金要素保障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强化市政府固定资产投资、市财政资金对城市副中心的保障力度，积极争取中央预算内资金支持，加大通州区地方政府债券支持额度。在水务、能源、养老等公共服务领域推进政府和社会资本合作。用好基金、银行、保险等金融资金，引导金融机构加大项目融资支持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和保障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</w:rPr>
        <w:t>力度。充分发挥北投集团作用，探索创新融资模式，提升投融资能力。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080" w:hanging="960" w:hangingChars="3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98" w:leftChars="342" w:hanging="1280" w:hangingChars="400"/>
        <w:textAlignment w:val="auto"/>
        <w:rPr>
          <w:rFonts w:ascii="仿宋_GB2312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附件：2023年北京城市副中心重大工程行动计划项目表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华文中宋" w:hAnsi="华文中宋" w:eastAsia="华文中宋" w:cs="华文中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bookmarkStart w:id="0" w:name="_GoBack"/>
      <w:bookmarkEnd w:id="0"/>
    </w:p>
    <w:sectPr>
      <w:pgSz w:w="11906" w:h="16838"/>
      <w:pgMar w:top="2154" w:right="1474" w:bottom="1474" w:left="1587" w:header="851" w:footer="850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969"/>
        <w:tab w:val="right" w:pos="8306"/>
      </w:tabs>
      <w:suppressAutoHyphens/>
      <w:snapToGrid w:val="0"/>
      <w:spacing w:line="520" w:lineRule="exact"/>
      <w:jc w:val="distribute"/>
      <w:rPr>
        <w:rFonts w:ascii="Calibri" w:hAnsi="Calibri" w:eastAsia="宋体" w:cs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TBiM2IyNWM5MmE4OWU0OTk5MTAwMTk5YTE1NWQifQ=="/>
  </w:docVars>
  <w:rsids>
    <w:rsidRoot w:val="55B55135"/>
    <w:rsid w:val="0BA15CEB"/>
    <w:rsid w:val="0D0E4A78"/>
    <w:rsid w:val="0D1C4718"/>
    <w:rsid w:val="2D576EC8"/>
    <w:rsid w:val="477B5067"/>
    <w:rsid w:val="54C65448"/>
    <w:rsid w:val="55B55135"/>
    <w:rsid w:val="620D063B"/>
    <w:rsid w:val="64596EBA"/>
    <w:rsid w:val="797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3086</Words>
  <Characters>3172</Characters>
  <Lines>0</Lines>
  <Paragraphs>0</Paragraphs>
  <TotalTime>1</TotalTime>
  <ScaleCrop>false</ScaleCrop>
  <LinksUpToDate>false</LinksUpToDate>
  <CharactersWithSpaces>3172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2023-04-20T07:05:00Z</dcterms:created>
  <dc:creator>sentimy</dc:creator>
  <cp:lastModifiedBy>sentimy</cp:lastModifiedBy>
  <cp:lastPrinted>2023-04-21T03:21:00Z</cp:lastPrinted>
  <dcterms:modified xsi:type="dcterms:W3CDTF">2023-05-11T08:20:13Z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76CB3F865FD04D8FA62DD9C2DF8936AC_13</vt:lpwstr>
  </property>
</Properties>
</file>