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1"/>
        <w:gridCol w:w="970"/>
        <w:gridCol w:w="560"/>
        <w:gridCol w:w="694"/>
        <w:gridCol w:w="419"/>
        <w:gridCol w:w="419"/>
        <w:gridCol w:w="721"/>
        <w:gridCol w:w="808"/>
        <w:gridCol w:w="649"/>
        <w:gridCol w:w="408"/>
        <w:gridCol w:w="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dxa"/>
          <w:trHeight w:val="850" w:hRule="atLeast"/>
        </w:trPr>
        <w:tc>
          <w:tcPr>
            <w:tcW w:w="8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_GBK" w:eastAsia="方正小标宋_GBK"/>
                <w:bCs/>
                <w:sz w:val="32"/>
              </w:rPr>
            </w:pPr>
            <w:bookmarkStart w:id="0" w:name="RANGE!A1:E27"/>
            <w:r>
              <w:rPr>
                <w:rFonts w:hint="eastAsia" w:ascii="方正小标宋_GBK" w:eastAsia="方正小标宋_GBK"/>
                <w:bCs/>
                <w:sz w:val="32"/>
              </w:rPr>
              <w:t>北京市通州区2019年区级一般公共预算收入决算情况表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0" w:type="dxa"/>
          <w:trHeight w:val="57" w:hRule="atLeast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表一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2019年预算调整数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 决算数为预算调整数%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一、税收收入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783,800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677,750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673,256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99.3%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增值税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300,000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288,246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284,427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98.7%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1" w:name="_Hlk38467525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企业所得税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120,000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116,734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118,982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101.9%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资源税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3,800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8,100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7,876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97.2%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城市维护建设税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68,000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59,554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59,368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99.7%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房产税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100,000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80,997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2" w:name="_Hlk38467702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81,203</w:t>
            </w:r>
            <w:bookmarkEnd w:id="2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印花税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25,250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26,803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3" w:name="_Hlk38467779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28,065</w:t>
            </w:r>
            <w:bookmarkEnd w:id="3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104.7%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城镇土地使用税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3,750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3,370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3,279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97.3%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土地增值税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130,000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62,000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57,144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92.2%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车船税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18,000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17,000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4" w:name="_Hlk38468285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17,637</w:t>
            </w:r>
            <w:bookmarkEnd w:id="4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103.7%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5" w:name="_Hlk3846833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耕地占用税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5,935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6,291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106.0%</w:t>
            </w:r>
          </w:p>
        </w:tc>
      </w:tr>
      <w:bookmarkEnd w:id="5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环境保护税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9,011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9,016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其他税收收入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　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-32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二、非税收入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96,200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202,250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214,022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105.8%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教育费附加收入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24,000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20,314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21,238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残疾人就业保障金收入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24,000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18,860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8,950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森林植被恢复费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　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行政性收费收入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12,000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13,000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23,093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177.6%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罚没收入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8,000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8,171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102.1%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国有资源（资产）有偿使用收入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82,177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103,712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126.2%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政府住房基金收入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5,676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1,254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198.3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教育资金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　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52,059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3,800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45.7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捐赠收入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其他收入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2,164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3,461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159.9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收入总计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880,000 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880,000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887,278 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100.8%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说明一 关于2019年一般公共预算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收入决算情况的说明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5"/>
          <w:szCs w:val="45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一、2019年一般公共预算收入总体情况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2019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年区级一般公共预算收入决算数为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887,278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完成区六届人大常委会二十六次会议批准调整预算的1</w:t>
      </w:r>
      <w:r>
        <w:rPr>
          <w:rFonts w:ascii="仿宋_GB2312" w:hAnsi="仿宋_GB2312" w:eastAsia="仿宋_GB2312"/>
          <w:sz w:val="32"/>
          <w:szCs w:val="32"/>
        </w:rPr>
        <w:t>00.8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二、2019年一般公共预算收入具体情况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2019年一般公共预算主要收入项目决算情况如下：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增值税预算调整数为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288,246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284,427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98.7%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企业所得税预算调整数为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116,734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118,982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万元,完成预算调整数的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101.9%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3.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资源税预算调整数为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8,100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7,876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97.2%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4.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城市维护建设税预算调整数为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59,554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59,368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99.7%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5.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房产税预算调整数为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80,997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81,203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100.3%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6.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印花税预算调整数为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26,803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28,065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104.7%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7.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城镇土地使用税预算调整数为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3,370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3,279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97.3%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8.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土地增值税预算调整数为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62,000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57,144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92.2%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9.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车船税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17,000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17,637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103.7%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耕地占用税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5,935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6,291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106%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11.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环境保护税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9,011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9,016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100.1%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12.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教育费附加收入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预算调整数为2</w:t>
      </w:r>
      <w:r>
        <w:rPr>
          <w:rFonts w:ascii="仿宋_GB2312" w:eastAsia="仿宋_GB2312" w:cs="FZFSK--GBK1-0"/>
          <w:kern w:val="0"/>
          <w:sz w:val="32"/>
          <w:szCs w:val="32"/>
        </w:rPr>
        <w:t>0,314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万元，决算数为2</w:t>
      </w:r>
      <w:r>
        <w:rPr>
          <w:rFonts w:ascii="仿宋_GB2312" w:eastAsia="仿宋_GB2312" w:cs="FZFSK--GBK1-0"/>
          <w:kern w:val="0"/>
          <w:sz w:val="32"/>
          <w:szCs w:val="32"/>
        </w:rPr>
        <w:t>1,238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104.5%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13.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残疾人就业保障金收入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预算调整数为1</w:t>
      </w:r>
      <w:r>
        <w:rPr>
          <w:rFonts w:ascii="仿宋_GB2312" w:eastAsia="仿宋_GB2312" w:cs="FZFSK--GBK1-0"/>
          <w:kern w:val="0"/>
          <w:sz w:val="32"/>
          <w:szCs w:val="32"/>
        </w:rPr>
        <w:t>8,860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18,950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万元，完成预算调整数的1</w:t>
      </w:r>
      <w:r>
        <w:rPr>
          <w:rFonts w:ascii="仿宋_GB2312" w:eastAsia="仿宋_GB2312" w:cs="FZFSK--GBK1-0"/>
          <w:kern w:val="0"/>
          <w:sz w:val="32"/>
          <w:szCs w:val="32"/>
        </w:rPr>
        <w:t>00.5%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行政性收费收入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13,000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23,093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177.6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罚没收入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8,000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8,171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102.1%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6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国有资源（资产）有偿使用收入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</w:t>
      </w:r>
      <w:r>
        <w:rPr>
          <w:rFonts w:ascii="仿宋_GB2312" w:eastAsia="仿宋_GB2312" w:cs="FZFSK--GBK1-0"/>
          <w:kern w:val="0"/>
          <w:sz w:val="32"/>
          <w:szCs w:val="32"/>
        </w:rPr>
        <w:t>82,177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103,712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126.2%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7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政府住房基金收入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预算调整数为5</w:t>
      </w:r>
      <w:r>
        <w:rPr>
          <w:rFonts w:ascii="仿宋_GB2312" w:eastAsia="仿宋_GB2312" w:cs="FZFSK--GBK1-0"/>
          <w:kern w:val="0"/>
          <w:sz w:val="32"/>
          <w:szCs w:val="32"/>
        </w:rPr>
        <w:t>,676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</w:t>
      </w:r>
      <w:r>
        <w:rPr>
          <w:rFonts w:hint="eastAsia" w:ascii="仿宋_GB2312" w:eastAsia="仿宋_GB2312" w:cs="FZFSK--GBK1-0"/>
          <w:kern w:val="0"/>
          <w:sz w:val="32"/>
          <w:szCs w:val="32"/>
        </w:rPr>
        <w:tab/>
      </w:r>
      <w:r>
        <w:rPr>
          <w:rFonts w:hint="eastAsia" w:ascii="仿宋_GB2312" w:eastAsia="仿宋_GB2312" w:cs="FZFSK--GBK1-0"/>
          <w:kern w:val="0"/>
          <w:sz w:val="32"/>
          <w:szCs w:val="32"/>
        </w:rPr>
        <w:t>，决算数为</w:t>
      </w:r>
      <w:r>
        <w:rPr>
          <w:rFonts w:ascii="仿宋_GB2312" w:eastAsia="仿宋_GB2312" w:cs="FZFSK--GBK1-0"/>
          <w:kern w:val="0"/>
          <w:sz w:val="32"/>
          <w:szCs w:val="32"/>
        </w:rPr>
        <w:t xml:space="preserve"> 11,254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万元，完成预算调整数的1</w:t>
      </w:r>
      <w:r>
        <w:rPr>
          <w:rFonts w:ascii="仿宋_GB2312" w:eastAsia="仿宋_GB2312" w:cs="FZFSK--GBK1-0"/>
          <w:kern w:val="0"/>
          <w:sz w:val="32"/>
          <w:szCs w:val="32"/>
        </w:rPr>
        <w:t>98.3%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1</w:t>
      </w:r>
      <w:r>
        <w:rPr>
          <w:rFonts w:ascii="仿宋_GB2312" w:eastAsia="仿宋_GB2312" w:cs="FZFSK--GBK1-0"/>
          <w:kern w:val="0"/>
          <w:sz w:val="32"/>
          <w:szCs w:val="32"/>
        </w:rPr>
        <w:t>8.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 xml:space="preserve"> 教育资金收入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预算调整数为5</w:t>
      </w:r>
      <w:r>
        <w:rPr>
          <w:rFonts w:ascii="仿宋_GB2312" w:eastAsia="仿宋_GB2312" w:cs="FZFSK--GBK1-0"/>
          <w:kern w:val="0"/>
          <w:sz w:val="32"/>
          <w:szCs w:val="32"/>
        </w:rPr>
        <w:t>2,059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万元，决算数为2</w:t>
      </w:r>
      <w:r>
        <w:rPr>
          <w:rFonts w:ascii="仿宋_GB2312" w:eastAsia="仿宋_GB2312" w:cs="FZFSK--GBK1-0"/>
          <w:kern w:val="0"/>
          <w:sz w:val="32"/>
          <w:szCs w:val="32"/>
        </w:rPr>
        <w:t>3,800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万元，完成预算调整数的4</w:t>
      </w:r>
      <w:r>
        <w:rPr>
          <w:rFonts w:ascii="仿宋_GB2312" w:eastAsia="仿宋_GB2312" w:cs="FZFSK--GBK1-0"/>
          <w:kern w:val="0"/>
          <w:sz w:val="32"/>
          <w:szCs w:val="32"/>
        </w:rPr>
        <w:t>5.7%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19.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其他收入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预算调整数为2</w:t>
      </w:r>
      <w:r>
        <w:rPr>
          <w:rFonts w:ascii="仿宋_GB2312" w:eastAsia="仿宋_GB2312" w:cs="FZFSK--GBK1-0"/>
          <w:kern w:val="0"/>
          <w:sz w:val="32"/>
          <w:szCs w:val="32"/>
        </w:rPr>
        <w:t>,164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万元，决算数为</w:t>
      </w:r>
      <w:r>
        <w:rPr>
          <w:rFonts w:ascii="仿宋_GB2312" w:eastAsia="仿宋_GB2312" w:cs="FZFSK--GBK1-0"/>
          <w:kern w:val="0"/>
          <w:sz w:val="32"/>
          <w:szCs w:val="32"/>
        </w:rPr>
        <w:t>3,461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eastAsia="仿宋_GB2312" w:cs="FZFSK--GBK1-0"/>
          <w:kern w:val="0"/>
          <w:sz w:val="32"/>
          <w:szCs w:val="32"/>
        </w:rPr>
        <w:t>159.9%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1095"/>
        <w:gridCol w:w="437"/>
        <w:gridCol w:w="817"/>
        <w:gridCol w:w="419"/>
        <w:gridCol w:w="295"/>
        <w:gridCol w:w="844"/>
        <w:gridCol w:w="687"/>
        <w:gridCol w:w="770"/>
        <w:gridCol w:w="364"/>
        <w:gridCol w:w="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bCs/>
                <w:sz w:val="32"/>
              </w:rPr>
            </w:pPr>
            <w:bookmarkStart w:id="6" w:name="RANGE!A2:E27"/>
            <w:r>
              <w:rPr>
                <w:rFonts w:hint="eastAsia" w:ascii="方正小标宋_GBK" w:eastAsia="方正小标宋_GBK"/>
                <w:bCs/>
                <w:sz w:val="32"/>
              </w:rPr>
              <w:t>北京市通州区2019年区级一般公共预算支出决算情况表</w:t>
            </w:r>
            <w:bookmarkEnd w:id="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0" w:type="dxa"/>
          <w:trHeight w:val="57" w:hRule="atLeast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表二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67" w:hRule="atLeast"/>
        </w:trPr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2019年预算调整数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决算数为预算调整数%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一、一般公共服务支出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186,418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216,757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240,699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二、国防支出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4,146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1,882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2,450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130.2%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三、公共安全支出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198,552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204,998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228,357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111.4%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四、教育支出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484,218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467,210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475,801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五、科学技术支出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27,447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14,905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15,108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六、文化旅游体育与传媒支出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35,984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46,987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103.3%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七、社会保障和就业支出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211,939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301,766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306,719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八、卫生健康支出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176,842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261,790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279,895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106.9%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九、节能环保支出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156,966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156,600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168,293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十、城乡社区支出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394,771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546,663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585,762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107.2%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十一、农林水支出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619,643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999,240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999,005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十二、交通运输支出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32,311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35,219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104.9%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十三、资源勘探信息等支出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27,416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103,657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109,398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十四、商业服务业等支出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451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十五、金融支出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242.4%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十六、援助其他地区支出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4,136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4,539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109.7%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十七、自然资源海洋气象等支出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1,484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1,308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1,308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十八、住房保障支出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96,008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53,600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56,063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104.6%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十九、粮油物资储备支出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499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二十、灾害防治及应急管理支出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18,462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21,315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二十一、其他支出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8,950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16,600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16,05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54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支出总计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2,664,235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3,452,602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3,598,01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104.2%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说明二 关于2019年一般公共预算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支出决算情况的说明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20" w:firstLineChars="200"/>
        <w:rPr>
          <w:rFonts w:ascii="黑体" w:eastAsia="黑体" w:cs="FZHTK--GBK1-0"/>
          <w:kern w:val="0"/>
          <w:sz w:val="31"/>
          <w:szCs w:val="31"/>
        </w:rPr>
      </w:pPr>
      <w:r>
        <w:rPr>
          <w:rFonts w:hint="eastAsia" w:ascii="黑体" w:eastAsia="黑体" w:cs="FZHTK--GBK1-0"/>
          <w:kern w:val="0"/>
          <w:sz w:val="31"/>
          <w:szCs w:val="31"/>
        </w:rPr>
        <w:t>一、2019年一般公共预算支出总体情况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2019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年区级一般公共预算支出决算数为</w:t>
      </w:r>
      <w:r>
        <w:rPr>
          <w:rFonts w:ascii="仿宋_GB2312" w:eastAsia="仿宋_GB2312" w:cs="FZFSK--GBK1-0"/>
          <w:kern w:val="0"/>
          <w:sz w:val="32"/>
          <w:szCs w:val="32"/>
        </w:rPr>
        <w:t>3,598,017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万元，完成区六届人大常委会第二十六次会议批准调整预算的104.2%。</w:t>
      </w:r>
    </w:p>
    <w:p>
      <w:pPr>
        <w:autoSpaceDE w:val="0"/>
        <w:autoSpaceDN w:val="0"/>
        <w:adjustRightInd w:val="0"/>
        <w:spacing w:line="560" w:lineRule="exact"/>
        <w:ind w:firstLine="620" w:firstLineChars="200"/>
        <w:rPr>
          <w:rFonts w:ascii="黑体" w:eastAsia="黑体" w:cs="FZHTK--GBK1-0"/>
          <w:kern w:val="0"/>
          <w:sz w:val="31"/>
          <w:szCs w:val="31"/>
        </w:rPr>
      </w:pPr>
      <w:r>
        <w:rPr>
          <w:rFonts w:hint="eastAsia" w:ascii="黑体" w:eastAsia="黑体" w:cs="FZHTK--GBK1-0"/>
          <w:kern w:val="0"/>
          <w:sz w:val="31"/>
          <w:szCs w:val="31"/>
        </w:rPr>
        <w:t>二、2019年一般公共预算支出具体情况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一般公共服务支出决算数为</w:t>
      </w:r>
      <w:r>
        <w:rPr>
          <w:rFonts w:ascii="仿宋_GB2312" w:hAnsi="Times-Roman" w:eastAsia="仿宋_GB2312" w:cs="FZFSK--GBK1-0"/>
          <w:kern w:val="0"/>
          <w:sz w:val="32"/>
          <w:szCs w:val="32"/>
        </w:rPr>
        <w:t>240,699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FZFSK--GBK1-0"/>
          <w:kern w:val="0"/>
          <w:sz w:val="32"/>
          <w:szCs w:val="32"/>
        </w:rPr>
        <w:t>111.0%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。主要用于“灯塔计划”、“运河计划”人才奖励，保障村干部基本待遇、基层党建工作经费等。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国防支出决算数为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2,450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130.2%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。主要用于征兵奖励等。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3.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公共安全支出决算数为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228,357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111.4%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主要用于扫黑除恶、科技创安、雪亮工程建设,开展法律宣传、咨询、援助及人民调节工作,改造升级乡村道路卡点设施，提升外围卡点路口查控水平等。其中公安局的“999医疗入驻监所”项目入选2019年事前绩效评估项目库，参评金额为532.4万元，区人大代表全程参与此项目评估，评估结论为“建议予以支持”，2019年财政预算实际安排532.4万元，实际支出532.4万元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4.教育支出决算数为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475,801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101.8%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主要用于引进新一轮优质教育资源，推动黄城根小学、杨庄小学、运河中学等学校建设，加大学前教育投入，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新开各类幼儿园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所，</w:t>
      </w:r>
      <w:r>
        <w:rPr>
          <w:rFonts w:hint="eastAsia" w:ascii="仿宋_GB2312" w:hAnsi="楷体" w:eastAsia="仿宋_GB2312"/>
          <w:sz w:val="32"/>
          <w:szCs w:val="32"/>
        </w:rPr>
        <w:t>实施课程改革计划，开展中小学课后实践活动，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完成第二轮万名教师培训，</w:t>
      </w:r>
      <w:r>
        <w:rPr>
          <w:rFonts w:hint="eastAsia" w:ascii="仿宋_GB2312" w:eastAsia="仿宋_GB2312"/>
          <w:sz w:val="32"/>
          <w:szCs w:val="32"/>
        </w:rPr>
        <w:t>提高素质教育质量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5.科学技术支出决算数为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15,108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101.4%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</w:t>
      </w:r>
      <w:r>
        <w:rPr>
          <w:rFonts w:hint="eastAsia" w:ascii="仿宋_GB2312" w:eastAsia="仿宋_GB2312"/>
          <w:sz w:val="32"/>
          <w:szCs w:val="32"/>
        </w:rPr>
        <w:t>用于科技创新投入，</w:t>
      </w:r>
      <w:r>
        <w:rPr>
          <w:rFonts w:hint="eastAsia" w:ascii="仿宋_GB2312" w:hAnsi="仿宋" w:eastAsia="仿宋_GB2312"/>
          <w:sz w:val="32"/>
          <w:szCs w:val="32"/>
        </w:rPr>
        <w:t>开展街道、乡镇等各类基层科普活动，</w:t>
      </w:r>
      <w:r>
        <w:rPr>
          <w:rFonts w:hint="eastAsia" w:ascii="仿宋_GB2312" w:eastAsia="仿宋_GB2312"/>
          <w:sz w:val="32"/>
          <w:szCs w:val="32"/>
        </w:rPr>
        <w:t>扶持科技创新人才，引进高层次人才创新团队等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6.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文化体育与传媒支出决算数为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48,516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103.3%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主要用于支持大运河文化带、文旅区综合管廊建设、环球度假区建设，举办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通州运河半程马拉松</w:t>
      </w:r>
      <w:r>
        <w:rPr>
          <w:rFonts w:hint="eastAsia" w:ascii="仿宋_GB2312" w:eastAsia="仿宋_GB2312"/>
          <w:sz w:val="32"/>
          <w:szCs w:val="32"/>
        </w:rPr>
        <w:t>等体育赛事活动，推进宋庄文化创意产业集聚区项目，奖励文创企业及人才，开展农村文艺演出星火工程等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7.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社会保障和就业支出决算数为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306,719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101.6%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主要用于保障城乡居民养老保险、基础养老金、城乡无保障老年居民保障金，保障征地超转人员生活费和医药费，建设养老驿站，落实公益岗位补贴、职业技能补贴、“三支一扶”待遇政策等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卫生健康支出决算数为</w:t>
      </w:r>
      <w:r>
        <w:rPr>
          <w:rFonts w:ascii="仿宋_GB2312" w:hAnsi="Times-Roman" w:eastAsia="仿宋_GB2312" w:cs="FZFSK--GBK1-0"/>
          <w:kern w:val="0"/>
          <w:sz w:val="32"/>
          <w:szCs w:val="32"/>
        </w:rPr>
        <w:t>279,895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106.9%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主要用于医药卫生体制改革，城乡居民医疗保险，疾病防控及精神病防治等基本公共卫生服务，潞河医院病房楼及地下车库工程建设等。其中卫健委的“卫生系统信息化”项目入选2019年事前绩效评估项目库，参评金额为1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hAnsi="楷体" w:eastAsia="仿宋_GB2312"/>
          <w:sz w:val="32"/>
          <w:szCs w:val="32"/>
        </w:rPr>
        <w:t>874万元，评估结论为“建议部分支持”，2019年财政预算实际安排“卫生系统信息化”项目903万元，实际支出901.8万元（政府采购实际金额比预计数低1.2万元）。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9.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节能环保支出决算数为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168,293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107.5%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主要用于疏解一般制造业“散乱污”，工业大院清理，扬尘污染及尾气检查治理，燃气锅炉低氮改造补助，推进污水处理厂建设，开展黑臭水体治理清淤工程等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城乡社区支出决算数为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585,762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107.2%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。主要用于背街小巷整治，城市公共设施更新，道路维护保洁，垃圾清运处理，城市景观照明，完成“公厕革命”改造任务等</w:t>
      </w:r>
      <w:r>
        <w:rPr>
          <w:rFonts w:hint="eastAsia" w:ascii="仿宋_GB2312" w:hAnsi="楷体" w:eastAsia="仿宋_GB2312"/>
          <w:sz w:val="32"/>
          <w:szCs w:val="32"/>
        </w:rPr>
        <w:t>。其中城管委的“八座应急临时填埋场整治” 项目入选2019年事前绩效评估项目库，参评金额为12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hAnsi="楷体" w:eastAsia="仿宋_GB2312"/>
          <w:sz w:val="32"/>
          <w:szCs w:val="32"/>
        </w:rPr>
        <w:t>108.9万元，区人大代表全程参与此项目评估，评估结论为“建议予以支持”，2019年财政预算实际安排10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hAnsi="楷体" w:eastAsia="仿宋_GB2312"/>
          <w:sz w:val="32"/>
          <w:szCs w:val="32"/>
        </w:rPr>
        <w:t>000万元，实际支出10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hAnsi="楷体" w:eastAsia="仿宋_GB2312"/>
          <w:sz w:val="32"/>
          <w:szCs w:val="32"/>
        </w:rPr>
        <w:t>000万元。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11.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农林水支出决算数为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999,005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 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主要用于“美丽乡村”建设，新一轮百万亩造林工程，实施潮白河森林景观带、台湖万亩游憩园等1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项重点绿化美化工程，保障大运河森林公园、东郊森林公园维护养护；推进行政办公区再生水管线工程及雨水工程配套泵站建设，开展积滞水点治理等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12.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交通运输支出决算数为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36,935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104.9%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副中心站综合交通枢纽、东六环路入地、宋梁路北延工程，推进乡镇公路建设，优化公路线网，智能升级信号灯，新建路侧停车泊位，改造惠民路、通燕高速辅路等重点道路，落实小公共票价补贴，运营维护城市公共自行车系统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13.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资源勘探信息等支出决算数为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109,398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105.5%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。主要用于副中心建设基金及成立科技创新资金等。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14.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商业服务业等支出决算数为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516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15.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金融支出决算数为</w:t>
      </w:r>
      <w:r>
        <w:rPr>
          <w:rFonts w:ascii="仿宋_GB2312" w:hAnsi="Times-Roman" w:eastAsia="仿宋_GB2312" w:cs="FZFSK--GBK1-0"/>
          <w:kern w:val="0"/>
          <w:sz w:val="32"/>
          <w:szCs w:val="32"/>
        </w:rPr>
        <w:t>783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242.4%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16.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援助其他地区支出决算数为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4,539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109.7%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17.</w:t>
      </w:r>
      <w:r>
        <w:rPr>
          <w:rFonts w:hint="eastAsia"/>
        </w:rPr>
        <w:t xml:space="preserve"> 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自然资源海洋气象等支出决算数为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1,308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100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18.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住房保障支出决算数为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56,063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104.6%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。主要用于住房公积金及农村危房改造等。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19.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粮油物资储备支出决算数为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499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2</w:t>
      </w:r>
      <w:r>
        <w:rPr>
          <w:rFonts w:ascii="仿宋_GB2312" w:hAnsi="Times-Roman" w:eastAsia="仿宋_GB2312" w:cs="FZFSK--GBK1-0"/>
          <w:kern w:val="0"/>
          <w:sz w:val="32"/>
          <w:szCs w:val="32"/>
        </w:rPr>
        <w:t>0.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灾害防治及应急管理支出决算数为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21,315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115.5%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。主要用于保障消防支队消防执法检查、应急管理局专职安全员、交通局事故抢险应急经费等。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其他支出决算数为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16,056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万元，完成预算调整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96.7%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仿宋_GB2312" w:hAnsi="Times-Roman" w:eastAsia="仿宋_GB2312" w:cs="FZFSK--GBK1-0"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39" w:orient="landscape"/>
          <w:pgMar w:top="2098" w:right="1474" w:bottom="1985" w:left="1588" w:header="851" w:footer="737" w:gutter="0"/>
          <w:pgNumType w:fmt="numberInDash"/>
          <w:cols w:space="425" w:num="1"/>
          <w:docGrid w:linePitch="312" w:charSpace="0"/>
        </w:sectPr>
      </w:pPr>
      <w:r>
        <w:rPr>
          <w:rFonts w:ascii="仿宋_GB2312" w:hAnsi="Times-Roman" w:eastAsia="仿宋_GB2312" w:cs="FZFSK--GBK1-0"/>
          <w:kern w:val="0"/>
          <w:sz w:val="32"/>
          <w:szCs w:val="32"/>
        </w:rPr>
        <w:br w:type="page"/>
      </w:r>
      <w:r>
        <w:rPr>
          <w:rFonts w:ascii="仿宋_GB2312" w:hAnsi="Times-Roman" w:eastAsia="仿宋_GB2312" w:cs="FZFSK--GBK1-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1158875</wp:posOffset>
            </wp:positionV>
            <wp:extent cx="7892415" cy="5711190"/>
            <wp:effectExtent l="0" t="0" r="381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92415" cy="571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Times-Roman" w:eastAsia="仿宋_GB2312" w:cs="FZFSK--GBK1-0"/>
          <w:kern w:val="0"/>
          <w:sz w:val="32"/>
          <w:szCs w:val="32"/>
        </w:rPr>
        <w:br w:type="page"/>
      </w:r>
      <w:bookmarkStart w:id="14" w:name="_GoBack"/>
      <w:bookmarkEnd w:id="14"/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说明三 关于2019年一般公共预算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收支决算情况的说明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一、2019年一般公共预算收入决算情况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一般公共预算总收入决算数为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4,378,999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119.1%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，具体执行情况如下：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一般公共预算收入完成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887,278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万元，同比增长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6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.9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，完成区六届人大常委会二十六次会议批准调整预算的100.8%；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市对区县转移支付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1,789,505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150.1%,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主要是年底下达美丽乡村资金1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亿元，预拨2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020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年一般转移支付3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8.23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亿元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3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上年市级结转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187,424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4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上年区级结转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816,952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5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政府债券收入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300,000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万元，全部为新增一般债券，与预算调整数一致。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6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政府性基金预算调入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273,158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183,158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eastAsia="仿宋_GB2312" w:cs="FZFSK--GBK1-0"/>
          <w:kern w:val="0"/>
          <w:sz w:val="32"/>
          <w:szCs w:val="32"/>
        </w:rPr>
        <w:t>90,000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万元，主要原因是加大政府性基金预算统筹力度。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7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国有资本经营预算调入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15,200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8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其他资金调入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8,798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万元，主要是生育津贴退回。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9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预算稳定调节基金调入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100,684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二、2019年一般公共预算支出决算情况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一般公共预算总支出决算数为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4,378,999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119.1%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，具体执行情况如下：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一般公共预算支出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3,598,017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3,452,602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145,415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万元，主要是1</w:t>
      </w:r>
      <w:r>
        <w:rPr>
          <w:rFonts w:ascii="仿宋_GB2312" w:eastAsia="仿宋_GB2312" w:cs="FZFSK--GBK1-0"/>
          <w:kern w:val="0"/>
          <w:sz w:val="32"/>
          <w:szCs w:val="32"/>
        </w:rPr>
        <w:t>2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月份增加美丽乡村建设支出8</w:t>
      </w:r>
      <w:r>
        <w:rPr>
          <w:rFonts w:ascii="仿宋_GB2312" w:eastAsia="仿宋_GB2312" w:cs="FZFSK--GBK1-0"/>
          <w:kern w:val="0"/>
          <w:sz w:val="32"/>
          <w:szCs w:val="32"/>
        </w:rPr>
        <w:t>.5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亿元、清理拖欠工程款及乡镇支出5亿元等。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上解市级支出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188,222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80,847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107,375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万元，主要是共享税增量返还上解9</w:t>
      </w:r>
      <w:r>
        <w:rPr>
          <w:rFonts w:ascii="仿宋_GB2312" w:eastAsia="仿宋_GB2312" w:cs="FZFSK--GBK1-0"/>
          <w:kern w:val="0"/>
          <w:sz w:val="32"/>
          <w:szCs w:val="32"/>
        </w:rPr>
        <w:t>.28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亿元。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3.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市级专项结转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74,815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53,944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20,871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万元，主要是年底下达的专项转移支付未执行完毕，结转下年使用。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4.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区级结转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500,667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78,447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422,220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万元，主要是预拨2</w:t>
      </w:r>
      <w:r>
        <w:rPr>
          <w:rFonts w:ascii="仿宋_GB2312" w:eastAsia="仿宋_GB2312" w:cs="FZFSK--GBK1-0"/>
          <w:kern w:val="0"/>
          <w:sz w:val="32"/>
          <w:szCs w:val="32"/>
        </w:rPr>
        <w:t>020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年一般转移支付3</w:t>
      </w:r>
      <w:r>
        <w:rPr>
          <w:rFonts w:ascii="仿宋_GB2312" w:eastAsia="仿宋_GB2312" w:cs="FZFSK--GBK1-0"/>
          <w:kern w:val="0"/>
          <w:sz w:val="32"/>
          <w:szCs w:val="32"/>
        </w:rPr>
        <w:t>8.23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亿元。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5.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补充预算稳定调节基金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17,278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7,278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eastAsia="仿宋_GB2312" w:cs="FZFSK--GBK1-0"/>
          <w:kern w:val="0"/>
          <w:sz w:val="32"/>
          <w:szCs w:val="32"/>
        </w:rPr>
      </w:pPr>
    </w:p>
    <w:tbl>
      <w:tblPr>
        <w:tblStyle w:val="6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127"/>
        <w:gridCol w:w="1251"/>
        <w:gridCol w:w="277"/>
        <w:gridCol w:w="1222"/>
        <w:gridCol w:w="194"/>
        <w:gridCol w:w="1260"/>
        <w:gridCol w:w="156"/>
        <w:gridCol w:w="963"/>
        <w:gridCol w:w="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7" w:name="RANGE!A1:E19"/>
            <w:r>
              <w:rPr>
                <w:rFonts w:hint="eastAsia" w:ascii="方正小标宋_GBK" w:eastAsia="方正小标宋_GBK"/>
                <w:bCs/>
                <w:sz w:val="32"/>
              </w:rPr>
              <w:t>北京市通州区2019年区级政府性基金预算收入决算情况表</w:t>
            </w:r>
            <w:bookmarkEnd w:id="7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表四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2019年预算调整数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决算数为预算调整数%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政府性基金预算收入合计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2,221,000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2,221,000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1,461,646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65.8%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其中:1.国有土地使用权出让收入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2,181,000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2,181,000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1,405,182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64.4%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2.城市基础设施配套费收入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55,449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138.6%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3.污水处理费收入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4.农业土地开发资金收入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696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上年市级结转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7,811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5,229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5,229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上年区级结转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868,895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577,116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577,116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调入资金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105,003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105,003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本年市级转移支付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7,436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163,046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171,740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本年政府债券收入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1,462,040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1,462,040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其中: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新增专项债券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337,000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337,000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再融资专项债券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1,125,040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1,125,040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</w:trPr>
        <w:tc>
          <w:tcPr>
            <w:tcW w:w="3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收入总计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3,105,142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4,533,434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3,782,774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83.4%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说明四 关于2019年政府性基金预算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收入决算情况的说明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>一、</w:t>
      </w:r>
      <w:r>
        <w:rPr>
          <w:rFonts w:ascii="黑体" w:hAnsi="黑体" w:eastAsia="黑体" w:cs="FZHTK--GBK1-0"/>
          <w:kern w:val="0"/>
          <w:sz w:val="32"/>
          <w:szCs w:val="32"/>
        </w:rPr>
        <w:t>2019</w:t>
      </w:r>
      <w:r>
        <w:rPr>
          <w:rFonts w:hint="eastAsia" w:ascii="黑体" w:hAnsi="黑体" w:eastAsia="黑体" w:cs="FZHTK--GBK1-0"/>
          <w:kern w:val="0"/>
          <w:sz w:val="32"/>
          <w:szCs w:val="32"/>
        </w:rPr>
        <w:t>年政府性基金预算收入总体情况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政府性基金预算总收入决算数为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3,782,774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83.4%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，主要原因是受宏观政策影响，土地未能如期上市，收入减少。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>二、2019年政府性基金预算收入具体情况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国有土地使用权出让收入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1,405,182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2,181,000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万元减少</w:t>
      </w:r>
      <w:r>
        <w:rPr>
          <w:rFonts w:ascii="仿宋_GB2312" w:eastAsia="仿宋_GB2312" w:cs="FZFSK--GBK1-0"/>
          <w:kern w:val="0"/>
          <w:sz w:val="32"/>
          <w:szCs w:val="32"/>
        </w:rPr>
        <w:t>775,818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万元，主要原因是土地未按照计划上市，收入减少。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城市基础设施配套费收入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55,449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40,000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eastAsia="仿宋_GB2312" w:cs="FZFSK--GBK1-0"/>
          <w:kern w:val="0"/>
          <w:sz w:val="32"/>
          <w:szCs w:val="32"/>
        </w:rPr>
        <w:t>15,449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eastAsia="仿宋_GB2312" w:cs="FZFSK--GBK1-0"/>
          <w:kern w:val="0"/>
          <w:sz w:val="32"/>
          <w:szCs w:val="32"/>
        </w:rPr>
        <w:t>3.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污水处理费收入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319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4.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农业土地开发资金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696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5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上年市级结转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5,229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6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上年区级结转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577,116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Times-Roman"/>
          <w:kern w:val="0"/>
          <w:sz w:val="32"/>
          <w:szCs w:val="32"/>
        </w:rPr>
      </w:pPr>
      <w:r>
        <w:rPr>
          <w:rFonts w:ascii="仿宋_GB2312" w:eastAsia="仿宋_GB2312" w:cs="FZFSK--GBK1-0"/>
          <w:kern w:val="0"/>
          <w:sz w:val="32"/>
          <w:szCs w:val="32"/>
        </w:rPr>
        <w:t>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.调入资金</w:t>
      </w:r>
      <w:r>
        <w:rPr>
          <w:rFonts w:ascii="仿宋_GB2312" w:eastAsia="仿宋_GB2312" w:cs="FZFSK--GBK1-0"/>
          <w:kern w:val="0"/>
          <w:sz w:val="32"/>
          <w:szCs w:val="32"/>
        </w:rPr>
        <w:t>105,003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Times-Roman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8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.本年市级转移支付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171,740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163,046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8,694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Times-Roman"/>
          <w:kern w:val="0"/>
          <w:sz w:val="32"/>
          <w:szCs w:val="32"/>
        </w:rPr>
      </w:pPr>
      <w:r>
        <w:rPr>
          <w:rFonts w:ascii="仿宋_GB2312" w:hAnsi="Times-Roman" w:eastAsia="仿宋_GB2312" w:cs="Times-Roman"/>
          <w:kern w:val="0"/>
          <w:sz w:val="32"/>
          <w:szCs w:val="32"/>
        </w:rPr>
        <w:t>9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.本年政府债券收入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1,462,040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万元，与预算调整数一致。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Times-Roman" w:eastAsia="仿宋_GB2312" w:cs="Times-Roman"/>
          <w:kern w:val="0"/>
          <w:sz w:val="32"/>
          <w:szCs w:val="32"/>
        </w:rPr>
      </w:pPr>
    </w:p>
    <w:tbl>
      <w:tblPr>
        <w:tblStyle w:val="6"/>
        <w:tblW w:w="9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58"/>
        <w:gridCol w:w="997"/>
        <w:gridCol w:w="202"/>
        <w:gridCol w:w="1321"/>
        <w:gridCol w:w="169"/>
        <w:gridCol w:w="1099"/>
        <w:gridCol w:w="206"/>
        <w:gridCol w:w="1041"/>
        <w:gridCol w:w="218"/>
        <w:gridCol w:w="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850" w:hRule="atLeast"/>
        </w:trPr>
        <w:tc>
          <w:tcPr>
            <w:tcW w:w="9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8" w:name="RANGE!A2:E26"/>
            <w:r>
              <w:rPr>
                <w:rFonts w:hint="eastAsia" w:ascii="方正小标宋_GBK" w:eastAsia="方正小标宋_GBK"/>
                <w:bCs/>
                <w:sz w:val="32"/>
              </w:rPr>
              <w:t>北京市通州区2019年区级政府性基金预算支出决算情况表</w:t>
            </w:r>
            <w:bookmarkEnd w:id="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表五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2019年预算调整数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决算数为预算调整数%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政府性基金预算支出合计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1,463,484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1,938,310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1,411,033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一、科学技术支出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二、文化旅游体育与传媒支出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三、社会保障和就业支出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1,890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-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四、节能环保支出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五、城乡社区支出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1,456,048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1,930,874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1,398,766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六、农林水支出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七、交通运输支出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八、资源勘探信息等支出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九、金融支出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十、其他支出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7,436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7,436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10,377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139.6%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上解支出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1,322,979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1,325,148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1,373,664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103.7%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其中:1.债务还本支出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1,256,698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1,256,698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1,256,698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2.债务付息支出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66,281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68,450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69,368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101.3%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Cs w:val="21"/>
              </w:rPr>
              <w:t xml:space="preserve">         </w:t>
            </w:r>
            <w:r>
              <w:rPr>
                <w:rFonts w:ascii="仿宋_GB2312" w:hAnsi="宋体" w:eastAsia="仿宋_GB2312" w:cs="宋体"/>
                <w:w w:val="9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w w:val="90"/>
                <w:kern w:val="0"/>
                <w:szCs w:val="21"/>
              </w:rPr>
              <w:t>3.农田水利建设资金上解支出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47,534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-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Cs w:val="21"/>
              </w:rPr>
              <w:t xml:space="preserve">        </w:t>
            </w:r>
            <w:r>
              <w:rPr>
                <w:rFonts w:ascii="仿宋_GB2312" w:hAnsi="宋体" w:eastAsia="仿宋_GB2312" w:cs="宋体"/>
                <w:w w:val="9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w w:val="90"/>
                <w:kern w:val="0"/>
                <w:szCs w:val="21"/>
              </w:rPr>
              <w:t xml:space="preserve"> 4.收回结余结转资金上解支出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-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政府性基金预算调出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71,055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183,158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273,158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149.1%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市级专项结转下年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247,624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2,697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29,147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1080.7%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510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区级结转下年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1,084,121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695,772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2" w:type="dxa"/>
          <w:trHeight w:val="454" w:hRule="atLeast"/>
        </w:trPr>
        <w:tc>
          <w:tcPr>
            <w:tcW w:w="3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支出总计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3,105,142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4,533,434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3,782,774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83.4%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说明五 关于2019年政府性基金预算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支出决算情况的说明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 2019年政府性基金预算支出总体情况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eastAsia="仿宋_GB2312" w:cs="FZFSK--GBK1-0"/>
          <w:kern w:val="0"/>
          <w:sz w:val="32"/>
          <w:szCs w:val="32"/>
        </w:rPr>
        <w:t>政府性基金预算总支出决算数为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3,782,774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83.4%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，主要原因是政府性基金预算收入下降，支出相应减少。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 2019年政府性基金预算支出具体情况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社会保障和就业支出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1,890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城乡社区支出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1,398,766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1,930,874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万元减少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532,108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万元，主要原因是收入减少导致支出相应减少。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3.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其他支出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10,377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7,436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2,941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万元，主要是彩票公益金及对应专项债务收入安排的支出。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4.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上解支出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1,373,664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eastAsia="仿宋_GB2312" w:cs="FZFSK--GBK1-0"/>
          <w:kern w:val="0"/>
          <w:sz w:val="32"/>
          <w:szCs w:val="32"/>
        </w:rPr>
        <w:t>1,325,148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48,516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元, 主要是农田水利建设资金上解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5.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政府性基金预算调出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273,158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183,158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90,000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万元，主要是加大政府性基金调入一般公共预算统筹力度。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6.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市级专项结转下年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29,147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万元，比预算调整数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2,697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万元增加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26,450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万元，主要是提前下达转移支付资金。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-Roman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7.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区级结转下年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695,772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万元，比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调整数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1,084,121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万元减少</w:t>
      </w:r>
      <w:r>
        <w:rPr>
          <w:rFonts w:ascii="仿宋_GB2312" w:hAnsi="Times-Roman" w:eastAsia="仿宋_GB2312" w:cs="FZFSK--GBK1-0"/>
          <w:kern w:val="0"/>
          <w:sz w:val="32"/>
          <w:szCs w:val="32"/>
        </w:rPr>
        <w:t>388,349</w:t>
      </w:r>
      <w:r>
        <w:rPr>
          <w:rFonts w:hint="eastAsia" w:ascii="仿宋_GB2312" w:hAnsi="Times-Roman" w:eastAsia="仿宋_GB2312" w:cs="FZFSK--GBK1-0"/>
          <w:kern w:val="0"/>
          <w:sz w:val="32"/>
          <w:szCs w:val="32"/>
        </w:rPr>
        <w:t>万元，主要是当年收入未达到预期，支出相应减少。</w:t>
      </w:r>
    </w:p>
    <w:tbl>
      <w:tblPr>
        <w:tblStyle w:val="6"/>
        <w:tblW w:w="9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35"/>
        <w:gridCol w:w="1501"/>
        <w:gridCol w:w="31"/>
        <w:gridCol w:w="1815"/>
        <w:gridCol w:w="123"/>
        <w:gridCol w:w="1473"/>
        <w:gridCol w:w="123"/>
        <w:gridCol w:w="1222"/>
        <w:gridCol w:w="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850" w:hRule="atLeast"/>
        </w:trPr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_GBK" w:hAnsi="Times-Roman" w:eastAsia="方正小标宋_GBK" w:cs="FZFSK--GBK1-0"/>
                <w:kern w:val="0"/>
                <w:sz w:val="32"/>
                <w:szCs w:val="32"/>
              </w:rPr>
            </w:pPr>
            <w:bookmarkStart w:id="9" w:name="RANGE!A1:E9"/>
            <w:r>
              <w:rPr>
                <w:rFonts w:hint="eastAsia" w:ascii="方正小标宋_GBK" w:hAnsi="Times-Roman" w:eastAsia="方正小标宋_GBK" w:cs="FZFSK--GBK1-0"/>
                <w:kern w:val="0"/>
                <w:sz w:val="32"/>
                <w:szCs w:val="32"/>
              </w:rPr>
              <w:t>北京市通州区2019年区级国有资本经营预算收入决算情况表</w:t>
            </w:r>
            <w:bookmarkEnd w:id="9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283" w:hRule="atLeast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表六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2019年调整预算数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决算数为预算调整数%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国有资本经营预算收入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875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53,053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53,053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其中：1.利润收入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875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2,053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2,053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2.产权转让收入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51,000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51,000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上年结转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1,233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1,233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1,233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收入总计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2,108</w:t>
            </w: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54,286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54,286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100.0%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Times-Roman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说明六 关于2019年国有资本经营预算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收入决算情况的说明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一、2019 年国有资本经营预算收入总体情况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2019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年国有资本经营预算总收入决算数为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54,286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二、2019 年国有资本经营预算收入具体情况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国有资本经营预算收入决算数为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53,053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上年结转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1,233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tbl>
      <w:tblPr>
        <w:tblStyle w:val="6"/>
        <w:tblW w:w="9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1537"/>
        <w:gridCol w:w="1619"/>
        <w:gridCol w:w="329"/>
        <w:gridCol w:w="1686"/>
        <w:gridCol w:w="33"/>
        <w:gridCol w:w="1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10" w:name="RANGE!A1:E10"/>
            <w:r>
              <w:rPr>
                <w:rFonts w:hint="eastAsia" w:ascii="方正小标宋_GBK" w:eastAsia="方正小标宋_GBK"/>
                <w:bCs/>
                <w:sz w:val="32"/>
                <w:szCs w:val="32"/>
              </w:rPr>
              <w:t>北京市通州区2019年区级国有资本经营预算支出决算情况表</w:t>
            </w:r>
            <w:bookmarkEnd w:id="1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表七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2019年调整预算数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决算数为预算调整数%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国有资本经营预算支出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1,233 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1,233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1,233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其中：国有企业资本金注入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1,233 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1,233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1,233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国有资本经营预算调出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590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15,200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15,200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结转下年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37,853 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37,853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支出总计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2,108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54,286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54,286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100.0%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说明七 关于2019年国有资本经营预算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支出决算情况的说明</w:t>
      </w:r>
    </w:p>
    <w:p>
      <w:pPr>
        <w:autoSpaceDE w:val="0"/>
        <w:autoSpaceDN w:val="0"/>
        <w:adjustRightInd w:val="0"/>
        <w:spacing w:line="560" w:lineRule="exact"/>
        <w:ind w:firstLine="900" w:firstLineChars="200"/>
        <w:jc w:val="left"/>
        <w:rPr>
          <w:rFonts w:ascii="FZXBSJW--GB1-0" w:eastAsia="FZXBSJW--GB1-0" w:cs="FZXBSJW--GB1-0"/>
          <w:kern w:val="0"/>
          <w:sz w:val="45"/>
          <w:szCs w:val="45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FS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</w:t>
      </w:r>
      <w:r>
        <w:rPr>
          <w:rFonts w:hint="eastAsia" w:ascii="黑体" w:hAnsi="Times-Roman" w:eastAsia="黑体" w:cs="Times-Roman"/>
          <w:kern w:val="0"/>
          <w:sz w:val="32"/>
          <w:szCs w:val="32"/>
        </w:rPr>
        <w:t>2019</w:t>
      </w:r>
      <w:r>
        <w:rPr>
          <w:rFonts w:hint="eastAsia" w:ascii="黑体" w:eastAsia="黑体" w:cs="FZFSK--GBK1-0"/>
          <w:kern w:val="0"/>
          <w:sz w:val="32"/>
          <w:szCs w:val="32"/>
        </w:rPr>
        <w:t>年国有资本经营预算支出总体情况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2019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年国有资本经营预算总支出决算数为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54,286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FS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</w:t>
      </w:r>
      <w:r>
        <w:rPr>
          <w:rFonts w:hint="eastAsia" w:ascii="黑体" w:hAnsi="Times-Roman" w:eastAsia="黑体" w:cs="Times-Roman"/>
          <w:kern w:val="0"/>
          <w:sz w:val="32"/>
          <w:szCs w:val="32"/>
        </w:rPr>
        <w:t>2019</w:t>
      </w:r>
      <w:r>
        <w:rPr>
          <w:rFonts w:hint="eastAsia" w:ascii="黑体" w:eastAsia="黑体" w:cs="FZFSK--GBK1-0"/>
          <w:kern w:val="0"/>
          <w:sz w:val="32"/>
          <w:szCs w:val="32"/>
        </w:rPr>
        <w:t>年国有资本经营预算支出具体情况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国有资本经营预算支出决算数为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1,233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100%，主要是大运河（北京）水务公司参与投资水务建设项目注册资本金支出733万元，通州区商业资产运营公司认缴其投资公司注册资本金项目支出500万元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国有资本经营预算调出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15,200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100%，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主要是国有资本经营预算调入一般公共预算统筹力度。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3.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结转下年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37,853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万元，完成预算调整数的</w:t>
      </w: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100%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1700"/>
        <w:gridCol w:w="1700"/>
        <w:gridCol w:w="2128"/>
        <w:gridCol w:w="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11" w:name="RANGE!A1:E13"/>
            <w:r>
              <w:rPr>
                <w:rFonts w:hint="eastAsia" w:ascii="方正小标宋_GBK" w:eastAsia="方正小标宋_GBK" w:cs="FZFSK--GBK1-0"/>
                <w:kern w:val="0"/>
                <w:sz w:val="32"/>
                <w:szCs w:val="32"/>
              </w:rPr>
              <w:t>北京市通州区2019年区级社会保险基金预算收入决算情况表</w:t>
            </w:r>
            <w:bookmarkEnd w:id="1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    表八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决算数为预算数%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城乡居民基本养老保险基金收入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114,200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115,870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其中：1.保险费收入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9,300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9,852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2.利息收入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3,170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132.1%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3.财政补贴收入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100,650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101,01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4.转移收入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1,850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1,827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5.其他收入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上年结余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176,021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176,651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3" w:type="dxa"/>
          <w:trHeight w:val="567" w:hRule="atLeast"/>
        </w:trPr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收入总计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290,221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 292,521 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100.8%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说明八 关于2019年社会保险基金预算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收入决算情况的说明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FZXBSJW--GB1-0" w:eastAsia="FZXBSJW--GB1-0" w:cs="FZXBSJW--GB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一、2019年社会保险基金预算收入总体情况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color w:val="000000"/>
          <w:kern w:val="0"/>
          <w:sz w:val="32"/>
          <w:szCs w:val="32"/>
        </w:rPr>
        <w:t>2019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年社会保险基金预算收入决算数为</w:t>
      </w:r>
      <w:r>
        <w:rPr>
          <w:rFonts w:ascii="仿宋_GB2312" w:hAnsi="Times-Roman" w:eastAsia="仿宋_GB2312" w:cs="Times-Roman"/>
          <w:color w:val="000000"/>
          <w:kern w:val="0"/>
          <w:sz w:val="32"/>
          <w:szCs w:val="32"/>
        </w:rPr>
        <w:t>292,521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万元，完成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预算数的</w:t>
      </w:r>
      <w:r>
        <w:rPr>
          <w:rFonts w:ascii="仿宋_GB2312" w:hAnsi="Times-Roman" w:eastAsia="仿宋_GB2312" w:cs="Times-Roman"/>
          <w:color w:val="000000"/>
          <w:kern w:val="0"/>
          <w:sz w:val="32"/>
          <w:szCs w:val="32"/>
        </w:rPr>
        <w:t>100.8%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color w:val="000000"/>
          <w:kern w:val="0"/>
          <w:sz w:val="32"/>
          <w:szCs w:val="32"/>
        </w:rPr>
      </w:pPr>
      <w:r>
        <w:rPr>
          <w:rFonts w:hint="eastAsia" w:ascii="黑体" w:eastAsia="黑体" w:cs="FZHTK--GBK1-0"/>
          <w:color w:val="000000"/>
          <w:kern w:val="0"/>
          <w:sz w:val="32"/>
          <w:szCs w:val="32"/>
        </w:rPr>
        <w:t>二、2019年社会保险基金预算收入具体情况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color w:val="000000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城乡居民基本养老保险基金收入</w:t>
      </w:r>
      <w:r>
        <w:rPr>
          <w:rFonts w:ascii="仿宋_GB2312" w:hAnsi="Times-Roman" w:eastAsia="仿宋_GB2312" w:cs="Times-Roman"/>
          <w:color w:val="000000"/>
          <w:kern w:val="0"/>
          <w:sz w:val="32"/>
          <w:szCs w:val="32"/>
        </w:rPr>
        <w:t>115,870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万元，完成预算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color w:val="000000"/>
          <w:kern w:val="0"/>
          <w:sz w:val="32"/>
          <w:szCs w:val="32"/>
        </w:rPr>
        <w:t>101.5%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color w:val="00000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color w:val="000000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上年结余</w:t>
      </w:r>
      <w:r>
        <w:rPr>
          <w:rFonts w:ascii="仿宋_GB2312" w:hAnsi="Times-Roman" w:eastAsia="仿宋_GB2312" w:cs="Times-Roman"/>
          <w:color w:val="000000"/>
          <w:kern w:val="0"/>
          <w:sz w:val="32"/>
          <w:szCs w:val="32"/>
        </w:rPr>
        <w:t>176,651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万元，完成预算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数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的</w:t>
      </w:r>
      <w:r>
        <w:rPr>
          <w:rFonts w:ascii="仿宋_GB2312" w:hAnsi="Times-Roman" w:eastAsia="仿宋_GB2312" w:cs="Times-Roman"/>
          <w:color w:val="000000"/>
          <w:kern w:val="0"/>
          <w:sz w:val="32"/>
          <w:szCs w:val="32"/>
        </w:rPr>
        <w:t>100.4%</w:t>
      </w:r>
      <w:r>
        <w:rPr>
          <w:rFonts w:hint="eastAsia" w:ascii="仿宋_GB2312" w:eastAsia="仿宋_GB2312" w:cs="FZFSK--GBK1-0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1702"/>
        <w:gridCol w:w="1558"/>
        <w:gridCol w:w="2128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 w:cs="FZFSK--GBK1-0"/>
                <w:kern w:val="0"/>
                <w:sz w:val="32"/>
                <w:szCs w:val="32"/>
              </w:rPr>
              <w:t>北京市通州区2019年区级社会保险基金预算支出决算情况表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    表九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目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2019年预算数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2019年决算数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决算数为预算数%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城乡居民基本养老保险基金支出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109,513</w:t>
            </w:r>
          </w:p>
        </w:tc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106,615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其中:1.基础养老金支出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98,430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96,441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2.个人账户养老金支出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9,672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8,793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3.丧葬抚恤补助支出 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1,395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1,226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4.转移支出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5.其他支出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年末滚存结余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180,708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185,906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102.9%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3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支出总计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290,221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292,521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100.8%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说明九 关于2019年社会保险基金预算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支出决算情况的说明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一、2019年社会保险基金预算支出总体情况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2019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年社会保险基金预算支出决算数为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292,521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100.8%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二、2019年社会保险基金预算支出具体情况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1.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城乡居民基本养老保险基金支出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106,615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97.4%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hint="eastAsia" w:ascii="仿宋_GB2312" w:hAnsi="Times-Roman" w:eastAsia="仿宋_GB2312" w:cs="Times-Roman"/>
          <w:kern w:val="0"/>
          <w:sz w:val="32"/>
          <w:szCs w:val="32"/>
        </w:rPr>
        <w:t>2.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年末滚存结余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185,906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万元，完成预算数的</w:t>
      </w:r>
      <w:r>
        <w:rPr>
          <w:rFonts w:ascii="仿宋_GB2312" w:hAnsi="Times-Roman" w:eastAsia="仿宋_GB2312" w:cs="Times-Roman"/>
          <w:kern w:val="0"/>
          <w:sz w:val="32"/>
          <w:szCs w:val="32"/>
        </w:rPr>
        <w:t>102.9%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tbl>
      <w:tblPr>
        <w:tblStyle w:val="6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 w:cs="FZFSK--GBK1-0"/>
                <w:kern w:val="0"/>
                <w:sz w:val="32"/>
                <w:szCs w:val="32"/>
              </w:rPr>
              <w:t>北京市通州区2019年区级地方政府债务余额和限额决算情况表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1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   表十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 xml:space="preserve">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        目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金    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2019年地方政府债务限额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一般债务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56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4,900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专项债务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bookmarkStart w:id="12" w:name="_Hlk38533619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47,100</w:t>
            </w:r>
            <w:bookmarkEnd w:id="1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2019年地方政府债务余额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13" w:name="_Hlk38533632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0,152</w:t>
            </w:r>
            <w:bookmarkEnd w:id="1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一般债务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09,990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专项债务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0,162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说明十 关于2019年地方政府债务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  <w:r>
        <w:rPr>
          <w:rFonts w:hint="eastAsia" w:ascii="方正小标宋简体" w:eastAsia="方正小标宋简体" w:cs="FZXBSJW--GB1-0"/>
          <w:kern w:val="0"/>
          <w:sz w:val="44"/>
          <w:szCs w:val="44"/>
        </w:rPr>
        <w:t>决算情况的说明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一、2019年政府债务限额情况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北京市财政局核定我区2019年政府债务限额为</w:t>
      </w:r>
      <w:r>
        <w:rPr>
          <w:rFonts w:ascii="仿宋_GB2312" w:eastAsia="仿宋_GB2312"/>
          <w:sz w:val="32"/>
          <w:szCs w:val="32"/>
        </w:rPr>
        <w:t xml:space="preserve">6,212,000 </w:t>
      </w:r>
      <w:r>
        <w:rPr>
          <w:rFonts w:hint="eastAsia" w:ascii="仿宋_GB2312" w:eastAsia="仿宋_GB2312"/>
          <w:sz w:val="32"/>
          <w:szCs w:val="32"/>
        </w:rPr>
        <w:t>万元，其中：一般债务</w:t>
      </w:r>
      <w:r>
        <w:rPr>
          <w:rFonts w:ascii="仿宋_GB2312" w:eastAsia="仿宋_GB2312"/>
          <w:sz w:val="32"/>
          <w:szCs w:val="32"/>
        </w:rPr>
        <w:t>2,564,900</w:t>
      </w:r>
      <w:r>
        <w:rPr>
          <w:rFonts w:hint="eastAsia" w:ascii="仿宋_GB2312" w:eastAsia="仿宋_GB2312"/>
          <w:sz w:val="32"/>
          <w:szCs w:val="32"/>
        </w:rPr>
        <w:t>万元，专项债务</w:t>
      </w:r>
      <w:r>
        <w:rPr>
          <w:rFonts w:ascii="仿宋_GB2312" w:eastAsia="仿宋_GB2312"/>
          <w:sz w:val="32"/>
          <w:szCs w:val="32"/>
        </w:rPr>
        <w:t>3,647,100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eastAsia="黑体" w:cs="FZHTK--GBK1-0"/>
          <w:kern w:val="0"/>
          <w:sz w:val="32"/>
          <w:szCs w:val="32"/>
        </w:rPr>
      </w:pPr>
      <w:r>
        <w:rPr>
          <w:rFonts w:hint="eastAsia" w:ascii="黑体" w:eastAsia="黑体" w:cs="FZHTK--GBK1-0"/>
          <w:kern w:val="0"/>
          <w:sz w:val="32"/>
          <w:szCs w:val="32"/>
        </w:rPr>
        <w:t>二、2019年政府债务余额情况</w:t>
      </w:r>
    </w:p>
    <w:p>
      <w:pPr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</w:rPr>
        <w:t>截至2019年年底我区地方政府债务余额共计</w:t>
      </w:r>
      <w:r>
        <w:rPr>
          <w:rFonts w:ascii="仿宋_GB2312" w:eastAsia="仿宋_GB2312"/>
          <w:sz w:val="32"/>
          <w:szCs w:val="32"/>
        </w:rPr>
        <w:t>5,010,152</w:t>
      </w:r>
      <w:r>
        <w:rPr>
          <w:rFonts w:hint="eastAsia" w:ascii="仿宋_GB2312" w:eastAsia="仿宋_GB2312"/>
          <w:sz w:val="32"/>
          <w:szCs w:val="32"/>
        </w:rPr>
        <w:t>万元，其中：一般债务</w:t>
      </w:r>
      <w:r>
        <w:rPr>
          <w:rFonts w:ascii="仿宋_GB2312" w:eastAsia="仿宋_GB2312"/>
          <w:sz w:val="32"/>
          <w:szCs w:val="32"/>
        </w:rPr>
        <w:t>2,509,990</w:t>
      </w:r>
      <w:r>
        <w:rPr>
          <w:rFonts w:hint="eastAsia" w:ascii="仿宋_GB2312" w:eastAsia="仿宋_GB2312"/>
          <w:sz w:val="32"/>
          <w:szCs w:val="32"/>
        </w:rPr>
        <w:t>万元；专项债务</w:t>
      </w:r>
      <w:r>
        <w:rPr>
          <w:rFonts w:ascii="仿宋_GB2312" w:eastAsia="仿宋_GB2312"/>
          <w:sz w:val="32"/>
          <w:szCs w:val="32"/>
        </w:rPr>
        <w:t>2,500,162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FZFSK--GBK1-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FZFSK--GBK1-0"/>
          <w:kern w:val="0"/>
          <w:sz w:val="32"/>
          <w:szCs w:val="32"/>
        </w:rPr>
      </w:pPr>
    </w:p>
    <w:sectPr>
      <w:pgSz w:w="11907" w:h="16839" w:orient="landscape"/>
      <w:pgMar w:top="2098" w:right="1474" w:bottom="1985" w:left="1588" w:header="851" w:footer="737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808244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45193085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A5C"/>
    <w:rsid w:val="0000087E"/>
    <w:rsid w:val="00001231"/>
    <w:rsid w:val="00017A24"/>
    <w:rsid w:val="00026D54"/>
    <w:rsid w:val="00033BD1"/>
    <w:rsid w:val="00042755"/>
    <w:rsid w:val="00045C27"/>
    <w:rsid w:val="0005471B"/>
    <w:rsid w:val="00056273"/>
    <w:rsid w:val="00057D8D"/>
    <w:rsid w:val="00060C30"/>
    <w:rsid w:val="000613C3"/>
    <w:rsid w:val="00062CEA"/>
    <w:rsid w:val="00063852"/>
    <w:rsid w:val="00063C48"/>
    <w:rsid w:val="000837F2"/>
    <w:rsid w:val="00084903"/>
    <w:rsid w:val="00084C7C"/>
    <w:rsid w:val="00091762"/>
    <w:rsid w:val="00091DC4"/>
    <w:rsid w:val="000A133C"/>
    <w:rsid w:val="000A247D"/>
    <w:rsid w:val="000B5665"/>
    <w:rsid w:val="000C1046"/>
    <w:rsid w:val="000C2A31"/>
    <w:rsid w:val="000C7BFE"/>
    <w:rsid w:val="000D047E"/>
    <w:rsid w:val="000D0A7A"/>
    <w:rsid w:val="000D11CA"/>
    <w:rsid w:val="000D13F6"/>
    <w:rsid w:val="000D2D08"/>
    <w:rsid w:val="000D7538"/>
    <w:rsid w:val="000D7FD3"/>
    <w:rsid w:val="000E2FF7"/>
    <w:rsid w:val="000E5CCC"/>
    <w:rsid w:val="000F0AFC"/>
    <w:rsid w:val="000F66CB"/>
    <w:rsid w:val="000F6D05"/>
    <w:rsid w:val="000F73EF"/>
    <w:rsid w:val="00100588"/>
    <w:rsid w:val="001006E6"/>
    <w:rsid w:val="00100729"/>
    <w:rsid w:val="001069E9"/>
    <w:rsid w:val="00111B2A"/>
    <w:rsid w:val="001132BA"/>
    <w:rsid w:val="0011367D"/>
    <w:rsid w:val="001154A2"/>
    <w:rsid w:val="00115A14"/>
    <w:rsid w:val="00126E94"/>
    <w:rsid w:val="00132B06"/>
    <w:rsid w:val="001346B5"/>
    <w:rsid w:val="0013532E"/>
    <w:rsid w:val="00135DF1"/>
    <w:rsid w:val="0013645A"/>
    <w:rsid w:val="00136E01"/>
    <w:rsid w:val="00137181"/>
    <w:rsid w:val="00137DF8"/>
    <w:rsid w:val="00140B60"/>
    <w:rsid w:val="00141DA2"/>
    <w:rsid w:val="001456D5"/>
    <w:rsid w:val="001471BC"/>
    <w:rsid w:val="0014722C"/>
    <w:rsid w:val="0015530F"/>
    <w:rsid w:val="00160B06"/>
    <w:rsid w:val="001625E9"/>
    <w:rsid w:val="00174861"/>
    <w:rsid w:val="00184557"/>
    <w:rsid w:val="00184D56"/>
    <w:rsid w:val="00185B0E"/>
    <w:rsid w:val="00185B2A"/>
    <w:rsid w:val="00195681"/>
    <w:rsid w:val="00196CFB"/>
    <w:rsid w:val="00197FDD"/>
    <w:rsid w:val="001A16BB"/>
    <w:rsid w:val="001A3738"/>
    <w:rsid w:val="001A5219"/>
    <w:rsid w:val="001B03F6"/>
    <w:rsid w:val="001B3E7E"/>
    <w:rsid w:val="001B4736"/>
    <w:rsid w:val="001B7A6F"/>
    <w:rsid w:val="001C15D4"/>
    <w:rsid w:val="001C2E50"/>
    <w:rsid w:val="001D61D2"/>
    <w:rsid w:val="001E047A"/>
    <w:rsid w:val="001F0A11"/>
    <w:rsid w:val="001F1391"/>
    <w:rsid w:val="001F1481"/>
    <w:rsid w:val="001F641F"/>
    <w:rsid w:val="00200157"/>
    <w:rsid w:val="002047D0"/>
    <w:rsid w:val="00205EC2"/>
    <w:rsid w:val="00210E80"/>
    <w:rsid w:val="00211107"/>
    <w:rsid w:val="0021761B"/>
    <w:rsid w:val="00220430"/>
    <w:rsid w:val="00231513"/>
    <w:rsid w:val="00231F33"/>
    <w:rsid w:val="00235843"/>
    <w:rsid w:val="00236175"/>
    <w:rsid w:val="00236A6C"/>
    <w:rsid w:val="00240A4B"/>
    <w:rsid w:val="0024115D"/>
    <w:rsid w:val="002412E5"/>
    <w:rsid w:val="00241F1F"/>
    <w:rsid w:val="00243AAB"/>
    <w:rsid w:val="0024558B"/>
    <w:rsid w:val="0025275A"/>
    <w:rsid w:val="00257721"/>
    <w:rsid w:val="00260435"/>
    <w:rsid w:val="00261E5D"/>
    <w:rsid w:val="00263759"/>
    <w:rsid w:val="00263D3A"/>
    <w:rsid w:val="0026656D"/>
    <w:rsid w:val="00272A30"/>
    <w:rsid w:val="00273829"/>
    <w:rsid w:val="00274F86"/>
    <w:rsid w:val="00274FD6"/>
    <w:rsid w:val="00280B64"/>
    <w:rsid w:val="0028654C"/>
    <w:rsid w:val="0028786E"/>
    <w:rsid w:val="002917E1"/>
    <w:rsid w:val="00292AC3"/>
    <w:rsid w:val="00294B65"/>
    <w:rsid w:val="002A0872"/>
    <w:rsid w:val="002A41AE"/>
    <w:rsid w:val="002B372B"/>
    <w:rsid w:val="002B4D4F"/>
    <w:rsid w:val="002C341E"/>
    <w:rsid w:val="002C37B5"/>
    <w:rsid w:val="002C4282"/>
    <w:rsid w:val="002D10F2"/>
    <w:rsid w:val="002D3875"/>
    <w:rsid w:val="002D7DF7"/>
    <w:rsid w:val="002E556E"/>
    <w:rsid w:val="002F72E6"/>
    <w:rsid w:val="002F7CCC"/>
    <w:rsid w:val="00310040"/>
    <w:rsid w:val="00310123"/>
    <w:rsid w:val="0031055D"/>
    <w:rsid w:val="00312F0D"/>
    <w:rsid w:val="00316EE4"/>
    <w:rsid w:val="00320B68"/>
    <w:rsid w:val="00321818"/>
    <w:rsid w:val="00324793"/>
    <w:rsid w:val="00326626"/>
    <w:rsid w:val="003269F5"/>
    <w:rsid w:val="00333561"/>
    <w:rsid w:val="003361D2"/>
    <w:rsid w:val="00337440"/>
    <w:rsid w:val="003401BB"/>
    <w:rsid w:val="0034466A"/>
    <w:rsid w:val="00345E24"/>
    <w:rsid w:val="0035039C"/>
    <w:rsid w:val="00352000"/>
    <w:rsid w:val="003551A1"/>
    <w:rsid w:val="00357E18"/>
    <w:rsid w:val="00361B57"/>
    <w:rsid w:val="0037171F"/>
    <w:rsid w:val="0037321E"/>
    <w:rsid w:val="00375024"/>
    <w:rsid w:val="003877B8"/>
    <w:rsid w:val="003908E9"/>
    <w:rsid w:val="003932B3"/>
    <w:rsid w:val="00397CCD"/>
    <w:rsid w:val="003A06EA"/>
    <w:rsid w:val="003A63EB"/>
    <w:rsid w:val="003B5419"/>
    <w:rsid w:val="003B75A4"/>
    <w:rsid w:val="003B7631"/>
    <w:rsid w:val="003C07F4"/>
    <w:rsid w:val="003C180D"/>
    <w:rsid w:val="003C3F4B"/>
    <w:rsid w:val="003C4C7A"/>
    <w:rsid w:val="003C5383"/>
    <w:rsid w:val="003C6EEE"/>
    <w:rsid w:val="003C76BE"/>
    <w:rsid w:val="003D3D87"/>
    <w:rsid w:val="003E2EB8"/>
    <w:rsid w:val="003E4C3E"/>
    <w:rsid w:val="003E5CE0"/>
    <w:rsid w:val="003F0401"/>
    <w:rsid w:val="003F5699"/>
    <w:rsid w:val="003F718F"/>
    <w:rsid w:val="004052DA"/>
    <w:rsid w:val="00410D99"/>
    <w:rsid w:val="0041753D"/>
    <w:rsid w:val="00420264"/>
    <w:rsid w:val="00421746"/>
    <w:rsid w:val="00423F71"/>
    <w:rsid w:val="004252E4"/>
    <w:rsid w:val="00426BA6"/>
    <w:rsid w:val="004310CC"/>
    <w:rsid w:val="00432273"/>
    <w:rsid w:val="00435739"/>
    <w:rsid w:val="004402D2"/>
    <w:rsid w:val="00440719"/>
    <w:rsid w:val="00442C12"/>
    <w:rsid w:val="004437DE"/>
    <w:rsid w:val="00444BC7"/>
    <w:rsid w:val="00444BD8"/>
    <w:rsid w:val="0044708E"/>
    <w:rsid w:val="004521A0"/>
    <w:rsid w:val="0045279B"/>
    <w:rsid w:val="00456F0F"/>
    <w:rsid w:val="0046342D"/>
    <w:rsid w:val="0046516D"/>
    <w:rsid w:val="00472CDB"/>
    <w:rsid w:val="0047657B"/>
    <w:rsid w:val="0048719C"/>
    <w:rsid w:val="00487DF5"/>
    <w:rsid w:val="0049035B"/>
    <w:rsid w:val="00492130"/>
    <w:rsid w:val="00497411"/>
    <w:rsid w:val="004A241A"/>
    <w:rsid w:val="004A36DC"/>
    <w:rsid w:val="004A48D6"/>
    <w:rsid w:val="004A5D6A"/>
    <w:rsid w:val="004A6CC3"/>
    <w:rsid w:val="004B0AEF"/>
    <w:rsid w:val="004B574C"/>
    <w:rsid w:val="004B7FF8"/>
    <w:rsid w:val="004C5A71"/>
    <w:rsid w:val="004C5C62"/>
    <w:rsid w:val="004D3656"/>
    <w:rsid w:val="004E1DFC"/>
    <w:rsid w:val="004E655C"/>
    <w:rsid w:val="004F027E"/>
    <w:rsid w:val="004F2D79"/>
    <w:rsid w:val="004F2F5A"/>
    <w:rsid w:val="0050265B"/>
    <w:rsid w:val="0050386E"/>
    <w:rsid w:val="005155AE"/>
    <w:rsid w:val="0052044F"/>
    <w:rsid w:val="005224DA"/>
    <w:rsid w:val="0052290F"/>
    <w:rsid w:val="0052656F"/>
    <w:rsid w:val="00532CD2"/>
    <w:rsid w:val="0053356C"/>
    <w:rsid w:val="005345BA"/>
    <w:rsid w:val="0053527B"/>
    <w:rsid w:val="00537A01"/>
    <w:rsid w:val="00537A95"/>
    <w:rsid w:val="00543207"/>
    <w:rsid w:val="005455A8"/>
    <w:rsid w:val="00546E71"/>
    <w:rsid w:val="00553707"/>
    <w:rsid w:val="005540A4"/>
    <w:rsid w:val="005731DE"/>
    <w:rsid w:val="00575854"/>
    <w:rsid w:val="00576F20"/>
    <w:rsid w:val="00586131"/>
    <w:rsid w:val="00590A01"/>
    <w:rsid w:val="0059294B"/>
    <w:rsid w:val="0059332A"/>
    <w:rsid w:val="005A6FFD"/>
    <w:rsid w:val="005B05CC"/>
    <w:rsid w:val="005B0D81"/>
    <w:rsid w:val="005B1B2D"/>
    <w:rsid w:val="005B2BD3"/>
    <w:rsid w:val="005B3CC8"/>
    <w:rsid w:val="005C27EC"/>
    <w:rsid w:val="005C3010"/>
    <w:rsid w:val="005D25C9"/>
    <w:rsid w:val="005D3535"/>
    <w:rsid w:val="005D5575"/>
    <w:rsid w:val="005E3F89"/>
    <w:rsid w:val="005F06E1"/>
    <w:rsid w:val="005F7CBB"/>
    <w:rsid w:val="0060197F"/>
    <w:rsid w:val="00604470"/>
    <w:rsid w:val="00611D8F"/>
    <w:rsid w:val="00612C2D"/>
    <w:rsid w:val="00614F11"/>
    <w:rsid w:val="0062091E"/>
    <w:rsid w:val="0062314C"/>
    <w:rsid w:val="0062321B"/>
    <w:rsid w:val="00623C48"/>
    <w:rsid w:val="00625418"/>
    <w:rsid w:val="00627762"/>
    <w:rsid w:val="006302D6"/>
    <w:rsid w:val="006444C3"/>
    <w:rsid w:val="00653F0B"/>
    <w:rsid w:val="00653FA6"/>
    <w:rsid w:val="00654DA9"/>
    <w:rsid w:val="0065614B"/>
    <w:rsid w:val="006636A7"/>
    <w:rsid w:val="00671E84"/>
    <w:rsid w:val="00672D63"/>
    <w:rsid w:val="00683776"/>
    <w:rsid w:val="00687F27"/>
    <w:rsid w:val="00691EA2"/>
    <w:rsid w:val="006A4A3A"/>
    <w:rsid w:val="006A644B"/>
    <w:rsid w:val="006A6F4F"/>
    <w:rsid w:val="006A7F31"/>
    <w:rsid w:val="006B275F"/>
    <w:rsid w:val="006B3871"/>
    <w:rsid w:val="006C20F7"/>
    <w:rsid w:val="006D0DE6"/>
    <w:rsid w:val="006D31AF"/>
    <w:rsid w:val="006D7811"/>
    <w:rsid w:val="006E1216"/>
    <w:rsid w:val="006E6C22"/>
    <w:rsid w:val="00712FEA"/>
    <w:rsid w:val="0071449C"/>
    <w:rsid w:val="00714D1B"/>
    <w:rsid w:val="00720A38"/>
    <w:rsid w:val="007233E1"/>
    <w:rsid w:val="00724733"/>
    <w:rsid w:val="00727755"/>
    <w:rsid w:val="0073382B"/>
    <w:rsid w:val="0074057E"/>
    <w:rsid w:val="00744096"/>
    <w:rsid w:val="00744413"/>
    <w:rsid w:val="00744DBD"/>
    <w:rsid w:val="00744F84"/>
    <w:rsid w:val="00753AA4"/>
    <w:rsid w:val="00757451"/>
    <w:rsid w:val="00770630"/>
    <w:rsid w:val="007709DD"/>
    <w:rsid w:val="007740F3"/>
    <w:rsid w:val="00775269"/>
    <w:rsid w:val="00780241"/>
    <w:rsid w:val="0078463A"/>
    <w:rsid w:val="0078714C"/>
    <w:rsid w:val="00793211"/>
    <w:rsid w:val="00793E63"/>
    <w:rsid w:val="00795F98"/>
    <w:rsid w:val="007A0127"/>
    <w:rsid w:val="007A2FEB"/>
    <w:rsid w:val="007A5A67"/>
    <w:rsid w:val="007A5C6A"/>
    <w:rsid w:val="007A6FB8"/>
    <w:rsid w:val="007B76D9"/>
    <w:rsid w:val="007C30C4"/>
    <w:rsid w:val="007C4986"/>
    <w:rsid w:val="007C56A7"/>
    <w:rsid w:val="007D43BE"/>
    <w:rsid w:val="007E5C0F"/>
    <w:rsid w:val="007F4C42"/>
    <w:rsid w:val="007F66E9"/>
    <w:rsid w:val="00800281"/>
    <w:rsid w:val="008051A9"/>
    <w:rsid w:val="0080646F"/>
    <w:rsid w:val="008070D3"/>
    <w:rsid w:val="00811FC1"/>
    <w:rsid w:val="00812D8A"/>
    <w:rsid w:val="00813775"/>
    <w:rsid w:val="008265F3"/>
    <w:rsid w:val="0083520A"/>
    <w:rsid w:val="00836D8F"/>
    <w:rsid w:val="00862B6C"/>
    <w:rsid w:val="00865DC4"/>
    <w:rsid w:val="008713F7"/>
    <w:rsid w:val="00874F43"/>
    <w:rsid w:val="00875659"/>
    <w:rsid w:val="008834E9"/>
    <w:rsid w:val="008906B8"/>
    <w:rsid w:val="0089113A"/>
    <w:rsid w:val="00892591"/>
    <w:rsid w:val="008939B2"/>
    <w:rsid w:val="008972D5"/>
    <w:rsid w:val="008A0A90"/>
    <w:rsid w:val="008A2FA1"/>
    <w:rsid w:val="008A541E"/>
    <w:rsid w:val="008A6DD2"/>
    <w:rsid w:val="008B1378"/>
    <w:rsid w:val="008C1AC6"/>
    <w:rsid w:val="008C5082"/>
    <w:rsid w:val="008C54A9"/>
    <w:rsid w:val="008C6028"/>
    <w:rsid w:val="008C6B2F"/>
    <w:rsid w:val="008D2C44"/>
    <w:rsid w:val="008D3317"/>
    <w:rsid w:val="008D4F3B"/>
    <w:rsid w:val="008D64A1"/>
    <w:rsid w:val="008E5BBA"/>
    <w:rsid w:val="008F0313"/>
    <w:rsid w:val="008F0753"/>
    <w:rsid w:val="008F420A"/>
    <w:rsid w:val="008F4E6F"/>
    <w:rsid w:val="00907EB2"/>
    <w:rsid w:val="009111B8"/>
    <w:rsid w:val="00912065"/>
    <w:rsid w:val="00916E36"/>
    <w:rsid w:val="00920C49"/>
    <w:rsid w:val="00922A99"/>
    <w:rsid w:val="00923D5D"/>
    <w:rsid w:val="0093666C"/>
    <w:rsid w:val="00936AE7"/>
    <w:rsid w:val="00936BE8"/>
    <w:rsid w:val="00940696"/>
    <w:rsid w:val="009460E2"/>
    <w:rsid w:val="00950B8F"/>
    <w:rsid w:val="009565D5"/>
    <w:rsid w:val="0096197F"/>
    <w:rsid w:val="009704EC"/>
    <w:rsid w:val="00975804"/>
    <w:rsid w:val="009817B2"/>
    <w:rsid w:val="009827F4"/>
    <w:rsid w:val="009A054F"/>
    <w:rsid w:val="009A2A47"/>
    <w:rsid w:val="009A474E"/>
    <w:rsid w:val="009C2AF9"/>
    <w:rsid w:val="009C63B9"/>
    <w:rsid w:val="009D59C8"/>
    <w:rsid w:val="009D5C4D"/>
    <w:rsid w:val="009D6827"/>
    <w:rsid w:val="009D7818"/>
    <w:rsid w:val="009E0248"/>
    <w:rsid w:val="009E5B75"/>
    <w:rsid w:val="009F4F8D"/>
    <w:rsid w:val="009F7A9A"/>
    <w:rsid w:val="00A01342"/>
    <w:rsid w:val="00A05B49"/>
    <w:rsid w:val="00A072F8"/>
    <w:rsid w:val="00A11978"/>
    <w:rsid w:val="00A23C89"/>
    <w:rsid w:val="00A2585E"/>
    <w:rsid w:val="00A3358A"/>
    <w:rsid w:val="00A34697"/>
    <w:rsid w:val="00A363AD"/>
    <w:rsid w:val="00A3737E"/>
    <w:rsid w:val="00A441E9"/>
    <w:rsid w:val="00A45A06"/>
    <w:rsid w:val="00A45C0B"/>
    <w:rsid w:val="00A46F66"/>
    <w:rsid w:val="00A532B6"/>
    <w:rsid w:val="00A6064C"/>
    <w:rsid w:val="00A60A71"/>
    <w:rsid w:val="00A636F9"/>
    <w:rsid w:val="00A63ACB"/>
    <w:rsid w:val="00A81F80"/>
    <w:rsid w:val="00A84AD1"/>
    <w:rsid w:val="00A907A1"/>
    <w:rsid w:val="00A955AD"/>
    <w:rsid w:val="00AA1479"/>
    <w:rsid w:val="00AA55AB"/>
    <w:rsid w:val="00AB05FF"/>
    <w:rsid w:val="00AB45FF"/>
    <w:rsid w:val="00AB5187"/>
    <w:rsid w:val="00AB7A5C"/>
    <w:rsid w:val="00AB7D44"/>
    <w:rsid w:val="00AC03F5"/>
    <w:rsid w:val="00AC322B"/>
    <w:rsid w:val="00AD3976"/>
    <w:rsid w:val="00AE35F9"/>
    <w:rsid w:val="00AE3F9A"/>
    <w:rsid w:val="00AE41D5"/>
    <w:rsid w:val="00AE5D10"/>
    <w:rsid w:val="00AE674C"/>
    <w:rsid w:val="00AF2282"/>
    <w:rsid w:val="00AF5866"/>
    <w:rsid w:val="00AF6678"/>
    <w:rsid w:val="00B01E7D"/>
    <w:rsid w:val="00B02A79"/>
    <w:rsid w:val="00B02FE2"/>
    <w:rsid w:val="00B07406"/>
    <w:rsid w:val="00B1637C"/>
    <w:rsid w:val="00B239BD"/>
    <w:rsid w:val="00B27E67"/>
    <w:rsid w:val="00B402D7"/>
    <w:rsid w:val="00B5054F"/>
    <w:rsid w:val="00B50618"/>
    <w:rsid w:val="00B50B6D"/>
    <w:rsid w:val="00B57614"/>
    <w:rsid w:val="00B660C7"/>
    <w:rsid w:val="00B71257"/>
    <w:rsid w:val="00B72F7C"/>
    <w:rsid w:val="00B73965"/>
    <w:rsid w:val="00B761F0"/>
    <w:rsid w:val="00B8049F"/>
    <w:rsid w:val="00B80F29"/>
    <w:rsid w:val="00B8259B"/>
    <w:rsid w:val="00B84602"/>
    <w:rsid w:val="00B84EFB"/>
    <w:rsid w:val="00B9200A"/>
    <w:rsid w:val="00B9372E"/>
    <w:rsid w:val="00B967C9"/>
    <w:rsid w:val="00BA3A80"/>
    <w:rsid w:val="00BA5BF8"/>
    <w:rsid w:val="00BA726B"/>
    <w:rsid w:val="00BB0621"/>
    <w:rsid w:val="00BB2F87"/>
    <w:rsid w:val="00BC1F2A"/>
    <w:rsid w:val="00BC275E"/>
    <w:rsid w:val="00BD37BF"/>
    <w:rsid w:val="00BE04A1"/>
    <w:rsid w:val="00BE2B32"/>
    <w:rsid w:val="00BE5AD0"/>
    <w:rsid w:val="00BF3081"/>
    <w:rsid w:val="00BF5291"/>
    <w:rsid w:val="00BF55D7"/>
    <w:rsid w:val="00C03A69"/>
    <w:rsid w:val="00C060DD"/>
    <w:rsid w:val="00C1063E"/>
    <w:rsid w:val="00C1136D"/>
    <w:rsid w:val="00C164B2"/>
    <w:rsid w:val="00C167B0"/>
    <w:rsid w:val="00C1686A"/>
    <w:rsid w:val="00C30758"/>
    <w:rsid w:val="00C37268"/>
    <w:rsid w:val="00C4240D"/>
    <w:rsid w:val="00C53BA8"/>
    <w:rsid w:val="00C55B19"/>
    <w:rsid w:val="00C563DA"/>
    <w:rsid w:val="00C613A1"/>
    <w:rsid w:val="00C6264B"/>
    <w:rsid w:val="00C65F47"/>
    <w:rsid w:val="00C6654F"/>
    <w:rsid w:val="00C66A25"/>
    <w:rsid w:val="00C66F32"/>
    <w:rsid w:val="00C726BD"/>
    <w:rsid w:val="00C737C2"/>
    <w:rsid w:val="00C740E4"/>
    <w:rsid w:val="00C83E1C"/>
    <w:rsid w:val="00C8724C"/>
    <w:rsid w:val="00C938D2"/>
    <w:rsid w:val="00CA7545"/>
    <w:rsid w:val="00CB3B2F"/>
    <w:rsid w:val="00CB50DE"/>
    <w:rsid w:val="00CB558F"/>
    <w:rsid w:val="00CC6DBD"/>
    <w:rsid w:val="00CC74C5"/>
    <w:rsid w:val="00CC7944"/>
    <w:rsid w:val="00CD15E9"/>
    <w:rsid w:val="00CD2297"/>
    <w:rsid w:val="00CD4B35"/>
    <w:rsid w:val="00CD7097"/>
    <w:rsid w:val="00CE2A63"/>
    <w:rsid w:val="00CE581C"/>
    <w:rsid w:val="00D01D9A"/>
    <w:rsid w:val="00D04105"/>
    <w:rsid w:val="00D12619"/>
    <w:rsid w:val="00D167D6"/>
    <w:rsid w:val="00D2049A"/>
    <w:rsid w:val="00D23B4B"/>
    <w:rsid w:val="00D24CF7"/>
    <w:rsid w:val="00D278C5"/>
    <w:rsid w:val="00D35EAC"/>
    <w:rsid w:val="00D434FA"/>
    <w:rsid w:val="00D504D5"/>
    <w:rsid w:val="00D50673"/>
    <w:rsid w:val="00D620F7"/>
    <w:rsid w:val="00D62F49"/>
    <w:rsid w:val="00D6632C"/>
    <w:rsid w:val="00D70B0C"/>
    <w:rsid w:val="00D718FF"/>
    <w:rsid w:val="00D74DE2"/>
    <w:rsid w:val="00D81065"/>
    <w:rsid w:val="00D83EEA"/>
    <w:rsid w:val="00D8598F"/>
    <w:rsid w:val="00D86A79"/>
    <w:rsid w:val="00D87A31"/>
    <w:rsid w:val="00D937C6"/>
    <w:rsid w:val="00D9685D"/>
    <w:rsid w:val="00DA4E7A"/>
    <w:rsid w:val="00DA57C6"/>
    <w:rsid w:val="00DB139A"/>
    <w:rsid w:val="00DE17A3"/>
    <w:rsid w:val="00DE5173"/>
    <w:rsid w:val="00DE7C74"/>
    <w:rsid w:val="00DF047B"/>
    <w:rsid w:val="00DF1D12"/>
    <w:rsid w:val="00DF5606"/>
    <w:rsid w:val="00E0594C"/>
    <w:rsid w:val="00E079F9"/>
    <w:rsid w:val="00E14C97"/>
    <w:rsid w:val="00E1691A"/>
    <w:rsid w:val="00E17D9A"/>
    <w:rsid w:val="00E23E37"/>
    <w:rsid w:val="00E3461B"/>
    <w:rsid w:val="00E36059"/>
    <w:rsid w:val="00E40EC0"/>
    <w:rsid w:val="00E423F0"/>
    <w:rsid w:val="00E44DE3"/>
    <w:rsid w:val="00E5097A"/>
    <w:rsid w:val="00E54903"/>
    <w:rsid w:val="00E54AA8"/>
    <w:rsid w:val="00E579B0"/>
    <w:rsid w:val="00E6117C"/>
    <w:rsid w:val="00E65851"/>
    <w:rsid w:val="00E6684E"/>
    <w:rsid w:val="00E67B39"/>
    <w:rsid w:val="00E70667"/>
    <w:rsid w:val="00E7765D"/>
    <w:rsid w:val="00E834D6"/>
    <w:rsid w:val="00E9222A"/>
    <w:rsid w:val="00EA190A"/>
    <w:rsid w:val="00EA2AE8"/>
    <w:rsid w:val="00EA3A94"/>
    <w:rsid w:val="00EB2108"/>
    <w:rsid w:val="00EB3900"/>
    <w:rsid w:val="00EB3E55"/>
    <w:rsid w:val="00EB7195"/>
    <w:rsid w:val="00EB7735"/>
    <w:rsid w:val="00EC756C"/>
    <w:rsid w:val="00ED50E1"/>
    <w:rsid w:val="00ED6B25"/>
    <w:rsid w:val="00EE07F3"/>
    <w:rsid w:val="00EE134C"/>
    <w:rsid w:val="00EE2ABF"/>
    <w:rsid w:val="00EF18F4"/>
    <w:rsid w:val="00EF1D75"/>
    <w:rsid w:val="00EF3520"/>
    <w:rsid w:val="00EF44E6"/>
    <w:rsid w:val="00F01CFE"/>
    <w:rsid w:val="00F03FE2"/>
    <w:rsid w:val="00F07F78"/>
    <w:rsid w:val="00F15A2C"/>
    <w:rsid w:val="00F2107A"/>
    <w:rsid w:val="00F24E89"/>
    <w:rsid w:val="00F254B9"/>
    <w:rsid w:val="00F31989"/>
    <w:rsid w:val="00F35A49"/>
    <w:rsid w:val="00F462DB"/>
    <w:rsid w:val="00F46CFD"/>
    <w:rsid w:val="00F5280B"/>
    <w:rsid w:val="00F535A4"/>
    <w:rsid w:val="00F57E6F"/>
    <w:rsid w:val="00F67819"/>
    <w:rsid w:val="00F71842"/>
    <w:rsid w:val="00F745AE"/>
    <w:rsid w:val="00F77E7E"/>
    <w:rsid w:val="00F80F0F"/>
    <w:rsid w:val="00F83D62"/>
    <w:rsid w:val="00F86AD5"/>
    <w:rsid w:val="00F8758F"/>
    <w:rsid w:val="00F90637"/>
    <w:rsid w:val="00F90D10"/>
    <w:rsid w:val="00F92594"/>
    <w:rsid w:val="00F97E31"/>
    <w:rsid w:val="00FA73FC"/>
    <w:rsid w:val="00FA7FAD"/>
    <w:rsid w:val="00FB06A0"/>
    <w:rsid w:val="00FB2B86"/>
    <w:rsid w:val="00FB2F1C"/>
    <w:rsid w:val="00FB3ABE"/>
    <w:rsid w:val="00FB3C7D"/>
    <w:rsid w:val="00FB6CE4"/>
    <w:rsid w:val="00FD31D7"/>
    <w:rsid w:val="00FD4FF3"/>
    <w:rsid w:val="00FD6F39"/>
    <w:rsid w:val="00FE137E"/>
    <w:rsid w:val="00FE1AEF"/>
    <w:rsid w:val="00FE3246"/>
    <w:rsid w:val="00FE35B6"/>
    <w:rsid w:val="00FE3643"/>
    <w:rsid w:val="00FE3CD5"/>
    <w:rsid w:val="00FE4B40"/>
    <w:rsid w:val="00FE5CF5"/>
    <w:rsid w:val="00FF4F55"/>
    <w:rsid w:val="00FF7A08"/>
    <w:rsid w:val="00FF7A42"/>
    <w:rsid w:val="02BF6309"/>
    <w:rsid w:val="17E27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12">
    <w:name w:val="Subtle Emphasis"/>
    <w:basedOn w:val="5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8406C-94B0-4102-B878-5E3C03BC4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1723</Words>
  <Characters>9823</Characters>
  <Lines>81</Lines>
  <Paragraphs>23</Paragraphs>
  <TotalTime>121</TotalTime>
  <ScaleCrop>false</ScaleCrop>
  <LinksUpToDate>false</LinksUpToDate>
  <CharactersWithSpaces>11523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2019-02-20T08:03:00Z</dcterms:created>
  <dc:creator>qwerasds</dc:creator>
  <cp:lastModifiedBy>So、</cp:lastModifiedBy>
  <cp:lastPrinted>2020-08-24T02:09:34Z</cp:lastPrinted>
  <dcterms:modified xsi:type="dcterms:W3CDTF">2020-08-24T02:15:34Z</dcterms:modified>
  <cp:revision>472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