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1"/>
        <w:gridCol w:w="970"/>
        <w:gridCol w:w="560"/>
        <w:gridCol w:w="694"/>
        <w:gridCol w:w="419"/>
        <w:gridCol w:w="419"/>
        <w:gridCol w:w="721"/>
        <w:gridCol w:w="808"/>
        <w:gridCol w:w="649"/>
        <w:gridCol w:w="408"/>
        <w:gridCol w:w="1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2" w:type="dxa"/>
          <w:trHeight w:val="850" w:hRule="atLeast"/>
        </w:trPr>
        <w:tc>
          <w:tcPr>
            <w:tcW w:w="8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_GBK" w:eastAsia="方正小标宋_GBK"/>
                <w:bCs/>
                <w:sz w:val="32"/>
              </w:rPr>
            </w:pPr>
            <w:bookmarkStart w:id="0" w:name="RANGE!A1:E27"/>
            <w:r>
              <w:rPr>
                <w:rFonts w:hint="eastAsia" w:ascii="方正小标宋_GBK" w:eastAsia="方正小标宋_GBK"/>
                <w:bCs/>
                <w:sz w:val="32"/>
              </w:rPr>
              <w:t>北京市通州区2019年区级一般公共预算收入决算情况表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0" w:type="dxa"/>
          <w:trHeight w:val="57" w:hRule="atLeast"/>
        </w:trPr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   表一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3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项    目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2019年预算数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2019年预算调整数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2019年决算数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 xml:space="preserve"> 决算数为预算调整数%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一、税收收入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783,800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677,750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673,256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99.3%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增值税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300,000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288,246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284,427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98.7%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bookmarkStart w:id="1" w:name="_Hlk38467525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企业所得税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120,000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116,734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118,982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101.9%</w:t>
            </w:r>
          </w:p>
        </w:tc>
      </w:tr>
      <w:bookmarkEnd w:id="1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资源税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3,800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8,100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7,876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97.2%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城市维护建设税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68,000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59,554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59,368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99.7%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房产税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100,000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80,997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bookmarkStart w:id="2" w:name="_Hlk38467702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81,203</w:t>
            </w:r>
            <w:bookmarkEnd w:id="2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100.3%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印花税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25,250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26,803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bookmarkStart w:id="3" w:name="_Hlk38467779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28,065</w:t>
            </w:r>
            <w:bookmarkEnd w:id="3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104.7%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城镇土地使用税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3,750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3,370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3,279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97.3%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土地增值税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130,000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62,000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57,144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92.2%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车船税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18,000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17,000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bookmarkStart w:id="4" w:name="_Hlk38468285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17,637</w:t>
            </w:r>
            <w:bookmarkEnd w:id="4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103.7%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bookmarkStart w:id="5" w:name="_Hlk38468330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耕地占用税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10,000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5,935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6,291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106.0%</w:t>
            </w:r>
          </w:p>
        </w:tc>
      </w:tr>
      <w:bookmarkEnd w:id="5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环境保护税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5,000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9,011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9,016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100.1%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其他税收收入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　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-　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-32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-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二、非税收入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96,200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202,250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214,022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105.8%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教育费附加收入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24,000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20,314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21,238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104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.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残疾人就业保障金收入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24,000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18,860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8,950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0.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森林植被恢复费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5,000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-　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-　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行政性收费收入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12,000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13,000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23,093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177.6%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罚没收入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8,000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8,000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8,171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国有资源（资产）有偿使用收入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20,000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82,177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103,712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126.2%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政府住房基金收入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3,000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5,676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1,254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198.3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教育资金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　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52,059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3,800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45.7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捐赠收入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其他收入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2,164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3,461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159.9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收入总计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 xml:space="preserve">880,000 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 xml:space="preserve">880,000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 xml:space="preserve">887,278 </w:t>
            </w:r>
          </w:p>
        </w:tc>
        <w:tc>
          <w:tcPr>
            <w:tcW w:w="118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100.8%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说明一 关于2019年一般公共预算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收入决算情况的说明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5"/>
          <w:szCs w:val="45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eastAsia="黑体" w:cs="FZHTK--GBK1-0"/>
          <w:kern w:val="0"/>
          <w:sz w:val="32"/>
          <w:szCs w:val="32"/>
        </w:rPr>
      </w:pPr>
      <w:r>
        <w:rPr>
          <w:rFonts w:hint="eastAsia" w:ascii="黑体" w:eastAsia="黑体" w:cs="FZHTK--GBK1-0"/>
          <w:kern w:val="0"/>
          <w:sz w:val="32"/>
          <w:szCs w:val="32"/>
        </w:rPr>
        <w:t>一、2019年一般公共预算收入总体情况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2019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年区级一般公共预算收入决算数为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887,278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/>
          <w:sz w:val="32"/>
          <w:szCs w:val="32"/>
        </w:rPr>
        <w:t>完成区六届人大常委会二十六次会议批准调整预算的1</w:t>
      </w:r>
      <w:r>
        <w:rPr>
          <w:rFonts w:ascii="仿宋_GB2312" w:hAnsi="仿宋_GB2312" w:eastAsia="仿宋_GB2312"/>
          <w:sz w:val="32"/>
          <w:szCs w:val="32"/>
        </w:rPr>
        <w:t>00.8</w:t>
      </w:r>
      <w:r>
        <w:rPr>
          <w:rFonts w:hint="eastAsia" w:ascii="仿宋_GB2312" w:hAnsi="仿宋_GB2312" w:eastAsia="仿宋_GB2312"/>
          <w:sz w:val="32"/>
          <w:szCs w:val="32"/>
        </w:rPr>
        <w:t>%。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eastAsia="黑体" w:cs="FZHTK--GBK1-0"/>
          <w:kern w:val="0"/>
          <w:sz w:val="32"/>
          <w:szCs w:val="32"/>
        </w:rPr>
      </w:pPr>
      <w:r>
        <w:rPr>
          <w:rFonts w:hint="eastAsia" w:ascii="黑体" w:eastAsia="黑体" w:cs="FZHTK--GBK1-0"/>
          <w:kern w:val="0"/>
          <w:sz w:val="32"/>
          <w:szCs w:val="32"/>
        </w:rPr>
        <w:t>二、2019年一般公共预算收入具体情况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eastAsia="仿宋_GB2312" w:cs="FZFSK--GBK1-0"/>
          <w:kern w:val="0"/>
          <w:sz w:val="32"/>
          <w:szCs w:val="32"/>
        </w:rPr>
        <w:t>2019年一般公共预算主要收入项目决算情况如下：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增值税预算调整数为</w:t>
      </w:r>
      <w:r>
        <w:rPr>
          <w:rFonts w:ascii="仿宋_GB2312" w:eastAsia="仿宋_GB2312" w:cs="FZFSK--GBK1-0"/>
          <w:kern w:val="0"/>
          <w:sz w:val="32"/>
          <w:szCs w:val="32"/>
        </w:rPr>
        <w:t>288,246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万元，决算数为</w:t>
      </w:r>
      <w:r>
        <w:rPr>
          <w:rFonts w:ascii="仿宋_GB2312" w:eastAsia="仿宋_GB2312" w:cs="FZFSK--GBK1-0"/>
          <w:kern w:val="0"/>
          <w:sz w:val="32"/>
          <w:szCs w:val="32"/>
        </w:rPr>
        <w:t>284,427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98.7%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2.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企业所得税预算调整数为</w:t>
      </w:r>
      <w:r>
        <w:rPr>
          <w:rFonts w:ascii="仿宋_GB2312" w:eastAsia="仿宋_GB2312" w:cs="FZFSK--GBK1-0"/>
          <w:kern w:val="0"/>
          <w:sz w:val="32"/>
          <w:szCs w:val="32"/>
        </w:rPr>
        <w:t>116,734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万元，决算数为</w:t>
      </w:r>
      <w:r>
        <w:rPr>
          <w:rFonts w:ascii="仿宋_GB2312" w:eastAsia="仿宋_GB2312" w:cs="FZFSK--GBK1-0"/>
          <w:kern w:val="0"/>
          <w:sz w:val="32"/>
          <w:szCs w:val="32"/>
        </w:rPr>
        <w:t>118,982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万元,完成预算调整数的</w:t>
      </w:r>
      <w:r>
        <w:rPr>
          <w:rFonts w:ascii="仿宋_GB2312" w:eastAsia="仿宋_GB2312" w:cs="FZFSK--GBK1-0"/>
          <w:kern w:val="0"/>
          <w:sz w:val="32"/>
          <w:szCs w:val="32"/>
        </w:rPr>
        <w:t>101.9%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3.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资源税预算调整数为</w:t>
      </w:r>
      <w:r>
        <w:rPr>
          <w:rFonts w:ascii="仿宋_GB2312" w:eastAsia="仿宋_GB2312" w:cs="FZFSK--GBK1-0"/>
          <w:kern w:val="0"/>
          <w:sz w:val="32"/>
          <w:szCs w:val="32"/>
        </w:rPr>
        <w:t>8,100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万元，决算数为</w:t>
      </w:r>
      <w:r>
        <w:rPr>
          <w:rFonts w:ascii="仿宋_GB2312" w:eastAsia="仿宋_GB2312" w:cs="FZFSK--GBK1-0"/>
          <w:kern w:val="0"/>
          <w:sz w:val="32"/>
          <w:szCs w:val="32"/>
        </w:rPr>
        <w:t>7,876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97.2%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4.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城市维护建设税预算调整数为</w:t>
      </w:r>
      <w:r>
        <w:rPr>
          <w:rFonts w:ascii="仿宋_GB2312" w:eastAsia="仿宋_GB2312" w:cs="FZFSK--GBK1-0"/>
          <w:kern w:val="0"/>
          <w:sz w:val="32"/>
          <w:szCs w:val="32"/>
        </w:rPr>
        <w:t>59,554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万元，决算数为</w:t>
      </w:r>
      <w:r>
        <w:rPr>
          <w:rFonts w:ascii="仿宋_GB2312" w:eastAsia="仿宋_GB2312" w:cs="FZFSK--GBK1-0"/>
          <w:kern w:val="0"/>
          <w:sz w:val="32"/>
          <w:szCs w:val="32"/>
        </w:rPr>
        <w:t>59,368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eastAsia="仿宋_GB2312" w:cs="FZFSK--GBK1-0"/>
          <w:kern w:val="0"/>
          <w:sz w:val="32"/>
          <w:szCs w:val="32"/>
        </w:rPr>
        <w:t>99.7%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5.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房产税预算调整数为</w:t>
      </w:r>
      <w:r>
        <w:rPr>
          <w:rFonts w:ascii="仿宋_GB2312" w:eastAsia="仿宋_GB2312" w:cs="FZFSK--GBK1-0"/>
          <w:kern w:val="0"/>
          <w:sz w:val="32"/>
          <w:szCs w:val="32"/>
        </w:rPr>
        <w:t>80,997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万元，决算数为</w:t>
      </w:r>
      <w:r>
        <w:rPr>
          <w:rFonts w:ascii="仿宋_GB2312" w:eastAsia="仿宋_GB2312" w:cs="FZFSK--GBK1-0"/>
          <w:kern w:val="0"/>
          <w:sz w:val="32"/>
          <w:szCs w:val="32"/>
        </w:rPr>
        <w:t>81,203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eastAsia="仿宋_GB2312" w:cs="FZFSK--GBK1-0"/>
          <w:kern w:val="0"/>
          <w:sz w:val="32"/>
          <w:szCs w:val="32"/>
        </w:rPr>
        <w:t>100.3%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6.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印花税预算调整数为</w:t>
      </w:r>
      <w:r>
        <w:rPr>
          <w:rFonts w:ascii="仿宋_GB2312" w:eastAsia="仿宋_GB2312" w:cs="FZFSK--GBK1-0"/>
          <w:kern w:val="0"/>
          <w:sz w:val="32"/>
          <w:szCs w:val="32"/>
        </w:rPr>
        <w:t>26,803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万元，决算数为</w:t>
      </w:r>
      <w:r>
        <w:rPr>
          <w:rFonts w:ascii="仿宋_GB2312" w:eastAsia="仿宋_GB2312" w:cs="FZFSK--GBK1-0"/>
          <w:kern w:val="0"/>
          <w:sz w:val="32"/>
          <w:szCs w:val="32"/>
        </w:rPr>
        <w:t>28,065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eastAsia="仿宋_GB2312" w:cs="FZFSK--GBK1-0"/>
          <w:kern w:val="0"/>
          <w:sz w:val="32"/>
          <w:szCs w:val="32"/>
        </w:rPr>
        <w:t>104.7%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7.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城镇土地使用税预算调整数为</w:t>
      </w:r>
      <w:r>
        <w:rPr>
          <w:rFonts w:ascii="仿宋_GB2312" w:eastAsia="仿宋_GB2312" w:cs="FZFSK--GBK1-0"/>
          <w:kern w:val="0"/>
          <w:sz w:val="32"/>
          <w:szCs w:val="32"/>
        </w:rPr>
        <w:t>3,370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万元，决算数为</w:t>
      </w:r>
      <w:r>
        <w:rPr>
          <w:rFonts w:ascii="仿宋_GB2312" w:eastAsia="仿宋_GB2312" w:cs="FZFSK--GBK1-0"/>
          <w:kern w:val="0"/>
          <w:sz w:val="32"/>
          <w:szCs w:val="32"/>
        </w:rPr>
        <w:t>3,279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eastAsia="仿宋_GB2312" w:cs="FZFSK--GBK1-0"/>
          <w:kern w:val="0"/>
          <w:sz w:val="32"/>
          <w:szCs w:val="32"/>
        </w:rPr>
        <w:t>97.3%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8.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土地增值税预算调整数为</w:t>
      </w:r>
      <w:r>
        <w:rPr>
          <w:rFonts w:ascii="仿宋_GB2312" w:eastAsia="仿宋_GB2312" w:cs="FZFSK--GBK1-0"/>
          <w:kern w:val="0"/>
          <w:sz w:val="32"/>
          <w:szCs w:val="32"/>
        </w:rPr>
        <w:t>62,000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万元，决算数为</w:t>
      </w:r>
      <w:r>
        <w:rPr>
          <w:rFonts w:ascii="仿宋_GB2312" w:eastAsia="仿宋_GB2312" w:cs="FZFSK--GBK1-0"/>
          <w:kern w:val="0"/>
          <w:sz w:val="32"/>
          <w:szCs w:val="32"/>
        </w:rPr>
        <w:t>57,144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eastAsia="仿宋_GB2312" w:cs="FZFSK--GBK1-0"/>
          <w:kern w:val="0"/>
          <w:sz w:val="32"/>
          <w:szCs w:val="32"/>
        </w:rPr>
        <w:t>92.2%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9.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车船税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预算调整数为</w:t>
      </w:r>
      <w:r>
        <w:rPr>
          <w:rFonts w:ascii="仿宋_GB2312" w:eastAsia="仿宋_GB2312" w:cs="FZFSK--GBK1-0"/>
          <w:kern w:val="0"/>
          <w:sz w:val="32"/>
          <w:szCs w:val="32"/>
        </w:rPr>
        <w:t>17,000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万元，决算数为</w:t>
      </w:r>
      <w:r>
        <w:rPr>
          <w:rFonts w:ascii="仿宋_GB2312" w:eastAsia="仿宋_GB2312" w:cs="FZFSK--GBK1-0"/>
          <w:kern w:val="0"/>
          <w:sz w:val="32"/>
          <w:szCs w:val="32"/>
        </w:rPr>
        <w:t>17,637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eastAsia="仿宋_GB2312" w:cs="FZFSK--GBK1-0"/>
          <w:kern w:val="0"/>
          <w:sz w:val="32"/>
          <w:szCs w:val="32"/>
        </w:rPr>
        <w:t>103.7%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Times-Roman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10.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耕地占用税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预算调整数为</w:t>
      </w:r>
      <w:r>
        <w:rPr>
          <w:rFonts w:ascii="仿宋_GB2312" w:eastAsia="仿宋_GB2312" w:cs="FZFSK--GBK1-0"/>
          <w:kern w:val="0"/>
          <w:sz w:val="32"/>
          <w:szCs w:val="32"/>
        </w:rPr>
        <w:t>5,935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万元，决算数为</w:t>
      </w:r>
      <w:r>
        <w:rPr>
          <w:rFonts w:ascii="仿宋_GB2312" w:eastAsia="仿宋_GB2312" w:cs="FZFSK--GBK1-0"/>
          <w:kern w:val="0"/>
          <w:sz w:val="32"/>
          <w:szCs w:val="32"/>
        </w:rPr>
        <w:t>6,291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eastAsia="仿宋_GB2312" w:cs="FZFSK--GBK1-0"/>
          <w:kern w:val="0"/>
          <w:sz w:val="32"/>
          <w:szCs w:val="32"/>
        </w:rPr>
        <w:t>106%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11.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环境保护税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预算调整数为</w:t>
      </w:r>
      <w:r>
        <w:rPr>
          <w:rFonts w:ascii="仿宋_GB2312" w:eastAsia="仿宋_GB2312" w:cs="FZFSK--GBK1-0"/>
          <w:kern w:val="0"/>
          <w:sz w:val="32"/>
          <w:szCs w:val="32"/>
        </w:rPr>
        <w:t>9,011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万元，决算数为</w:t>
      </w:r>
      <w:r>
        <w:rPr>
          <w:rFonts w:ascii="仿宋_GB2312" w:eastAsia="仿宋_GB2312" w:cs="FZFSK--GBK1-0"/>
          <w:kern w:val="0"/>
          <w:sz w:val="32"/>
          <w:szCs w:val="32"/>
        </w:rPr>
        <w:t>9,016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eastAsia="仿宋_GB2312" w:cs="FZFSK--GBK1-0"/>
          <w:kern w:val="0"/>
          <w:sz w:val="32"/>
          <w:szCs w:val="32"/>
        </w:rPr>
        <w:t>100.1%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12.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教育费附加收入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预算调整数为2</w:t>
      </w:r>
      <w:r>
        <w:rPr>
          <w:rFonts w:ascii="仿宋_GB2312" w:eastAsia="仿宋_GB2312" w:cs="FZFSK--GBK1-0"/>
          <w:kern w:val="0"/>
          <w:sz w:val="32"/>
          <w:szCs w:val="32"/>
        </w:rPr>
        <w:t>0,314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万元，决算数为2</w:t>
      </w:r>
      <w:r>
        <w:rPr>
          <w:rFonts w:ascii="仿宋_GB2312" w:eastAsia="仿宋_GB2312" w:cs="FZFSK--GBK1-0"/>
          <w:kern w:val="0"/>
          <w:sz w:val="32"/>
          <w:szCs w:val="32"/>
        </w:rPr>
        <w:t>1,238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eastAsia="仿宋_GB2312" w:cs="FZFSK--GBK1-0"/>
          <w:kern w:val="0"/>
          <w:sz w:val="32"/>
          <w:szCs w:val="32"/>
        </w:rPr>
        <w:t>104.5%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13.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残疾人就业保障金收入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预算调整数为1</w:t>
      </w:r>
      <w:r>
        <w:rPr>
          <w:rFonts w:ascii="仿宋_GB2312" w:eastAsia="仿宋_GB2312" w:cs="FZFSK--GBK1-0"/>
          <w:kern w:val="0"/>
          <w:sz w:val="32"/>
          <w:szCs w:val="32"/>
        </w:rPr>
        <w:t>8,860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万元，决算数为</w:t>
      </w:r>
      <w:r>
        <w:rPr>
          <w:rFonts w:ascii="仿宋_GB2312" w:eastAsia="仿宋_GB2312" w:cs="FZFSK--GBK1-0"/>
          <w:kern w:val="0"/>
          <w:sz w:val="32"/>
          <w:szCs w:val="32"/>
        </w:rPr>
        <w:t>18,950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万元，完成预算调整数的1</w:t>
      </w:r>
      <w:r>
        <w:rPr>
          <w:rFonts w:ascii="仿宋_GB2312" w:eastAsia="仿宋_GB2312" w:cs="FZFSK--GBK1-0"/>
          <w:kern w:val="0"/>
          <w:sz w:val="32"/>
          <w:szCs w:val="32"/>
        </w:rPr>
        <w:t>00.5%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4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行政性收费收入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预算调整数为</w:t>
      </w:r>
      <w:r>
        <w:rPr>
          <w:rFonts w:ascii="仿宋_GB2312" w:eastAsia="仿宋_GB2312" w:cs="FZFSK--GBK1-0"/>
          <w:kern w:val="0"/>
          <w:sz w:val="32"/>
          <w:szCs w:val="32"/>
        </w:rPr>
        <w:t>13,000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万元，决算数为</w:t>
      </w:r>
      <w:r>
        <w:rPr>
          <w:rFonts w:ascii="仿宋_GB2312" w:eastAsia="仿宋_GB2312" w:cs="FZFSK--GBK1-0"/>
          <w:kern w:val="0"/>
          <w:sz w:val="32"/>
          <w:szCs w:val="32"/>
        </w:rPr>
        <w:t>23,093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eastAsia="仿宋_GB2312" w:cs="FZFSK--GBK1-0"/>
          <w:kern w:val="0"/>
          <w:sz w:val="32"/>
          <w:szCs w:val="32"/>
        </w:rPr>
        <w:t>177.6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%。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5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罚没收入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预算调整数为</w:t>
      </w:r>
      <w:r>
        <w:rPr>
          <w:rFonts w:ascii="仿宋_GB2312" w:eastAsia="仿宋_GB2312" w:cs="FZFSK--GBK1-0"/>
          <w:kern w:val="0"/>
          <w:sz w:val="32"/>
          <w:szCs w:val="32"/>
        </w:rPr>
        <w:t>8,000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万元，决算数为</w:t>
      </w:r>
      <w:r>
        <w:rPr>
          <w:rFonts w:ascii="仿宋_GB2312" w:eastAsia="仿宋_GB2312" w:cs="FZFSK--GBK1-0"/>
          <w:kern w:val="0"/>
          <w:sz w:val="32"/>
          <w:szCs w:val="32"/>
        </w:rPr>
        <w:t>8,171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eastAsia="仿宋_GB2312" w:cs="FZFSK--GBK1-0"/>
          <w:kern w:val="0"/>
          <w:sz w:val="32"/>
          <w:szCs w:val="32"/>
        </w:rPr>
        <w:t>102.1%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6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国有资源（资产）有偿使用收入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预算调整数为</w:t>
      </w:r>
      <w:r>
        <w:rPr>
          <w:rFonts w:ascii="仿宋_GB2312" w:eastAsia="仿宋_GB2312" w:cs="FZFSK--GBK1-0"/>
          <w:kern w:val="0"/>
          <w:sz w:val="32"/>
          <w:szCs w:val="32"/>
        </w:rPr>
        <w:t>82,177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万元，决算数为</w:t>
      </w:r>
      <w:r>
        <w:rPr>
          <w:rFonts w:ascii="仿宋_GB2312" w:eastAsia="仿宋_GB2312" w:cs="FZFSK--GBK1-0"/>
          <w:kern w:val="0"/>
          <w:sz w:val="32"/>
          <w:szCs w:val="32"/>
        </w:rPr>
        <w:t>103,712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eastAsia="仿宋_GB2312" w:cs="FZFSK--GBK1-0"/>
          <w:kern w:val="0"/>
          <w:sz w:val="32"/>
          <w:szCs w:val="32"/>
        </w:rPr>
        <w:t>126.2%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7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政府住房基金收入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预算调整数为5</w:t>
      </w:r>
      <w:r>
        <w:rPr>
          <w:rFonts w:ascii="仿宋_GB2312" w:eastAsia="仿宋_GB2312" w:cs="FZFSK--GBK1-0"/>
          <w:kern w:val="0"/>
          <w:sz w:val="32"/>
          <w:szCs w:val="32"/>
        </w:rPr>
        <w:t>,676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</w:t>
      </w:r>
      <w:r>
        <w:rPr>
          <w:rFonts w:hint="eastAsia" w:ascii="仿宋_GB2312" w:eastAsia="仿宋_GB2312" w:cs="FZFSK--GBK1-0"/>
          <w:kern w:val="0"/>
          <w:sz w:val="32"/>
          <w:szCs w:val="32"/>
        </w:rPr>
        <w:tab/>
      </w:r>
      <w:r>
        <w:rPr>
          <w:rFonts w:hint="eastAsia" w:ascii="仿宋_GB2312" w:eastAsia="仿宋_GB2312" w:cs="FZFSK--GBK1-0"/>
          <w:kern w:val="0"/>
          <w:sz w:val="32"/>
          <w:szCs w:val="32"/>
        </w:rPr>
        <w:t>，决算数为</w:t>
      </w:r>
      <w:r>
        <w:rPr>
          <w:rFonts w:ascii="仿宋_GB2312" w:eastAsia="仿宋_GB2312" w:cs="FZFSK--GBK1-0"/>
          <w:kern w:val="0"/>
          <w:sz w:val="32"/>
          <w:szCs w:val="32"/>
        </w:rPr>
        <w:t xml:space="preserve"> 11,254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万元，完成预算调整数的1</w:t>
      </w:r>
      <w:r>
        <w:rPr>
          <w:rFonts w:ascii="仿宋_GB2312" w:eastAsia="仿宋_GB2312" w:cs="FZFSK--GBK1-0"/>
          <w:kern w:val="0"/>
          <w:sz w:val="32"/>
          <w:szCs w:val="32"/>
        </w:rPr>
        <w:t>98.3%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eastAsia="仿宋_GB2312" w:cs="FZFSK--GBK1-0"/>
          <w:kern w:val="0"/>
          <w:sz w:val="32"/>
          <w:szCs w:val="32"/>
        </w:rPr>
        <w:t>1</w:t>
      </w:r>
      <w:r>
        <w:rPr>
          <w:rFonts w:ascii="仿宋_GB2312" w:eastAsia="仿宋_GB2312" w:cs="FZFSK--GBK1-0"/>
          <w:kern w:val="0"/>
          <w:sz w:val="32"/>
          <w:szCs w:val="32"/>
        </w:rPr>
        <w:t>8.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 xml:space="preserve"> 教育资金收入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预算调整数为5</w:t>
      </w:r>
      <w:r>
        <w:rPr>
          <w:rFonts w:ascii="仿宋_GB2312" w:eastAsia="仿宋_GB2312" w:cs="FZFSK--GBK1-0"/>
          <w:kern w:val="0"/>
          <w:sz w:val="32"/>
          <w:szCs w:val="32"/>
        </w:rPr>
        <w:t>2,059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万元，决算数为2</w:t>
      </w:r>
      <w:r>
        <w:rPr>
          <w:rFonts w:ascii="仿宋_GB2312" w:eastAsia="仿宋_GB2312" w:cs="FZFSK--GBK1-0"/>
          <w:kern w:val="0"/>
          <w:sz w:val="32"/>
          <w:szCs w:val="32"/>
        </w:rPr>
        <w:t>3,800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万元，完成预算调整数的4</w:t>
      </w:r>
      <w:r>
        <w:rPr>
          <w:rFonts w:ascii="仿宋_GB2312" w:eastAsia="仿宋_GB2312" w:cs="FZFSK--GBK1-0"/>
          <w:kern w:val="0"/>
          <w:sz w:val="32"/>
          <w:szCs w:val="32"/>
        </w:rPr>
        <w:t>5.7%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ascii="仿宋_GB2312" w:hAnsi="Times-Roman" w:eastAsia="仿宋_GB2312" w:cs="Times-Roman"/>
          <w:kern w:val="0"/>
          <w:sz w:val="32"/>
          <w:szCs w:val="32"/>
        </w:rPr>
        <w:t>19.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其他收入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预算调整数为2</w:t>
      </w:r>
      <w:r>
        <w:rPr>
          <w:rFonts w:ascii="仿宋_GB2312" w:eastAsia="仿宋_GB2312" w:cs="FZFSK--GBK1-0"/>
          <w:kern w:val="0"/>
          <w:sz w:val="32"/>
          <w:szCs w:val="32"/>
        </w:rPr>
        <w:t>,164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万元，决算数为</w:t>
      </w:r>
      <w:r>
        <w:rPr>
          <w:rFonts w:ascii="仿宋_GB2312" w:eastAsia="仿宋_GB2312" w:cs="FZFSK--GBK1-0"/>
          <w:kern w:val="0"/>
          <w:sz w:val="32"/>
          <w:szCs w:val="32"/>
        </w:rPr>
        <w:t>3,461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eastAsia="仿宋_GB2312" w:cs="FZFSK--GBK1-0"/>
          <w:kern w:val="0"/>
          <w:sz w:val="32"/>
          <w:szCs w:val="32"/>
        </w:rPr>
        <w:t>159.9%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tbl>
      <w:tblPr>
        <w:tblStyle w:val="6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7"/>
        <w:gridCol w:w="1095"/>
        <w:gridCol w:w="437"/>
        <w:gridCol w:w="817"/>
        <w:gridCol w:w="419"/>
        <w:gridCol w:w="295"/>
        <w:gridCol w:w="844"/>
        <w:gridCol w:w="687"/>
        <w:gridCol w:w="770"/>
        <w:gridCol w:w="364"/>
        <w:gridCol w:w="1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eastAsia="方正小标宋_GBK"/>
                <w:bCs/>
                <w:sz w:val="32"/>
              </w:rPr>
            </w:pPr>
            <w:bookmarkStart w:id="6" w:name="RANGE!A2:E27"/>
            <w:r>
              <w:rPr>
                <w:rFonts w:hint="eastAsia" w:ascii="方正小标宋_GBK" w:eastAsia="方正小标宋_GBK"/>
                <w:bCs/>
                <w:sz w:val="32"/>
              </w:rPr>
              <w:t>北京市通州区2019年区级一般公共预算支出决算情况表</w:t>
            </w:r>
            <w:bookmarkEnd w:id="6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40" w:type="dxa"/>
          <w:trHeight w:val="57" w:hRule="atLeast"/>
        </w:trPr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   表二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567" w:hRule="atLeast"/>
        </w:trPr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项    目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2019年预算数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2019年预算调整数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2019年决算数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决算数为预算调整数%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一、一般公共服务支出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186,418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216,757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240,699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111.0%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二、国防支出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4,146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1,882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2,450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130.2%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三、公共安全支出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198,552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204,998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228,357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四、教育支出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484,218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467,210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475,801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101.8%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五、科学技术支出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27,447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14,905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15,108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101.4%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六、文化旅游体育与传媒支出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35,984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46,987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48,516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103.3%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七、社会保障和就业支出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211,939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301,766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306,719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101.6%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八、卫生健康支出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176,842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261,790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279,895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106.9%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九、节能环保支出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156,966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156,600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168,293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107.5%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十、城乡社区支出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394,771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546,663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585,762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107.2%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十一、农林水支出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619,643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999,240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999,005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十二、交通运输支出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32,311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35,219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36,935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十三、资源勘探信息等支出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27,416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103,657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109,398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105.5%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十四、商业服务业等支出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451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十五、金融支出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242.4%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十六、援助其他地区支出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4,136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4,539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109.7%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十七、自然资源海洋气象等支出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1,484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1,308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1,308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十八、住房保障支出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96,008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53,600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56,063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104.6%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十九、粮油物资储备支出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499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二十、灾害防治及应急管理支出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18,462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21,315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115.5%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二十一、其他支出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8,950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16,600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16,05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96.7%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454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支出总计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2,664,235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3,452,602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3,598,01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104.2%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说明二 关于2019年一般公共预算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支出决算情况的说明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ind w:firstLine="620" w:firstLineChars="200"/>
        <w:rPr>
          <w:rFonts w:ascii="黑体" w:eastAsia="黑体" w:cs="FZHTK--GBK1-0"/>
          <w:kern w:val="0"/>
          <w:sz w:val="31"/>
          <w:szCs w:val="31"/>
        </w:rPr>
      </w:pPr>
      <w:r>
        <w:rPr>
          <w:rFonts w:hint="eastAsia" w:ascii="黑体" w:eastAsia="黑体" w:cs="FZHTK--GBK1-0"/>
          <w:kern w:val="0"/>
          <w:sz w:val="31"/>
          <w:szCs w:val="31"/>
        </w:rPr>
        <w:t>一、2019年一般公共预算支出总体情况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2019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年区级一般公共预算支出决算数为</w:t>
      </w:r>
      <w:r>
        <w:rPr>
          <w:rFonts w:ascii="仿宋_GB2312" w:eastAsia="仿宋_GB2312" w:cs="FZFSK--GBK1-0"/>
          <w:kern w:val="0"/>
          <w:sz w:val="32"/>
          <w:szCs w:val="32"/>
        </w:rPr>
        <w:t>3,598,017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万元，完成区六届人大常委会第二十六次会议批准调整预算的104.2%。</w:t>
      </w:r>
    </w:p>
    <w:p>
      <w:pPr>
        <w:autoSpaceDE w:val="0"/>
        <w:autoSpaceDN w:val="0"/>
        <w:adjustRightInd w:val="0"/>
        <w:spacing w:line="560" w:lineRule="exact"/>
        <w:ind w:firstLine="620" w:firstLineChars="200"/>
        <w:rPr>
          <w:rFonts w:ascii="黑体" w:eastAsia="黑体" w:cs="FZHTK--GBK1-0"/>
          <w:kern w:val="0"/>
          <w:sz w:val="31"/>
          <w:szCs w:val="31"/>
        </w:rPr>
      </w:pPr>
      <w:r>
        <w:rPr>
          <w:rFonts w:hint="eastAsia" w:ascii="黑体" w:eastAsia="黑体" w:cs="FZHTK--GBK1-0"/>
          <w:kern w:val="0"/>
          <w:sz w:val="31"/>
          <w:szCs w:val="31"/>
        </w:rPr>
        <w:t>二、2019年一般公共预算支出具体情况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Times-Roman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一般公共服务支出决算数为</w:t>
      </w:r>
      <w:r>
        <w:rPr>
          <w:rFonts w:ascii="仿宋_GB2312" w:hAnsi="Times-Roman" w:eastAsia="仿宋_GB2312" w:cs="FZFSK--GBK1-0"/>
          <w:kern w:val="0"/>
          <w:sz w:val="32"/>
          <w:szCs w:val="32"/>
        </w:rPr>
        <w:t>240,699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ascii="仿宋_GB2312" w:hAnsi="Times-Roman" w:eastAsia="仿宋_GB2312" w:cs="FZFSK--GBK1-0"/>
          <w:kern w:val="0"/>
          <w:sz w:val="32"/>
          <w:szCs w:val="32"/>
        </w:rPr>
        <w:t>111.0%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。主要用于“灯塔计划”、“运河计划”人才奖励，保障村干部基本待遇、基层党建工作经费等。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Times-Roman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2.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国防支出决算数为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2,450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130.2%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。主要用于征兵奖励等。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3.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公共安全支出决算数为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228,357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111.4%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</w:t>
      </w:r>
      <w:r>
        <w:rPr>
          <w:rFonts w:hint="eastAsia" w:ascii="仿宋_GB2312" w:hAnsi="楷体" w:eastAsia="仿宋_GB2312"/>
          <w:sz w:val="32"/>
          <w:szCs w:val="32"/>
        </w:rPr>
        <w:t>主要用于扫黑除恶、科技创安、雪亮工程建设,开展法律宣传、咨询、援助及人民调节工作,改造升级乡村道路卡点设施，提升外围卡点路口查控水平等。其中公安局的“999医疗入驻监所”项目入选2019年事前绩效评估项目库，参评金额为532.4万元，区人大代表全程参与此项目评估，评估结论为“建议予以支持”，2019年财政预算实际安排532.4万元，实际支出532.4万元。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4.教育支出决算数为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475,801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101.8%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。</w:t>
      </w:r>
      <w:r>
        <w:rPr>
          <w:rFonts w:hint="eastAsia" w:ascii="仿宋_GB2312" w:hAnsi="楷体" w:eastAsia="仿宋_GB2312"/>
          <w:sz w:val="32"/>
          <w:szCs w:val="32"/>
        </w:rPr>
        <w:t>主要用于引进新一轮优质教育资源，推动黄城根小学、杨庄小学、运河中学等学校建设，加大学前教育投入，</w:t>
      </w:r>
      <w:r>
        <w:rPr>
          <w:rFonts w:hint="eastAsia" w:ascii="仿宋_GB2312" w:hAnsi="仿宋_GB2312" w:eastAsia="仿宋_GB2312" w:cs="仿宋_GB2312"/>
          <w:sz w:val="32"/>
          <w:szCs w:val="32"/>
        </w:rPr>
        <w:t>新开各类幼儿园</w:t>
      </w: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所，</w:t>
      </w:r>
      <w:r>
        <w:rPr>
          <w:rFonts w:hint="eastAsia" w:ascii="仿宋_GB2312" w:hAnsi="楷体" w:eastAsia="仿宋_GB2312"/>
          <w:sz w:val="32"/>
          <w:szCs w:val="32"/>
        </w:rPr>
        <w:t>实施课程改革计划，开展中小学课后实践活动，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完成第二轮万名教师培训，</w:t>
      </w:r>
      <w:r>
        <w:rPr>
          <w:rFonts w:hint="eastAsia" w:ascii="仿宋_GB2312" w:eastAsia="仿宋_GB2312"/>
          <w:sz w:val="32"/>
          <w:szCs w:val="32"/>
        </w:rPr>
        <w:t>提高素质教育质量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5.科学技术支出决算数为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15,108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101.4%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。主要</w:t>
      </w:r>
      <w:r>
        <w:rPr>
          <w:rFonts w:hint="eastAsia" w:ascii="仿宋_GB2312" w:eastAsia="仿宋_GB2312"/>
          <w:sz w:val="32"/>
          <w:szCs w:val="32"/>
        </w:rPr>
        <w:t>用于科技创新投入，</w:t>
      </w:r>
      <w:r>
        <w:rPr>
          <w:rFonts w:hint="eastAsia" w:ascii="仿宋_GB2312" w:hAnsi="仿宋" w:eastAsia="仿宋_GB2312"/>
          <w:sz w:val="32"/>
          <w:szCs w:val="32"/>
        </w:rPr>
        <w:t>开展街道、乡镇等各类基层科普活动，</w:t>
      </w:r>
      <w:r>
        <w:rPr>
          <w:rFonts w:hint="eastAsia" w:ascii="仿宋_GB2312" w:eastAsia="仿宋_GB2312"/>
          <w:sz w:val="32"/>
          <w:szCs w:val="32"/>
        </w:rPr>
        <w:t>扶持科技创新人才，引进高层次人才创新团队等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6.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文化体育与传媒支出决算数为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48,516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103.3%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主要用于支持大运河文化带、文旅区综合管廊建设、环球度假区建设，举办</w:t>
      </w:r>
      <w:r>
        <w:rPr>
          <w:rFonts w:hint="eastAsia" w:ascii="仿宋_GB2312" w:hAnsi="仿宋_GB2312" w:eastAsia="仿宋_GB2312" w:cs="仿宋_GB2312"/>
          <w:sz w:val="32"/>
          <w:szCs w:val="32"/>
        </w:rPr>
        <w:t>通州运河半程马拉松</w:t>
      </w:r>
      <w:r>
        <w:rPr>
          <w:rFonts w:hint="eastAsia" w:ascii="仿宋_GB2312" w:eastAsia="仿宋_GB2312"/>
          <w:sz w:val="32"/>
          <w:szCs w:val="32"/>
        </w:rPr>
        <w:t>等体育赛事活动，推进宋庄文化创意产业集聚区项目，奖励文创企业及人才，开展农村文艺演出星火工程等</w:t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7.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社会保障和就业支出决算数为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306,719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101.6%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</w:t>
      </w:r>
      <w:r>
        <w:rPr>
          <w:rFonts w:hint="eastAsia" w:ascii="仿宋_GB2312" w:hAnsi="楷体" w:eastAsia="仿宋_GB2312"/>
          <w:sz w:val="32"/>
          <w:szCs w:val="32"/>
        </w:rPr>
        <w:t>主要用于保障城乡居民养老保险、基础养老金、城乡无保障老年居民保障金，保障征地超转人员生活费和医药费，建设养老驿站，落实公益岗位补贴、职业技能补贴、“三支一扶”待遇政策等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8.</w:t>
      </w:r>
      <w:r>
        <w:rPr>
          <w:rFonts w:hint="eastAsia"/>
        </w:rPr>
        <w:t xml:space="preserve"> 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卫生健康支出决算数为</w:t>
      </w:r>
      <w:r>
        <w:rPr>
          <w:rFonts w:ascii="仿宋_GB2312" w:hAnsi="Times-Roman" w:eastAsia="仿宋_GB2312" w:cs="FZFSK--GBK1-0"/>
          <w:kern w:val="0"/>
          <w:sz w:val="32"/>
          <w:szCs w:val="32"/>
        </w:rPr>
        <w:t>279,895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106.9%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</w:t>
      </w:r>
      <w:r>
        <w:rPr>
          <w:rFonts w:hint="eastAsia" w:ascii="仿宋_GB2312" w:hAnsi="楷体" w:eastAsia="仿宋_GB2312"/>
          <w:sz w:val="32"/>
          <w:szCs w:val="32"/>
        </w:rPr>
        <w:t>主要用于医药卫生体制改革，城乡居民医疗保险，疾病防控及精神病防治等基本公共卫生服务，潞河医院病房楼及地下车库工程建设等。其中卫健委的“卫生系统信息化”项目入选2019年事前绩效评估项目库，参评金额为1</w:t>
      </w:r>
      <w:r>
        <w:rPr>
          <w:rFonts w:ascii="仿宋_GB2312" w:hAnsi="楷体" w:eastAsia="仿宋_GB2312"/>
          <w:sz w:val="32"/>
          <w:szCs w:val="32"/>
        </w:rPr>
        <w:t>,</w:t>
      </w:r>
      <w:r>
        <w:rPr>
          <w:rFonts w:hint="eastAsia" w:ascii="仿宋_GB2312" w:hAnsi="楷体" w:eastAsia="仿宋_GB2312"/>
          <w:sz w:val="32"/>
          <w:szCs w:val="32"/>
        </w:rPr>
        <w:t>874万元，评估结论为“建议部分支持”，2019年财政预算实际安排“卫生系统信息化”项目903万元，实际支出901.8万元（政府采购实际金额比预计数低1.2万元）。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9.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节能环保支出决算数为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168,293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107.5%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主要用于疏解一般制造业“散乱污”，工业大院清理，扬尘污染及尾气检查治理，燃气锅炉低氮改造补助，推进污水处理厂建设，开展黑臭水体治理清淤工程等</w:t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Times-Roman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10.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城乡社区支出决算数为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585,762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107.2%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。主要用于背街小巷整治，城市公共设施更新，道路维护保洁，垃圾清运处理，城市景观照明，完成“公厕革命”改造任务等</w:t>
      </w:r>
      <w:r>
        <w:rPr>
          <w:rFonts w:hint="eastAsia" w:ascii="仿宋_GB2312" w:hAnsi="楷体" w:eastAsia="仿宋_GB2312"/>
          <w:sz w:val="32"/>
          <w:szCs w:val="32"/>
        </w:rPr>
        <w:t>。其中城管委的“八座应急临时填埋场整治” 项目入选2019年事前绩效评估项目库，参评金额为12</w:t>
      </w:r>
      <w:r>
        <w:rPr>
          <w:rFonts w:ascii="仿宋_GB2312" w:hAnsi="楷体" w:eastAsia="仿宋_GB2312"/>
          <w:sz w:val="32"/>
          <w:szCs w:val="32"/>
        </w:rPr>
        <w:t>,</w:t>
      </w:r>
      <w:r>
        <w:rPr>
          <w:rFonts w:hint="eastAsia" w:ascii="仿宋_GB2312" w:hAnsi="楷体" w:eastAsia="仿宋_GB2312"/>
          <w:sz w:val="32"/>
          <w:szCs w:val="32"/>
        </w:rPr>
        <w:t>108.9万元，区人大代表全程参与此项目评估，评估结论为“建议予以支持”，2019年财政预算实际安排10</w:t>
      </w:r>
      <w:r>
        <w:rPr>
          <w:rFonts w:ascii="仿宋_GB2312" w:hAnsi="楷体" w:eastAsia="仿宋_GB2312"/>
          <w:sz w:val="32"/>
          <w:szCs w:val="32"/>
        </w:rPr>
        <w:t>,</w:t>
      </w:r>
      <w:r>
        <w:rPr>
          <w:rFonts w:hint="eastAsia" w:ascii="仿宋_GB2312" w:hAnsi="楷体" w:eastAsia="仿宋_GB2312"/>
          <w:sz w:val="32"/>
          <w:szCs w:val="32"/>
        </w:rPr>
        <w:t>000万元，实际支出10</w:t>
      </w:r>
      <w:r>
        <w:rPr>
          <w:rFonts w:ascii="仿宋_GB2312" w:hAnsi="楷体" w:eastAsia="仿宋_GB2312"/>
          <w:sz w:val="32"/>
          <w:szCs w:val="32"/>
        </w:rPr>
        <w:t>,</w:t>
      </w:r>
      <w:r>
        <w:rPr>
          <w:rFonts w:hint="eastAsia" w:ascii="仿宋_GB2312" w:hAnsi="楷体" w:eastAsia="仿宋_GB2312"/>
          <w:sz w:val="32"/>
          <w:szCs w:val="32"/>
        </w:rPr>
        <w:t>000万元。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11.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农林水支出决算数为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999,005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 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100%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主要用于“美丽乡村”建设，新一轮百万亩造林工程，实施潮白河森林景观带、台湖万亩游憩园等1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项重点绿化美化工程，保障大运河森林公园、东郊森林公园维护养护；推进行政办公区再生水管线工程及雨水工程配套泵站建设，开展积滞水点治理等</w:t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Times-Roman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12.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交通运输支出决算数为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36,935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104.9%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主要用于副中心站综合交通枢纽、东六环路入地、宋梁路北延工程，推进乡镇公路建设，优化公路线网，智能升级信号灯，新建路侧停车泊位，改造惠民路、通燕高速辅路等重点道路，落实小公共票价补贴，运营维护城市公共自行车系统</w:t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Times-Roman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13.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资源勘探信息等支出决算数为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109,398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105.5%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。主要用于副中心建设基金及成立科技创新资金等。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Times-Roman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14.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商业服务业等支出决算数为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516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Times-Roman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15.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金融支出决算数为</w:t>
      </w:r>
      <w:r>
        <w:rPr>
          <w:rFonts w:ascii="仿宋_GB2312" w:hAnsi="Times-Roman" w:eastAsia="仿宋_GB2312" w:cs="FZFSK--GBK1-0"/>
          <w:kern w:val="0"/>
          <w:sz w:val="32"/>
          <w:szCs w:val="32"/>
        </w:rPr>
        <w:t>783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242.4%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Times-Roman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16.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援助其他地区支出决算数为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4,539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109.7%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Times-Roman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17.</w:t>
      </w:r>
      <w:r>
        <w:rPr>
          <w:rFonts w:hint="eastAsia"/>
        </w:rPr>
        <w:t xml:space="preserve"> 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自然资源海洋气象等支出决算数为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1,308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100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Times-Roman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18.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住房保障支出决算数为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56,063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104.6%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。主要用于住房公积金及农村危房改造等。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Times-Roman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19.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粮油物资储备支出决算数为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499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100%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Times-Roman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2</w:t>
      </w:r>
      <w:r>
        <w:rPr>
          <w:rFonts w:ascii="仿宋_GB2312" w:hAnsi="Times-Roman" w:eastAsia="仿宋_GB2312" w:cs="FZFSK--GBK1-0"/>
          <w:kern w:val="0"/>
          <w:sz w:val="32"/>
          <w:szCs w:val="32"/>
        </w:rPr>
        <w:t>0.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灾害防治及应急管理支出决算数为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21,315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115.5%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。主要用于保障消防支队消防执法检查、应急管理局专职安全员、交通局事故抢险应急经费等。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Times-Roman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2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其他支出决算数为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16,056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万元，完成预算调整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96.7%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。</w:t>
      </w:r>
    </w:p>
    <w:p>
      <w:pPr>
        <w:widowControl/>
        <w:jc w:val="left"/>
        <w:rPr>
          <w:rFonts w:ascii="仿宋_GB2312" w:hAnsi="Times-Roman" w:eastAsia="仿宋_GB2312" w:cs="FZFSK--GBK1-0"/>
          <w:kern w:val="0"/>
          <w:sz w:val="32"/>
          <w:szCs w:val="32"/>
        </w:rPr>
        <w:sectPr>
          <w:footerReference r:id="rId3" w:type="default"/>
          <w:footerReference r:id="rId4" w:type="even"/>
          <w:pgSz w:w="11907" w:h="16839" w:orient="landscape"/>
          <w:pgMar w:top="2098" w:right="1474" w:bottom="1985" w:left="1588" w:header="851" w:footer="737" w:gutter="0"/>
          <w:pgNumType w:fmt="numberInDash"/>
          <w:cols w:space="425" w:num="1"/>
          <w:docGrid w:linePitch="312" w:charSpace="0"/>
        </w:sectPr>
      </w:pPr>
      <w:r>
        <w:rPr>
          <w:rFonts w:ascii="仿宋_GB2312" w:hAnsi="Times-Roman" w:eastAsia="仿宋_GB2312" w:cs="FZFSK--GBK1-0"/>
          <w:kern w:val="0"/>
          <w:sz w:val="32"/>
          <w:szCs w:val="32"/>
        </w:rPr>
        <w:br w:type="page"/>
      </w:r>
      <w:r>
        <w:rPr>
          <w:rFonts w:ascii="仿宋_GB2312" w:hAnsi="Times-Roman" w:eastAsia="仿宋_GB2312" w:cs="FZFSK--GBK1-0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-1049020</wp:posOffset>
            </wp:positionH>
            <wp:positionV relativeFrom="paragraph">
              <wp:posOffset>1158875</wp:posOffset>
            </wp:positionV>
            <wp:extent cx="7892415" cy="5711190"/>
            <wp:effectExtent l="0" t="0" r="3810" b="133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92415" cy="571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Times-Roman" w:eastAsia="仿宋_GB2312" w:cs="FZFSK--GBK1-0"/>
          <w:kern w:val="0"/>
          <w:sz w:val="32"/>
          <w:szCs w:val="32"/>
        </w:rPr>
        <w:br w:type="page"/>
      </w:r>
      <w:bookmarkStart w:id="14" w:name="_GoBack"/>
      <w:bookmarkEnd w:id="14"/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说明三 关于2019年一般公共预算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收支决算情况的说明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eastAsia="黑体" w:cs="FZHTK--GBK1-0"/>
          <w:kern w:val="0"/>
          <w:sz w:val="32"/>
          <w:szCs w:val="32"/>
        </w:rPr>
      </w:pPr>
      <w:r>
        <w:rPr>
          <w:rFonts w:hint="eastAsia" w:ascii="黑体" w:eastAsia="黑体" w:cs="FZHTK--GBK1-0"/>
          <w:kern w:val="0"/>
          <w:sz w:val="32"/>
          <w:szCs w:val="32"/>
        </w:rPr>
        <w:t>一、2019年一般公共预算收入决算情况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eastAsia="仿宋_GB2312" w:cs="FZFSK--GBK1-0"/>
          <w:kern w:val="0"/>
          <w:sz w:val="32"/>
          <w:szCs w:val="32"/>
        </w:rPr>
        <w:t>一般公共预算总收入决算数为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4,378,999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119.1%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，具体执行情况如下：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一般公共预算收入完成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887,278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万元，同比增长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6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.9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，完成区六届人大常委会二十六次会议批准调整预算的100.8%；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市对区县转移支付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1,789,505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150.1%,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主要是年底下达美丽乡村资金1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5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亿元，预拨2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020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年一般转移支付3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8.23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亿元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ascii="仿宋_GB2312" w:hAnsi="Times-Roman" w:eastAsia="仿宋_GB2312" w:cs="Times-Roman"/>
          <w:kern w:val="0"/>
          <w:sz w:val="32"/>
          <w:szCs w:val="32"/>
        </w:rPr>
        <w:t>3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上年市级结转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187,424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万元，与预算调整数一致。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ascii="仿宋_GB2312" w:hAnsi="Times-Roman" w:eastAsia="仿宋_GB2312" w:cs="Times-Roman"/>
          <w:kern w:val="0"/>
          <w:sz w:val="32"/>
          <w:szCs w:val="32"/>
        </w:rPr>
        <w:t>4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上年区级结转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816,952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万元，与预算调整数一致。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ascii="仿宋_GB2312" w:hAnsi="Times-Roman" w:eastAsia="仿宋_GB2312" w:cs="Times-Roman"/>
          <w:kern w:val="0"/>
          <w:sz w:val="32"/>
          <w:szCs w:val="32"/>
        </w:rPr>
        <w:t>5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政府债券收入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300,000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万元，全部为新增一般债券，与预算调整数一致。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ascii="仿宋_GB2312" w:hAnsi="Times-Roman" w:eastAsia="仿宋_GB2312" w:cs="Times-Roman"/>
          <w:kern w:val="0"/>
          <w:sz w:val="32"/>
          <w:szCs w:val="32"/>
        </w:rPr>
        <w:t>6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政府性基金预算调入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273,158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万元，比预算调整数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183,158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万元增加</w:t>
      </w:r>
      <w:r>
        <w:rPr>
          <w:rFonts w:ascii="仿宋_GB2312" w:eastAsia="仿宋_GB2312" w:cs="FZFSK--GBK1-0"/>
          <w:kern w:val="0"/>
          <w:sz w:val="32"/>
          <w:szCs w:val="32"/>
        </w:rPr>
        <w:t>90,000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万元，主要原因是加大政府性基金预算统筹力度。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ascii="仿宋_GB2312" w:hAnsi="Times-Roman" w:eastAsia="仿宋_GB2312" w:cs="Times-Roman"/>
          <w:kern w:val="0"/>
          <w:sz w:val="32"/>
          <w:szCs w:val="32"/>
        </w:rPr>
        <w:t>7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国有资本经营预算调入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15,200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万元，与预算调整数一致。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ascii="仿宋_GB2312" w:hAnsi="Times-Roman" w:eastAsia="仿宋_GB2312" w:cs="Times-Roman"/>
          <w:kern w:val="0"/>
          <w:sz w:val="32"/>
          <w:szCs w:val="32"/>
        </w:rPr>
        <w:t>8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其他资金调入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8,798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万元，主要是生育津贴退回。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ascii="仿宋_GB2312" w:hAnsi="Times-Roman" w:eastAsia="仿宋_GB2312" w:cs="Times-Roman"/>
          <w:kern w:val="0"/>
          <w:sz w:val="32"/>
          <w:szCs w:val="32"/>
        </w:rPr>
        <w:t>9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预算稳定调节基金调入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100,684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万元，与预算调整数一致。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eastAsia="黑体" w:cs="FZHTK--GBK1-0"/>
          <w:kern w:val="0"/>
          <w:sz w:val="32"/>
          <w:szCs w:val="32"/>
        </w:rPr>
      </w:pPr>
      <w:r>
        <w:rPr>
          <w:rFonts w:hint="eastAsia" w:ascii="黑体" w:eastAsia="黑体" w:cs="FZHTK--GBK1-0"/>
          <w:kern w:val="0"/>
          <w:sz w:val="32"/>
          <w:szCs w:val="32"/>
        </w:rPr>
        <w:t>二、2019年一般公共预算支出决算情况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eastAsia="仿宋_GB2312" w:cs="FZFSK--GBK1-0"/>
          <w:kern w:val="0"/>
          <w:sz w:val="32"/>
          <w:szCs w:val="32"/>
        </w:rPr>
        <w:t>一般公共预算总支出决算数为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4,378,999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119.1%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，具体执行情况如下：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一般公共预算支出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3,598,017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万元，比预算调整数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3,452,602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万元增加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145,415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万元，主要是1</w:t>
      </w:r>
      <w:r>
        <w:rPr>
          <w:rFonts w:ascii="仿宋_GB2312" w:eastAsia="仿宋_GB2312" w:cs="FZFSK--GBK1-0"/>
          <w:kern w:val="0"/>
          <w:sz w:val="32"/>
          <w:szCs w:val="32"/>
        </w:rPr>
        <w:t>2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月份增加美丽乡村建设支出8</w:t>
      </w:r>
      <w:r>
        <w:rPr>
          <w:rFonts w:ascii="仿宋_GB2312" w:eastAsia="仿宋_GB2312" w:cs="FZFSK--GBK1-0"/>
          <w:kern w:val="0"/>
          <w:sz w:val="32"/>
          <w:szCs w:val="32"/>
        </w:rPr>
        <w:t>.5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亿元、清理拖欠工程款及乡镇支出5亿元等。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2.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上解市级支出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188,222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万元，比预算调整数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80,847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万元增加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107,375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万元，主要是共享税增量返还上解9</w:t>
      </w:r>
      <w:r>
        <w:rPr>
          <w:rFonts w:ascii="仿宋_GB2312" w:eastAsia="仿宋_GB2312" w:cs="FZFSK--GBK1-0"/>
          <w:kern w:val="0"/>
          <w:sz w:val="32"/>
          <w:szCs w:val="32"/>
        </w:rPr>
        <w:t>.28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亿元。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3.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市级专项结转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74,815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万元，比预算调整数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53,944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万元增加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20,871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万元，主要是年底下达的专项转移支付未执行完毕，结转下年使用。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4.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区级结转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500,667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万元，比预算调整数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78,447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万元增加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422,220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万元，主要是预拨2</w:t>
      </w:r>
      <w:r>
        <w:rPr>
          <w:rFonts w:ascii="仿宋_GB2312" w:eastAsia="仿宋_GB2312" w:cs="FZFSK--GBK1-0"/>
          <w:kern w:val="0"/>
          <w:sz w:val="32"/>
          <w:szCs w:val="32"/>
        </w:rPr>
        <w:t>020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年一般转移支付3</w:t>
      </w:r>
      <w:r>
        <w:rPr>
          <w:rFonts w:ascii="仿宋_GB2312" w:eastAsia="仿宋_GB2312" w:cs="FZFSK--GBK1-0"/>
          <w:kern w:val="0"/>
          <w:sz w:val="32"/>
          <w:szCs w:val="32"/>
        </w:rPr>
        <w:t>8.23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亿元。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5.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补充预算稳定调节基金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17,278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万元，比预算调整数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10,000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万元增加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7,278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_GB2312" w:eastAsia="仿宋_GB2312" w:cs="FZFSK--GBK1-0"/>
          <w:kern w:val="0"/>
          <w:sz w:val="32"/>
          <w:szCs w:val="32"/>
        </w:rPr>
      </w:pPr>
    </w:p>
    <w:tbl>
      <w:tblPr>
        <w:tblStyle w:val="6"/>
        <w:tblW w:w="90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6"/>
        <w:gridCol w:w="127"/>
        <w:gridCol w:w="1251"/>
        <w:gridCol w:w="277"/>
        <w:gridCol w:w="1222"/>
        <w:gridCol w:w="194"/>
        <w:gridCol w:w="1260"/>
        <w:gridCol w:w="156"/>
        <w:gridCol w:w="963"/>
        <w:gridCol w:w="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bookmarkStart w:id="7" w:name="RANGE!A1:E19"/>
            <w:r>
              <w:rPr>
                <w:rFonts w:hint="eastAsia" w:ascii="方正小标宋_GBK" w:eastAsia="方正小标宋_GBK"/>
                <w:bCs/>
                <w:sz w:val="32"/>
              </w:rPr>
              <w:t>北京市通州区2019年区级政府性基金预算收入决算情况表</w:t>
            </w:r>
            <w:bookmarkEnd w:id="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 xml:space="preserve">    表四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</w:trPr>
        <w:tc>
          <w:tcPr>
            <w:tcW w:w="3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项    目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2019年预算数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2019年预算调整数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2019年决算数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决算数为预算调整数%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</w:trPr>
        <w:tc>
          <w:tcPr>
            <w:tcW w:w="3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政府性基金预算收入合计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2,221,000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2,221,000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1,461,646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65.8%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</w:trPr>
        <w:tc>
          <w:tcPr>
            <w:tcW w:w="3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其中:1.国有土地使用权出让收入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2,181,000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2,181,000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1,405,182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64.4%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</w:trPr>
        <w:tc>
          <w:tcPr>
            <w:tcW w:w="3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2.城市基础设施配套费收入 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40,000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40,000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55,449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138.6%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</w:trPr>
        <w:tc>
          <w:tcPr>
            <w:tcW w:w="3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3.污水处理费收入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319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</w:trPr>
        <w:tc>
          <w:tcPr>
            <w:tcW w:w="3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4.农业土地开发资金收入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696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</w:trPr>
        <w:tc>
          <w:tcPr>
            <w:tcW w:w="3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</w:trPr>
        <w:tc>
          <w:tcPr>
            <w:tcW w:w="3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上年市级结转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7,811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5,229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5,229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</w:trPr>
        <w:tc>
          <w:tcPr>
            <w:tcW w:w="3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上年区级结转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868,895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577,116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577,116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</w:trPr>
        <w:tc>
          <w:tcPr>
            <w:tcW w:w="3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调入资金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105,003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105,003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</w:trPr>
        <w:tc>
          <w:tcPr>
            <w:tcW w:w="3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本年市级转移支付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7,436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163,046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171,740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105.3%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</w:trPr>
        <w:tc>
          <w:tcPr>
            <w:tcW w:w="3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本年政府债券收入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1,462,040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1,462,040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</w:trPr>
        <w:tc>
          <w:tcPr>
            <w:tcW w:w="3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其中: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新增专项债券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337,000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337,000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</w:trPr>
        <w:tc>
          <w:tcPr>
            <w:tcW w:w="3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再融资专项债券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1,125,040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1,125,040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</w:trPr>
        <w:tc>
          <w:tcPr>
            <w:tcW w:w="3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</w:trPr>
        <w:tc>
          <w:tcPr>
            <w:tcW w:w="36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收入总计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3,105,142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4,533,434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3,782,774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83.4%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说明四 关于2019年政府性基金预算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收入决算情况的说明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hAnsi="黑体" w:eastAsia="黑体" w:cs="FZHTK--GBK1-0"/>
          <w:kern w:val="0"/>
          <w:sz w:val="32"/>
          <w:szCs w:val="32"/>
        </w:rPr>
      </w:pPr>
      <w:r>
        <w:rPr>
          <w:rFonts w:hint="eastAsia" w:ascii="黑体" w:hAnsi="黑体" w:eastAsia="黑体" w:cs="FZHTK--GBK1-0"/>
          <w:kern w:val="0"/>
          <w:sz w:val="32"/>
          <w:szCs w:val="32"/>
        </w:rPr>
        <w:t>一、</w:t>
      </w:r>
      <w:r>
        <w:rPr>
          <w:rFonts w:ascii="黑体" w:hAnsi="黑体" w:eastAsia="黑体" w:cs="FZHTK--GBK1-0"/>
          <w:kern w:val="0"/>
          <w:sz w:val="32"/>
          <w:szCs w:val="32"/>
        </w:rPr>
        <w:t>2019</w:t>
      </w:r>
      <w:r>
        <w:rPr>
          <w:rFonts w:hint="eastAsia" w:ascii="黑体" w:hAnsi="黑体" w:eastAsia="黑体" w:cs="FZHTK--GBK1-0"/>
          <w:kern w:val="0"/>
          <w:sz w:val="32"/>
          <w:szCs w:val="32"/>
        </w:rPr>
        <w:t>年政府性基金预算收入总体情况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eastAsia="仿宋_GB2312" w:cs="FZFSK--GBK1-0"/>
          <w:kern w:val="0"/>
          <w:sz w:val="32"/>
          <w:szCs w:val="32"/>
        </w:rPr>
        <w:t>政府性基金预算总收入决算数为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3,782,774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83.4%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，主要原因是受宏观政策影响，土地未能如期上市，收入减少。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hAnsi="黑体" w:eastAsia="黑体" w:cs="FZHTK--GBK1-0"/>
          <w:kern w:val="0"/>
          <w:sz w:val="32"/>
          <w:szCs w:val="32"/>
        </w:rPr>
      </w:pPr>
      <w:r>
        <w:rPr>
          <w:rFonts w:hint="eastAsia" w:ascii="黑体" w:hAnsi="黑体" w:eastAsia="黑体" w:cs="FZHTK--GBK1-0"/>
          <w:kern w:val="0"/>
          <w:sz w:val="32"/>
          <w:szCs w:val="32"/>
        </w:rPr>
        <w:t>二、2019年政府性基金预算收入具体情况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国有土地使用权出让收入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1,405,182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万元，比预算调整数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2,181,000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万元减少</w:t>
      </w:r>
      <w:r>
        <w:rPr>
          <w:rFonts w:ascii="仿宋_GB2312" w:eastAsia="仿宋_GB2312" w:cs="FZFSK--GBK1-0"/>
          <w:kern w:val="0"/>
          <w:sz w:val="32"/>
          <w:szCs w:val="32"/>
        </w:rPr>
        <w:t>775,818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万元，主要原因是土地未按照计划上市，收入减少。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2.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城市基础设施配套费收入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55,449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万元，比预算调整数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40,000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万元增加</w:t>
      </w:r>
      <w:r>
        <w:rPr>
          <w:rFonts w:ascii="仿宋_GB2312" w:eastAsia="仿宋_GB2312" w:cs="FZFSK--GBK1-0"/>
          <w:kern w:val="0"/>
          <w:sz w:val="32"/>
          <w:szCs w:val="32"/>
        </w:rPr>
        <w:t>15,449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ascii="仿宋_GB2312" w:eastAsia="仿宋_GB2312" w:cs="FZFSK--GBK1-0"/>
          <w:kern w:val="0"/>
          <w:sz w:val="32"/>
          <w:szCs w:val="32"/>
        </w:rPr>
        <w:t>3.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污水处理费收入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319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4.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农业土地开发资金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696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ascii="仿宋_GB2312" w:hAnsi="Times-Roman" w:eastAsia="仿宋_GB2312" w:cs="Times-Roman"/>
          <w:kern w:val="0"/>
          <w:sz w:val="32"/>
          <w:szCs w:val="32"/>
        </w:rPr>
        <w:t>5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上年市级结转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5,229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万元，与预算调整数一致。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ascii="仿宋_GB2312" w:hAnsi="Times-Roman" w:eastAsia="仿宋_GB2312" w:cs="Times-Roman"/>
          <w:kern w:val="0"/>
          <w:sz w:val="32"/>
          <w:szCs w:val="32"/>
        </w:rPr>
        <w:t>6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上年区级结转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577,116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万元，与预算调整数一致。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Times-Roman" w:eastAsia="仿宋_GB2312" w:cs="Times-Roman"/>
          <w:kern w:val="0"/>
          <w:sz w:val="32"/>
          <w:szCs w:val="32"/>
        </w:rPr>
      </w:pPr>
      <w:r>
        <w:rPr>
          <w:rFonts w:ascii="仿宋_GB2312" w:eastAsia="仿宋_GB2312" w:cs="FZFSK--GBK1-0"/>
          <w:kern w:val="0"/>
          <w:sz w:val="32"/>
          <w:szCs w:val="32"/>
        </w:rPr>
        <w:t>7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.调入资金</w:t>
      </w:r>
      <w:r>
        <w:rPr>
          <w:rFonts w:ascii="仿宋_GB2312" w:eastAsia="仿宋_GB2312" w:cs="FZFSK--GBK1-0"/>
          <w:kern w:val="0"/>
          <w:sz w:val="32"/>
          <w:szCs w:val="32"/>
        </w:rPr>
        <w:t>105,003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万元，与预算调整数一致。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Times-Roman" w:eastAsia="仿宋_GB2312" w:cs="Times-Roman"/>
          <w:kern w:val="0"/>
          <w:sz w:val="32"/>
          <w:szCs w:val="32"/>
        </w:rPr>
      </w:pPr>
      <w:r>
        <w:rPr>
          <w:rFonts w:ascii="仿宋_GB2312" w:hAnsi="Times-Roman" w:eastAsia="仿宋_GB2312" w:cs="Times-Roman"/>
          <w:kern w:val="0"/>
          <w:sz w:val="32"/>
          <w:szCs w:val="32"/>
        </w:rPr>
        <w:t>8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.本年市级转移支付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171,740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万元，比预算调整数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163,046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万元增加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8,694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Times-Roman" w:eastAsia="仿宋_GB2312" w:cs="Times-Roman"/>
          <w:kern w:val="0"/>
          <w:sz w:val="32"/>
          <w:szCs w:val="32"/>
        </w:rPr>
      </w:pPr>
      <w:r>
        <w:rPr>
          <w:rFonts w:ascii="仿宋_GB2312" w:hAnsi="Times-Roman" w:eastAsia="仿宋_GB2312" w:cs="Times-Roman"/>
          <w:kern w:val="0"/>
          <w:sz w:val="32"/>
          <w:szCs w:val="32"/>
        </w:rPr>
        <w:t>9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.本年政府债券收入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1,462,040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万元，与预算调整数一致。</w:t>
      </w:r>
    </w:p>
    <w:p>
      <w:pPr>
        <w:autoSpaceDE w:val="0"/>
        <w:autoSpaceDN w:val="0"/>
        <w:adjustRightInd w:val="0"/>
        <w:spacing w:line="560" w:lineRule="exact"/>
        <w:rPr>
          <w:rFonts w:ascii="仿宋_GB2312" w:hAnsi="Times-Roman" w:eastAsia="仿宋_GB2312" w:cs="Times-Roman"/>
          <w:kern w:val="0"/>
          <w:sz w:val="32"/>
          <w:szCs w:val="32"/>
        </w:rPr>
      </w:pPr>
    </w:p>
    <w:tbl>
      <w:tblPr>
        <w:tblStyle w:val="6"/>
        <w:tblW w:w="90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4"/>
        <w:gridCol w:w="158"/>
        <w:gridCol w:w="997"/>
        <w:gridCol w:w="202"/>
        <w:gridCol w:w="1321"/>
        <w:gridCol w:w="169"/>
        <w:gridCol w:w="1099"/>
        <w:gridCol w:w="206"/>
        <w:gridCol w:w="1041"/>
        <w:gridCol w:w="218"/>
        <w:gridCol w:w="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dxa"/>
          <w:trHeight w:val="850" w:hRule="atLeast"/>
        </w:trPr>
        <w:tc>
          <w:tcPr>
            <w:tcW w:w="9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8" w:name="RANGE!A2:E26"/>
            <w:r>
              <w:rPr>
                <w:rFonts w:hint="eastAsia" w:ascii="方正小标宋_GBK" w:eastAsia="方正小标宋_GBK"/>
                <w:bCs/>
                <w:sz w:val="32"/>
              </w:rPr>
              <w:t>北京市通州区2019年区级政府性基金预算支出决算情况表</w:t>
            </w:r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 xml:space="preserve">    表五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454" w:hRule="atLeast"/>
        </w:trPr>
        <w:tc>
          <w:tcPr>
            <w:tcW w:w="3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项    目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2019年预算数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2019年预算调整数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2019年决算数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决算数为预算调整数%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454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政府性基金预算支出合计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1,463,484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1,938,310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1,411,033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72.8%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454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一、科学技术支出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454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二、文化旅游体育与传媒支出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454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三、社会保障和就业支出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1,890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-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454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四、节能环保支出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454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五、城乡社区支出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1,456,048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1,930,874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1,398,766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72.4%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454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六、农林水支出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454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七、交通运输支出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454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八、资源勘探信息等支出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454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九、金融支出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454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十、其他支出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7,436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7,436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10,377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139.6%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454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454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上解支出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1,322,979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1,325,148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1,373,664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103.7%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510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其中:1.债务还本支出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1,256,698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1,256,698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1,256,698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105.5%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510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2.债务付息支出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66,281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68,450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69,368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101.3%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510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w w:val="9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Cs w:val="21"/>
              </w:rPr>
              <w:t xml:space="preserve">         </w:t>
            </w:r>
            <w:r>
              <w:rPr>
                <w:rFonts w:ascii="仿宋_GB2312" w:hAnsi="宋体" w:eastAsia="仿宋_GB2312" w:cs="宋体"/>
                <w:w w:val="9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w w:val="90"/>
                <w:kern w:val="0"/>
                <w:szCs w:val="21"/>
              </w:rPr>
              <w:t>3.农田水利建设资金上解支出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47,534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-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510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w w:val="9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w w:val="90"/>
                <w:kern w:val="0"/>
                <w:szCs w:val="21"/>
              </w:rPr>
              <w:t xml:space="preserve">        </w:t>
            </w:r>
            <w:r>
              <w:rPr>
                <w:rFonts w:ascii="仿宋_GB2312" w:hAnsi="宋体" w:eastAsia="仿宋_GB2312" w:cs="宋体"/>
                <w:w w:val="9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w w:val="90"/>
                <w:kern w:val="0"/>
                <w:szCs w:val="21"/>
              </w:rPr>
              <w:t xml:space="preserve"> 4.收回结余结转资金上解支出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-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510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政府性基金预算调出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71,055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183,158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273,158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149.1%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510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市级专项结转下年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247,624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2,697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29,147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1080.7%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510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区级结转下年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1,084,121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695,772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64.2%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454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2" w:type="dxa"/>
          <w:trHeight w:val="454" w:hRule="atLeast"/>
        </w:trPr>
        <w:tc>
          <w:tcPr>
            <w:tcW w:w="3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支出总计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3,105,142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4,533,434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3,782,774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83.4%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说明五 关于2019年政府性基金预算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支出决算情况的说明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eastAsia="黑体" w:cs="FZHTK--GBK1-0"/>
          <w:kern w:val="0"/>
          <w:sz w:val="32"/>
          <w:szCs w:val="32"/>
        </w:rPr>
      </w:pPr>
      <w:r>
        <w:rPr>
          <w:rFonts w:hint="eastAsia" w:ascii="黑体" w:eastAsia="黑体" w:cs="FZHTK--GBK1-0"/>
          <w:kern w:val="0"/>
          <w:sz w:val="32"/>
          <w:szCs w:val="32"/>
        </w:rPr>
        <w:t>一、 2019年政府性基金预算支出总体情况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eastAsia="仿宋_GB2312" w:cs="FZFSK--GBK1-0"/>
          <w:kern w:val="0"/>
          <w:sz w:val="32"/>
          <w:szCs w:val="32"/>
        </w:rPr>
        <w:t>政府性基金预算总支出决算数为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3,782,774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83.4%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，主要原因是政府性基金预算收入下降，支出相应减少。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eastAsia="黑体" w:cs="FZHTK--GBK1-0"/>
          <w:kern w:val="0"/>
          <w:sz w:val="32"/>
          <w:szCs w:val="32"/>
        </w:rPr>
      </w:pPr>
      <w:r>
        <w:rPr>
          <w:rFonts w:hint="eastAsia" w:ascii="黑体" w:eastAsia="黑体" w:cs="FZHTK--GBK1-0"/>
          <w:kern w:val="0"/>
          <w:sz w:val="32"/>
          <w:szCs w:val="32"/>
        </w:rPr>
        <w:t>二、 2019年政府性基金预算支出具体情况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社会保障和就业支出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1,890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2.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城乡社区支出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1,398,766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万元，比预算调整数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1,930,874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万元减少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532,108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万元，主要原因是收入减少导致支出相应减少。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3.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其他支出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10,377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万元，比预算调整数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7,436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万元增加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2,941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万元，主要是彩票公益金及对应专项债务收入安排的支出。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4.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上解支出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1,373,664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万元，比预算调整数</w:t>
      </w:r>
      <w:r>
        <w:rPr>
          <w:rFonts w:ascii="仿宋_GB2312" w:eastAsia="仿宋_GB2312" w:cs="FZFSK--GBK1-0"/>
          <w:kern w:val="0"/>
          <w:sz w:val="32"/>
          <w:szCs w:val="32"/>
        </w:rPr>
        <w:t>1,325,148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万元增加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48,516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元, 主要是农田水利建设资金上解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5.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政府性基金预算调出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273,158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万元，比预算调整数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183,158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万元增加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90,000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万元，主要是加大政府性基金调入一般公共预算统筹力度。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6.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市级专项结转下年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29,147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万元，比预算调整数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2,697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万元增加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26,450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万元，主要是提前下达转移支付资金。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Times-Roman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7.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区级结转下年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695,772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万元，比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预算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调整数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1,084,121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万元减少</w:t>
      </w:r>
      <w:r>
        <w:rPr>
          <w:rFonts w:ascii="仿宋_GB2312" w:hAnsi="Times-Roman" w:eastAsia="仿宋_GB2312" w:cs="FZFSK--GBK1-0"/>
          <w:kern w:val="0"/>
          <w:sz w:val="32"/>
          <w:szCs w:val="32"/>
        </w:rPr>
        <w:t>388,349</w:t>
      </w:r>
      <w:r>
        <w:rPr>
          <w:rFonts w:hint="eastAsia" w:ascii="仿宋_GB2312" w:hAnsi="Times-Roman" w:eastAsia="仿宋_GB2312" w:cs="FZFSK--GBK1-0"/>
          <w:kern w:val="0"/>
          <w:sz w:val="32"/>
          <w:szCs w:val="32"/>
        </w:rPr>
        <w:t>万元，主要是当年收入未达到预期，支出相应减少。</w:t>
      </w:r>
    </w:p>
    <w:tbl>
      <w:tblPr>
        <w:tblStyle w:val="6"/>
        <w:tblW w:w="91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35"/>
        <w:gridCol w:w="1501"/>
        <w:gridCol w:w="31"/>
        <w:gridCol w:w="1815"/>
        <w:gridCol w:w="123"/>
        <w:gridCol w:w="1473"/>
        <w:gridCol w:w="123"/>
        <w:gridCol w:w="1222"/>
        <w:gridCol w:w="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850" w:hRule="atLeast"/>
        </w:trPr>
        <w:tc>
          <w:tcPr>
            <w:tcW w:w="9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方正小标宋_GBK" w:hAnsi="Times-Roman" w:eastAsia="方正小标宋_GBK" w:cs="FZFSK--GBK1-0"/>
                <w:kern w:val="0"/>
                <w:sz w:val="32"/>
                <w:szCs w:val="32"/>
              </w:rPr>
            </w:pPr>
            <w:bookmarkStart w:id="9" w:name="RANGE!A1:E9"/>
            <w:r>
              <w:rPr>
                <w:rFonts w:hint="eastAsia" w:ascii="方正小标宋_GBK" w:hAnsi="Times-Roman" w:eastAsia="方正小标宋_GBK" w:cs="FZFSK--GBK1-0"/>
                <w:kern w:val="0"/>
                <w:sz w:val="32"/>
                <w:szCs w:val="32"/>
              </w:rPr>
              <w:t>北京市通州区2019年区级国有资本经营预算收入决算情况表</w:t>
            </w:r>
            <w:bookmarkEnd w:id="9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" w:type="dxa"/>
          <w:trHeight w:val="283" w:hRule="atLeast"/>
        </w:trPr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 xml:space="preserve">    表六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项    目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2019年预算数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2019年调整预算数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2019年决算数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决算数为预算调整数%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国有资本经营预算收入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875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53,053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53,053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其中：1.利润收入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875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2,053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2,053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2.产权转让收入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51,000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51,000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上年结转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1,233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1,233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1,233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收入总计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2,108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54,286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54,286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100.0%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Times-Roman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Times-Roman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Times-Roman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Times-Roman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Times-Roman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Times-Roman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Times-Roman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Times-Roman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Times-Roman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Times-Roman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hAnsi="Times-Roman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说明六 关于2019年国有资本经营预算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收入决算情况的说明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eastAsia="黑体" w:cs="FZHTK--GBK1-0"/>
          <w:kern w:val="0"/>
          <w:sz w:val="32"/>
          <w:szCs w:val="32"/>
        </w:rPr>
      </w:pPr>
      <w:r>
        <w:rPr>
          <w:rFonts w:hint="eastAsia" w:ascii="黑体" w:eastAsia="黑体" w:cs="FZHTK--GBK1-0"/>
          <w:kern w:val="0"/>
          <w:sz w:val="32"/>
          <w:szCs w:val="32"/>
        </w:rPr>
        <w:t>一、2019 年国有资本经营预算收入总体情况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2019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年国有资本经营预算总收入决算数为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54,286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100%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eastAsia="黑体" w:cs="FZHTK--GBK1-0"/>
          <w:kern w:val="0"/>
          <w:sz w:val="32"/>
          <w:szCs w:val="32"/>
        </w:rPr>
      </w:pPr>
      <w:r>
        <w:rPr>
          <w:rFonts w:hint="eastAsia" w:ascii="黑体" w:eastAsia="黑体" w:cs="FZHTK--GBK1-0"/>
          <w:kern w:val="0"/>
          <w:sz w:val="32"/>
          <w:szCs w:val="32"/>
        </w:rPr>
        <w:t>二、2019 年国有资本经营预算收入具体情况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国有资本经营预算收入决算数为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53,053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100%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2.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上年结转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1,233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100%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tbl>
      <w:tblPr>
        <w:tblStyle w:val="6"/>
        <w:tblW w:w="96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7"/>
        <w:gridCol w:w="1537"/>
        <w:gridCol w:w="1619"/>
        <w:gridCol w:w="329"/>
        <w:gridCol w:w="1686"/>
        <w:gridCol w:w="33"/>
        <w:gridCol w:w="12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10" w:name="RANGE!A1:E10"/>
            <w:r>
              <w:rPr>
                <w:rFonts w:hint="eastAsia" w:ascii="方正小标宋_GBK" w:eastAsia="方正小标宋_GBK"/>
                <w:bCs/>
                <w:sz w:val="32"/>
                <w:szCs w:val="32"/>
              </w:rPr>
              <w:t>北京市通州区2019年区级国有资本经营预算支出决算情况表</w:t>
            </w:r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 xml:space="preserve">    表七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项    目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2019年预算数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2019年调整预算数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2019年决算数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决算数为预算调整数%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国有资本经营预算支出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1,233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1,233 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1,233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其中：国有企业资本金注入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1,233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       1,233 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1,233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国有资本经营预算调出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590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15,200 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15,200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结转下年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285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37,853 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37,853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支出总计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2,108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54,286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54,286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100.0%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说明七 关于2019年国有资本经营预算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支出决算情况的说明</w:t>
      </w:r>
    </w:p>
    <w:p>
      <w:pPr>
        <w:autoSpaceDE w:val="0"/>
        <w:autoSpaceDN w:val="0"/>
        <w:adjustRightInd w:val="0"/>
        <w:spacing w:line="560" w:lineRule="exact"/>
        <w:ind w:firstLine="900" w:firstLineChars="200"/>
        <w:jc w:val="left"/>
        <w:rPr>
          <w:rFonts w:ascii="FZXBSJW--GB1-0" w:eastAsia="FZXBSJW--GB1-0" w:cs="FZXBSJW--GB1-0"/>
          <w:kern w:val="0"/>
          <w:sz w:val="45"/>
          <w:szCs w:val="45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eastAsia="黑体" w:cs="FZFSK--GBK1-0"/>
          <w:kern w:val="0"/>
          <w:sz w:val="32"/>
          <w:szCs w:val="32"/>
        </w:rPr>
      </w:pPr>
      <w:r>
        <w:rPr>
          <w:rFonts w:hint="eastAsia" w:ascii="黑体" w:eastAsia="黑体" w:cs="FZHTK--GBK1-0"/>
          <w:kern w:val="0"/>
          <w:sz w:val="32"/>
          <w:szCs w:val="32"/>
        </w:rPr>
        <w:t>一、</w:t>
      </w:r>
      <w:r>
        <w:rPr>
          <w:rFonts w:hint="eastAsia" w:ascii="黑体" w:hAnsi="Times-Roman" w:eastAsia="黑体" w:cs="Times-Roman"/>
          <w:kern w:val="0"/>
          <w:sz w:val="32"/>
          <w:szCs w:val="32"/>
        </w:rPr>
        <w:t>2019</w:t>
      </w:r>
      <w:r>
        <w:rPr>
          <w:rFonts w:hint="eastAsia" w:ascii="黑体" w:eastAsia="黑体" w:cs="FZFSK--GBK1-0"/>
          <w:kern w:val="0"/>
          <w:sz w:val="32"/>
          <w:szCs w:val="32"/>
        </w:rPr>
        <w:t>年国有资本经营预算支出总体情况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2019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年国有资本经营预算总支出决算数为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54,286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100%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eastAsia="黑体" w:cs="FZFSK--GBK1-0"/>
          <w:kern w:val="0"/>
          <w:sz w:val="32"/>
          <w:szCs w:val="32"/>
        </w:rPr>
      </w:pPr>
      <w:r>
        <w:rPr>
          <w:rFonts w:hint="eastAsia" w:ascii="黑体" w:eastAsia="黑体" w:cs="FZHTK--GBK1-0"/>
          <w:kern w:val="0"/>
          <w:sz w:val="32"/>
          <w:szCs w:val="32"/>
        </w:rPr>
        <w:t>二、</w:t>
      </w:r>
      <w:r>
        <w:rPr>
          <w:rFonts w:hint="eastAsia" w:ascii="黑体" w:hAnsi="Times-Roman" w:eastAsia="黑体" w:cs="Times-Roman"/>
          <w:kern w:val="0"/>
          <w:sz w:val="32"/>
          <w:szCs w:val="32"/>
        </w:rPr>
        <w:t>2019</w:t>
      </w:r>
      <w:r>
        <w:rPr>
          <w:rFonts w:hint="eastAsia" w:ascii="黑体" w:eastAsia="黑体" w:cs="FZFSK--GBK1-0"/>
          <w:kern w:val="0"/>
          <w:sz w:val="32"/>
          <w:szCs w:val="32"/>
        </w:rPr>
        <w:t>年国有资本经营预算支出具体情况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国有资本经营预算支出决算数为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1,233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100%，主要是大运河（北京）水务公司参与投资水务建设项目注册资本金支出733万元，通州区商业资产运营公司认缴其投资公司注册资本金项目支出500万元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2.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国有资本经营预算调出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15,200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100%，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主要是国有资本经营预算调入一般公共预算统筹力度。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3.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结转下年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37,853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万元，完成预算调整数的</w:t>
      </w: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100%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tbl>
      <w:tblPr>
        <w:tblStyle w:val="6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  <w:gridCol w:w="1700"/>
        <w:gridCol w:w="1700"/>
        <w:gridCol w:w="2128"/>
        <w:gridCol w:w="1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11" w:name="RANGE!A1:E13"/>
            <w:r>
              <w:rPr>
                <w:rFonts w:hint="eastAsia" w:ascii="方正小标宋_GBK" w:eastAsia="方正小标宋_GBK" w:cs="FZFSK--GBK1-0"/>
                <w:kern w:val="0"/>
                <w:sz w:val="32"/>
                <w:szCs w:val="32"/>
              </w:rPr>
              <w:t>北京市通州区2019年区级社会保险基金预算收入决算情况表</w:t>
            </w:r>
            <w:bookmarkEnd w:id="1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 xml:space="preserve">    表八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 xml:space="preserve">                        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567" w:hRule="atLeast"/>
        </w:trPr>
        <w:tc>
          <w:tcPr>
            <w:tcW w:w="3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项    目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2019年预算数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2019年决算数</w:t>
            </w:r>
          </w:p>
        </w:tc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决算数为预算数%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567" w:hRule="atLeast"/>
        </w:trPr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城乡居民基本养老保险基金收入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114,200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115,870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567" w:hRule="atLeast"/>
        </w:trPr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其中：1.保险费收入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9,300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9,852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105.9%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567" w:hRule="atLeast"/>
        </w:trPr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60" w:firstLineChars="6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2.利息收入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2,400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3,170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132.1%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567" w:hRule="atLeast"/>
        </w:trPr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60" w:firstLineChars="6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3.财政补贴收入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100,650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101,01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567" w:hRule="atLeast"/>
        </w:trPr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60" w:firstLineChars="6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4.转移收入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1,850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1,827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98.8%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567" w:hRule="atLeast"/>
        </w:trPr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60" w:firstLineChars="6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5.其他收入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567" w:hRule="atLeast"/>
        </w:trPr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567" w:hRule="atLeast"/>
        </w:trPr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上年结余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176,021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176,651</w:t>
            </w:r>
          </w:p>
        </w:tc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567" w:hRule="atLeast"/>
        </w:trPr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3" w:type="dxa"/>
          <w:trHeight w:val="567" w:hRule="atLeast"/>
        </w:trPr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收入总计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290,221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 xml:space="preserve">     292,521 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100.8%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说明八 关于2019年社会保险基金预算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收入决算情况的说明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FZXBSJW--GB1-0" w:eastAsia="FZXBSJW--GB1-0" w:cs="FZXBSJW--GB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eastAsia="黑体" w:cs="FZHTK--GBK1-0"/>
          <w:kern w:val="0"/>
          <w:sz w:val="32"/>
          <w:szCs w:val="32"/>
        </w:rPr>
      </w:pPr>
      <w:r>
        <w:rPr>
          <w:rFonts w:hint="eastAsia" w:ascii="黑体" w:eastAsia="黑体" w:cs="FZHTK--GBK1-0"/>
          <w:kern w:val="0"/>
          <w:sz w:val="32"/>
          <w:szCs w:val="32"/>
        </w:rPr>
        <w:t>一、2019年社会保险基金预算收入总体情况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color w:val="000000"/>
          <w:kern w:val="0"/>
          <w:sz w:val="32"/>
          <w:szCs w:val="32"/>
        </w:rPr>
        <w:t>2019</w:t>
      </w: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年社会保险基金预算收入决算数为</w:t>
      </w:r>
      <w:r>
        <w:rPr>
          <w:rFonts w:ascii="仿宋_GB2312" w:hAnsi="Times-Roman" w:eastAsia="仿宋_GB2312" w:cs="Times-Roman"/>
          <w:color w:val="000000"/>
          <w:kern w:val="0"/>
          <w:sz w:val="32"/>
          <w:szCs w:val="32"/>
        </w:rPr>
        <w:t>292,521</w:t>
      </w: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万元，完成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预算数的</w:t>
      </w:r>
      <w:r>
        <w:rPr>
          <w:rFonts w:ascii="仿宋_GB2312" w:hAnsi="Times-Roman" w:eastAsia="仿宋_GB2312" w:cs="Times-Roman"/>
          <w:color w:val="000000"/>
          <w:kern w:val="0"/>
          <w:sz w:val="32"/>
          <w:szCs w:val="32"/>
        </w:rPr>
        <w:t>100.8%</w:t>
      </w: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eastAsia="黑体" w:cs="FZHTK--GBK1-0"/>
          <w:color w:val="000000"/>
          <w:kern w:val="0"/>
          <w:sz w:val="32"/>
          <w:szCs w:val="32"/>
        </w:rPr>
      </w:pPr>
      <w:r>
        <w:rPr>
          <w:rFonts w:hint="eastAsia" w:ascii="黑体" w:eastAsia="黑体" w:cs="FZHTK--GBK1-0"/>
          <w:color w:val="000000"/>
          <w:kern w:val="0"/>
          <w:sz w:val="32"/>
          <w:szCs w:val="32"/>
        </w:rPr>
        <w:t>二、2019年社会保险基金预算收入具体情况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color w:val="000000"/>
          <w:kern w:val="0"/>
          <w:sz w:val="32"/>
          <w:szCs w:val="32"/>
        </w:rPr>
        <w:t>1.</w:t>
      </w: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城乡居民基本养老保险基金收入</w:t>
      </w:r>
      <w:r>
        <w:rPr>
          <w:rFonts w:ascii="仿宋_GB2312" w:hAnsi="Times-Roman" w:eastAsia="仿宋_GB2312" w:cs="Times-Roman"/>
          <w:color w:val="000000"/>
          <w:kern w:val="0"/>
          <w:sz w:val="32"/>
          <w:szCs w:val="32"/>
        </w:rPr>
        <w:t>115,870</w:t>
      </w: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万元，完成预算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color w:val="000000"/>
          <w:kern w:val="0"/>
          <w:sz w:val="32"/>
          <w:szCs w:val="32"/>
        </w:rPr>
        <w:t>101.5%</w:t>
      </w: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color w:val="00000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color w:val="000000"/>
          <w:kern w:val="0"/>
          <w:sz w:val="32"/>
          <w:szCs w:val="32"/>
        </w:rPr>
        <w:t>2.</w:t>
      </w: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上年结余</w:t>
      </w:r>
      <w:r>
        <w:rPr>
          <w:rFonts w:ascii="仿宋_GB2312" w:hAnsi="Times-Roman" w:eastAsia="仿宋_GB2312" w:cs="Times-Roman"/>
          <w:color w:val="000000"/>
          <w:kern w:val="0"/>
          <w:sz w:val="32"/>
          <w:szCs w:val="32"/>
        </w:rPr>
        <w:t>176,651</w:t>
      </w: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万元，完成预算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数</w:t>
      </w: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的</w:t>
      </w:r>
      <w:r>
        <w:rPr>
          <w:rFonts w:ascii="仿宋_GB2312" w:hAnsi="Times-Roman" w:eastAsia="仿宋_GB2312" w:cs="Times-Roman"/>
          <w:color w:val="000000"/>
          <w:kern w:val="0"/>
          <w:sz w:val="32"/>
          <w:szCs w:val="32"/>
        </w:rPr>
        <w:t>100.4%</w:t>
      </w:r>
      <w:r>
        <w:rPr>
          <w:rFonts w:hint="eastAsia" w:ascii="仿宋_GB2312" w:eastAsia="仿宋_GB2312" w:cs="FZFSK--GBK1-0"/>
          <w:color w:val="00000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tbl>
      <w:tblPr>
        <w:tblStyle w:val="6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1702"/>
        <w:gridCol w:w="1558"/>
        <w:gridCol w:w="2128"/>
        <w:gridCol w:w="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eastAsia="方正小标宋_GBK" w:cs="FZFSK--GBK1-0"/>
                <w:kern w:val="0"/>
                <w:sz w:val="32"/>
                <w:szCs w:val="32"/>
              </w:rPr>
              <w:t>北京市通州区2019年区级社会保险基金预算支出决算情况表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 xml:space="preserve">    表九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 xml:space="preserve">                         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</w:trPr>
        <w:tc>
          <w:tcPr>
            <w:tcW w:w="3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项    目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2019年预算数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2019年决算数</w:t>
            </w:r>
          </w:p>
        </w:tc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决算数为预算数%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</w:trPr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城乡居民基本养老保险基金支出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109,513</w:t>
            </w:r>
          </w:p>
        </w:tc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106,615</w:t>
            </w:r>
          </w:p>
        </w:tc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97.4%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</w:trPr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其中:1.基础养老金支出 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98,430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96,441</w:t>
            </w:r>
          </w:p>
        </w:tc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98.0%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</w:trPr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2.个人账户养老金支出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9,672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8,793</w:t>
            </w:r>
          </w:p>
        </w:tc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90.9%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</w:trPr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3.丧葬抚恤补助支出 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1,395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1,226</w:t>
            </w:r>
          </w:p>
        </w:tc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87.8%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</w:trPr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4.转移支出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24.7%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</w:trPr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5.其他支出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</w:trPr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</w:trPr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年末滚存结余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180,708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185,906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102.9%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</w:trPr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</w:trPr>
        <w:tc>
          <w:tcPr>
            <w:tcW w:w="3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支出总计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290,221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292,521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100.8%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说明九 关于2019年社会保险基金预算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支出决算情况的说明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eastAsia="黑体" w:cs="FZHTK--GBK1-0"/>
          <w:kern w:val="0"/>
          <w:sz w:val="32"/>
          <w:szCs w:val="32"/>
        </w:rPr>
      </w:pPr>
      <w:r>
        <w:rPr>
          <w:rFonts w:hint="eastAsia" w:ascii="黑体" w:eastAsia="黑体" w:cs="FZHTK--GBK1-0"/>
          <w:kern w:val="0"/>
          <w:sz w:val="32"/>
          <w:szCs w:val="32"/>
        </w:rPr>
        <w:t>一、2019年社会保险基金预算支出总体情况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2019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年社会保险基金预算支出决算数为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292,521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万元，完成预算数的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100.8%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eastAsia="黑体" w:cs="FZHTK--GBK1-0"/>
          <w:kern w:val="0"/>
          <w:sz w:val="32"/>
          <w:szCs w:val="32"/>
        </w:rPr>
      </w:pPr>
      <w:r>
        <w:rPr>
          <w:rFonts w:hint="eastAsia" w:ascii="黑体" w:eastAsia="黑体" w:cs="FZHTK--GBK1-0"/>
          <w:kern w:val="0"/>
          <w:sz w:val="32"/>
          <w:szCs w:val="32"/>
        </w:rPr>
        <w:t>二、2019年社会保险基金预算支出具体情况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1.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城乡居民基本养老保险基金支出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106,615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万元，完成预算数的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97.4%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  <w:r>
        <w:rPr>
          <w:rFonts w:hint="eastAsia" w:ascii="仿宋_GB2312" w:hAnsi="Times-Roman" w:eastAsia="仿宋_GB2312" w:cs="Times-Roman"/>
          <w:kern w:val="0"/>
          <w:sz w:val="32"/>
          <w:szCs w:val="32"/>
        </w:rPr>
        <w:t>2.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年末滚存结余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185,906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万元，完成预算数的</w:t>
      </w:r>
      <w:r>
        <w:rPr>
          <w:rFonts w:ascii="仿宋_GB2312" w:hAnsi="Times-Roman" w:eastAsia="仿宋_GB2312" w:cs="Times-Roman"/>
          <w:kern w:val="0"/>
          <w:sz w:val="32"/>
          <w:szCs w:val="32"/>
        </w:rPr>
        <w:t>102.9%</w:t>
      </w:r>
      <w:r>
        <w:rPr>
          <w:rFonts w:hint="eastAsia" w:ascii="仿宋_GB2312" w:eastAsia="仿宋_GB2312" w:cs="FZFSK--GBK1-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tbl>
      <w:tblPr>
        <w:tblStyle w:val="6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eastAsia="方正小标宋_GBK" w:cs="FZFSK--GBK1-0"/>
                <w:kern w:val="0"/>
                <w:sz w:val="32"/>
                <w:szCs w:val="32"/>
              </w:rPr>
              <w:t>北京市通州区2019年区级地方政府债务余额和限额决算情况表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21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 xml:space="preserve">    表十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 xml:space="preserve">                      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项        目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金    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2019年地方政府债务限额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2,000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其中：1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一般债务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56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4,900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2.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专项债务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bookmarkStart w:id="12" w:name="_Hlk38533619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47,100</w:t>
            </w:r>
            <w:bookmarkEnd w:id="1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2019年地方政府债务余额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bookmarkStart w:id="13" w:name="_Hlk38533632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01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0,152</w:t>
            </w:r>
            <w:bookmarkEnd w:id="13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其中：1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一般债务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09,990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2.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专项债务</w:t>
            </w:r>
          </w:p>
        </w:tc>
        <w:tc>
          <w:tcPr>
            <w:tcW w:w="484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0,162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说明十 关于2019年地方政府债务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hint="eastAsia" w:ascii="方正小标宋简体" w:eastAsia="方正小标宋简体" w:cs="FZXBSJW--GB1-0"/>
          <w:kern w:val="0"/>
          <w:sz w:val="44"/>
          <w:szCs w:val="44"/>
        </w:rPr>
        <w:t>决算情况的说明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eastAsia="黑体" w:cs="FZHTK--GBK1-0"/>
          <w:kern w:val="0"/>
          <w:sz w:val="32"/>
          <w:szCs w:val="32"/>
        </w:rPr>
      </w:pPr>
      <w:r>
        <w:rPr>
          <w:rFonts w:hint="eastAsia" w:ascii="黑体" w:eastAsia="黑体" w:cs="FZHTK--GBK1-0"/>
          <w:kern w:val="0"/>
          <w:sz w:val="32"/>
          <w:szCs w:val="32"/>
        </w:rPr>
        <w:t>一、2019年政府债务限额情况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eastAsia="黑体" w:cs="FZHTK--GBK1-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北京市财政局核定我区2019年政府债务限额为</w:t>
      </w:r>
      <w:r>
        <w:rPr>
          <w:rFonts w:ascii="仿宋_GB2312" w:eastAsia="仿宋_GB2312"/>
          <w:sz w:val="32"/>
          <w:szCs w:val="32"/>
        </w:rPr>
        <w:t xml:space="preserve">6,212,000 </w:t>
      </w:r>
      <w:r>
        <w:rPr>
          <w:rFonts w:hint="eastAsia" w:ascii="仿宋_GB2312" w:eastAsia="仿宋_GB2312"/>
          <w:sz w:val="32"/>
          <w:szCs w:val="32"/>
        </w:rPr>
        <w:t>万元，其中：一般债务</w:t>
      </w:r>
      <w:r>
        <w:rPr>
          <w:rFonts w:ascii="仿宋_GB2312" w:eastAsia="仿宋_GB2312"/>
          <w:sz w:val="32"/>
          <w:szCs w:val="32"/>
        </w:rPr>
        <w:t>2,564,900</w:t>
      </w:r>
      <w:r>
        <w:rPr>
          <w:rFonts w:hint="eastAsia" w:ascii="仿宋_GB2312" w:eastAsia="仿宋_GB2312"/>
          <w:sz w:val="32"/>
          <w:szCs w:val="32"/>
        </w:rPr>
        <w:t>万元，专项债务</w:t>
      </w:r>
      <w:r>
        <w:rPr>
          <w:rFonts w:ascii="仿宋_GB2312" w:eastAsia="仿宋_GB2312"/>
          <w:sz w:val="32"/>
          <w:szCs w:val="32"/>
        </w:rPr>
        <w:t>3,647,100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eastAsia="黑体" w:cs="FZHTK--GBK1-0"/>
          <w:kern w:val="0"/>
          <w:sz w:val="32"/>
          <w:szCs w:val="32"/>
        </w:rPr>
      </w:pPr>
      <w:r>
        <w:rPr>
          <w:rFonts w:hint="eastAsia" w:ascii="黑体" w:eastAsia="黑体" w:cs="FZHTK--GBK1-0"/>
          <w:kern w:val="0"/>
          <w:sz w:val="32"/>
          <w:szCs w:val="32"/>
        </w:rPr>
        <w:t>二、2019年政府债务余额情况</w:t>
      </w:r>
    </w:p>
    <w:p>
      <w:pPr>
        <w:spacing w:line="560" w:lineRule="exact"/>
        <w:ind w:firstLine="64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仿宋_GB2312" w:eastAsia="仿宋_GB2312"/>
          <w:sz w:val="32"/>
          <w:szCs w:val="32"/>
        </w:rPr>
        <w:t>截至2019年年底我区地方政府债务余额共计</w:t>
      </w:r>
      <w:r>
        <w:rPr>
          <w:rFonts w:ascii="仿宋_GB2312" w:eastAsia="仿宋_GB2312"/>
          <w:sz w:val="32"/>
          <w:szCs w:val="32"/>
        </w:rPr>
        <w:t>5,010,152</w:t>
      </w:r>
      <w:r>
        <w:rPr>
          <w:rFonts w:hint="eastAsia" w:ascii="仿宋_GB2312" w:eastAsia="仿宋_GB2312"/>
          <w:sz w:val="32"/>
          <w:szCs w:val="32"/>
        </w:rPr>
        <w:t>万元，其中：一般债务</w:t>
      </w:r>
      <w:r>
        <w:rPr>
          <w:rFonts w:ascii="仿宋_GB2312" w:eastAsia="仿宋_GB2312"/>
          <w:sz w:val="32"/>
          <w:szCs w:val="32"/>
        </w:rPr>
        <w:t>2,509,990</w:t>
      </w:r>
      <w:r>
        <w:rPr>
          <w:rFonts w:hint="eastAsia" w:ascii="仿宋_GB2312" w:eastAsia="仿宋_GB2312"/>
          <w:sz w:val="32"/>
          <w:szCs w:val="32"/>
        </w:rPr>
        <w:t>万元；专项债务</w:t>
      </w:r>
      <w:r>
        <w:rPr>
          <w:rFonts w:ascii="仿宋_GB2312" w:eastAsia="仿宋_GB2312"/>
          <w:sz w:val="32"/>
          <w:szCs w:val="32"/>
        </w:rPr>
        <w:t>2,500,162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FZF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FZFSK--GBK1-0"/>
          <w:kern w:val="0"/>
          <w:sz w:val="32"/>
          <w:szCs w:val="32"/>
        </w:rPr>
      </w:pPr>
    </w:p>
    <w:sectPr>
      <w:pgSz w:w="11907" w:h="16839" w:orient="landscape"/>
      <w:pgMar w:top="2098" w:right="1474" w:bottom="1985" w:left="1588" w:header="851" w:footer="737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JW--GB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808244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145193085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evenAndOddHeaders w:val="1"/>
  <w:bookFoldPrinting w:val="1"/>
  <w:bookFoldPrintingSheets w:val="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A5C"/>
    <w:rsid w:val="0000087E"/>
    <w:rsid w:val="00001231"/>
    <w:rsid w:val="00017A24"/>
    <w:rsid w:val="00026D54"/>
    <w:rsid w:val="00033BD1"/>
    <w:rsid w:val="00042755"/>
    <w:rsid w:val="00045C27"/>
    <w:rsid w:val="0005471B"/>
    <w:rsid w:val="00056273"/>
    <w:rsid w:val="00057D8D"/>
    <w:rsid w:val="00060C30"/>
    <w:rsid w:val="000613C3"/>
    <w:rsid w:val="00062CEA"/>
    <w:rsid w:val="00063852"/>
    <w:rsid w:val="00063C48"/>
    <w:rsid w:val="000837F2"/>
    <w:rsid w:val="00084903"/>
    <w:rsid w:val="00084C7C"/>
    <w:rsid w:val="00091762"/>
    <w:rsid w:val="00091DC4"/>
    <w:rsid w:val="000A133C"/>
    <w:rsid w:val="000A247D"/>
    <w:rsid w:val="000B5665"/>
    <w:rsid w:val="000C1046"/>
    <w:rsid w:val="000C2A31"/>
    <w:rsid w:val="000C7BFE"/>
    <w:rsid w:val="000D047E"/>
    <w:rsid w:val="000D0A7A"/>
    <w:rsid w:val="000D11CA"/>
    <w:rsid w:val="000D13F6"/>
    <w:rsid w:val="000D2D08"/>
    <w:rsid w:val="000D7538"/>
    <w:rsid w:val="000D7FD3"/>
    <w:rsid w:val="000E2FF7"/>
    <w:rsid w:val="000E5CCC"/>
    <w:rsid w:val="000F0AFC"/>
    <w:rsid w:val="000F66CB"/>
    <w:rsid w:val="000F6D05"/>
    <w:rsid w:val="000F73EF"/>
    <w:rsid w:val="00100588"/>
    <w:rsid w:val="001006E6"/>
    <w:rsid w:val="00100729"/>
    <w:rsid w:val="001069E9"/>
    <w:rsid w:val="00111B2A"/>
    <w:rsid w:val="001132BA"/>
    <w:rsid w:val="0011367D"/>
    <w:rsid w:val="001154A2"/>
    <w:rsid w:val="00115A14"/>
    <w:rsid w:val="00126E94"/>
    <w:rsid w:val="00132B06"/>
    <w:rsid w:val="001346B5"/>
    <w:rsid w:val="0013532E"/>
    <w:rsid w:val="00135DF1"/>
    <w:rsid w:val="0013645A"/>
    <w:rsid w:val="00136E01"/>
    <w:rsid w:val="00137181"/>
    <w:rsid w:val="00137DF8"/>
    <w:rsid w:val="00140B60"/>
    <w:rsid w:val="00141DA2"/>
    <w:rsid w:val="001456D5"/>
    <w:rsid w:val="001471BC"/>
    <w:rsid w:val="0014722C"/>
    <w:rsid w:val="0015530F"/>
    <w:rsid w:val="00160B06"/>
    <w:rsid w:val="001625E9"/>
    <w:rsid w:val="00174861"/>
    <w:rsid w:val="00184557"/>
    <w:rsid w:val="00184D56"/>
    <w:rsid w:val="00185B0E"/>
    <w:rsid w:val="00185B2A"/>
    <w:rsid w:val="00195681"/>
    <w:rsid w:val="00196CFB"/>
    <w:rsid w:val="00197FDD"/>
    <w:rsid w:val="001A16BB"/>
    <w:rsid w:val="001A3738"/>
    <w:rsid w:val="001A5219"/>
    <w:rsid w:val="001B03F6"/>
    <w:rsid w:val="001B3E7E"/>
    <w:rsid w:val="001B4736"/>
    <w:rsid w:val="001B7A6F"/>
    <w:rsid w:val="001C15D4"/>
    <w:rsid w:val="001C2E50"/>
    <w:rsid w:val="001D61D2"/>
    <w:rsid w:val="001E047A"/>
    <w:rsid w:val="001F0A11"/>
    <w:rsid w:val="001F1391"/>
    <w:rsid w:val="001F1481"/>
    <w:rsid w:val="001F641F"/>
    <w:rsid w:val="00200157"/>
    <w:rsid w:val="002047D0"/>
    <w:rsid w:val="00205EC2"/>
    <w:rsid w:val="00210E80"/>
    <w:rsid w:val="00211107"/>
    <w:rsid w:val="0021761B"/>
    <w:rsid w:val="00220430"/>
    <w:rsid w:val="00231513"/>
    <w:rsid w:val="00231F33"/>
    <w:rsid w:val="00235843"/>
    <w:rsid w:val="00236175"/>
    <w:rsid w:val="00236A6C"/>
    <w:rsid w:val="00240A4B"/>
    <w:rsid w:val="0024115D"/>
    <w:rsid w:val="002412E5"/>
    <w:rsid w:val="00241F1F"/>
    <w:rsid w:val="00243AAB"/>
    <w:rsid w:val="0024558B"/>
    <w:rsid w:val="0025275A"/>
    <w:rsid w:val="00257721"/>
    <w:rsid w:val="00260435"/>
    <w:rsid w:val="00261E5D"/>
    <w:rsid w:val="00263759"/>
    <w:rsid w:val="00263D3A"/>
    <w:rsid w:val="0026656D"/>
    <w:rsid w:val="00272A30"/>
    <w:rsid w:val="00273829"/>
    <w:rsid w:val="00274F86"/>
    <w:rsid w:val="00274FD6"/>
    <w:rsid w:val="00280B64"/>
    <w:rsid w:val="0028654C"/>
    <w:rsid w:val="0028786E"/>
    <w:rsid w:val="002917E1"/>
    <w:rsid w:val="00292AC3"/>
    <w:rsid w:val="00294B65"/>
    <w:rsid w:val="002A0872"/>
    <w:rsid w:val="002A41AE"/>
    <w:rsid w:val="002B372B"/>
    <w:rsid w:val="002B4D4F"/>
    <w:rsid w:val="002C341E"/>
    <w:rsid w:val="002C37B5"/>
    <w:rsid w:val="002C4282"/>
    <w:rsid w:val="002D10F2"/>
    <w:rsid w:val="002D3875"/>
    <w:rsid w:val="002D7DF7"/>
    <w:rsid w:val="002E556E"/>
    <w:rsid w:val="002F72E6"/>
    <w:rsid w:val="002F7CCC"/>
    <w:rsid w:val="00310040"/>
    <w:rsid w:val="00310123"/>
    <w:rsid w:val="0031055D"/>
    <w:rsid w:val="00312F0D"/>
    <w:rsid w:val="00316EE4"/>
    <w:rsid w:val="00320B68"/>
    <w:rsid w:val="00321818"/>
    <w:rsid w:val="00324793"/>
    <w:rsid w:val="00326626"/>
    <w:rsid w:val="003269F5"/>
    <w:rsid w:val="00333561"/>
    <w:rsid w:val="003361D2"/>
    <w:rsid w:val="00337440"/>
    <w:rsid w:val="003401BB"/>
    <w:rsid w:val="0034466A"/>
    <w:rsid w:val="00345E24"/>
    <w:rsid w:val="0035039C"/>
    <w:rsid w:val="00352000"/>
    <w:rsid w:val="003551A1"/>
    <w:rsid w:val="00357E18"/>
    <w:rsid w:val="00361B57"/>
    <w:rsid w:val="0037171F"/>
    <w:rsid w:val="0037321E"/>
    <w:rsid w:val="00375024"/>
    <w:rsid w:val="003877B8"/>
    <w:rsid w:val="003908E9"/>
    <w:rsid w:val="003932B3"/>
    <w:rsid w:val="00397CCD"/>
    <w:rsid w:val="003A06EA"/>
    <w:rsid w:val="003A63EB"/>
    <w:rsid w:val="003B5419"/>
    <w:rsid w:val="003B75A4"/>
    <w:rsid w:val="003B7631"/>
    <w:rsid w:val="003C07F4"/>
    <w:rsid w:val="003C180D"/>
    <w:rsid w:val="003C3F4B"/>
    <w:rsid w:val="003C4C7A"/>
    <w:rsid w:val="003C5383"/>
    <w:rsid w:val="003C6EEE"/>
    <w:rsid w:val="003C76BE"/>
    <w:rsid w:val="003D3D87"/>
    <w:rsid w:val="003E2EB8"/>
    <w:rsid w:val="003E4C3E"/>
    <w:rsid w:val="003E5CE0"/>
    <w:rsid w:val="003F0401"/>
    <w:rsid w:val="003F5699"/>
    <w:rsid w:val="003F718F"/>
    <w:rsid w:val="004052DA"/>
    <w:rsid w:val="00410D99"/>
    <w:rsid w:val="0041753D"/>
    <w:rsid w:val="00420264"/>
    <w:rsid w:val="00421746"/>
    <w:rsid w:val="00423F71"/>
    <w:rsid w:val="004252E4"/>
    <w:rsid w:val="00426BA6"/>
    <w:rsid w:val="004310CC"/>
    <w:rsid w:val="00432273"/>
    <w:rsid w:val="00435739"/>
    <w:rsid w:val="004402D2"/>
    <w:rsid w:val="00440719"/>
    <w:rsid w:val="00442C12"/>
    <w:rsid w:val="004437DE"/>
    <w:rsid w:val="00444BC7"/>
    <w:rsid w:val="00444BD8"/>
    <w:rsid w:val="0044708E"/>
    <w:rsid w:val="004521A0"/>
    <w:rsid w:val="0045279B"/>
    <w:rsid w:val="00456F0F"/>
    <w:rsid w:val="0046342D"/>
    <w:rsid w:val="0046516D"/>
    <w:rsid w:val="00472CDB"/>
    <w:rsid w:val="0047657B"/>
    <w:rsid w:val="0048719C"/>
    <w:rsid w:val="00487DF5"/>
    <w:rsid w:val="0049035B"/>
    <w:rsid w:val="00492130"/>
    <w:rsid w:val="00497411"/>
    <w:rsid w:val="004A241A"/>
    <w:rsid w:val="004A36DC"/>
    <w:rsid w:val="004A48D6"/>
    <w:rsid w:val="004A5D6A"/>
    <w:rsid w:val="004A6CC3"/>
    <w:rsid w:val="004B0AEF"/>
    <w:rsid w:val="004B574C"/>
    <w:rsid w:val="004B7FF8"/>
    <w:rsid w:val="004C5A71"/>
    <w:rsid w:val="004C5C62"/>
    <w:rsid w:val="004D3656"/>
    <w:rsid w:val="004E1DFC"/>
    <w:rsid w:val="004E655C"/>
    <w:rsid w:val="004F027E"/>
    <w:rsid w:val="004F2D79"/>
    <w:rsid w:val="004F2F5A"/>
    <w:rsid w:val="0050265B"/>
    <w:rsid w:val="0050386E"/>
    <w:rsid w:val="005155AE"/>
    <w:rsid w:val="0052044F"/>
    <w:rsid w:val="005224DA"/>
    <w:rsid w:val="0052290F"/>
    <w:rsid w:val="0052656F"/>
    <w:rsid w:val="00532CD2"/>
    <w:rsid w:val="0053356C"/>
    <w:rsid w:val="005345BA"/>
    <w:rsid w:val="0053527B"/>
    <w:rsid w:val="00537A01"/>
    <w:rsid w:val="00537A95"/>
    <w:rsid w:val="00543207"/>
    <w:rsid w:val="005455A8"/>
    <w:rsid w:val="00546E71"/>
    <w:rsid w:val="00553707"/>
    <w:rsid w:val="005540A4"/>
    <w:rsid w:val="005731DE"/>
    <w:rsid w:val="00575854"/>
    <w:rsid w:val="00576F20"/>
    <w:rsid w:val="00586131"/>
    <w:rsid w:val="00590A01"/>
    <w:rsid w:val="0059294B"/>
    <w:rsid w:val="0059332A"/>
    <w:rsid w:val="005A6FFD"/>
    <w:rsid w:val="005B05CC"/>
    <w:rsid w:val="005B0D81"/>
    <w:rsid w:val="005B1B2D"/>
    <w:rsid w:val="005B2BD3"/>
    <w:rsid w:val="005B3CC8"/>
    <w:rsid w:val="005C27EC"/>
    <w:rsid w:val="005C3010"/>
    <w:rsid w:val="005D25C9"/>
    <w:rsid w:val="005D3535"/>
    <w:rsid w:val="005D5575"/>
    <w:rsid w:val="005E3F89"/>
    <w:rsid w:val="005F06E1"/>
    <w:rsid w:val="005F7CBB"/>
    <w:rsid w:val="0060197F"/>
    <w:rsid w:val="00604470"/>
    <w:rsid w:val="00611D8F"/>
    <w:rsid w:val="00612C2D"/>
    <w:rsid w:val="00614F11"/>
    <w:rsid w:val="0062091E"/>
    <w:rsid w:val="0062314C"/>
    <w:rsid w:val="0062321B"/>
    <w:rsid w:val="00623C48"/>
    <w:rsid w:val="00625418"/>
    <w:rsid w:val="00627762"/>
    <w:rsid w:val="006302D6"/>
    <w:rsid w:val="006444C3"/>
    <w:rsid w:val="00653F0B"/>
    <w:rsid w:val="00653FA6"/>
    <w:rsid w:val="00654DA9"/>
    <w:rsid w:val="0065614B"/>
    <w:rsid w:val="006636A7"/>
    <w:rsid w:val="00671E84"/>
    <w:rsid w:val="00672D63"/>
    <w:rsid w:val="00683776"/>
    <w:rsid w:val="00687F27"/>
    <w:rsid w:val="00691EA2"/>
    <w:rsid w:val="006A4A3A"/>
    <w:rsid w:val="006A644B"/>
    <w:rsid w:val="006A6F4F"/>
    <w:rsid w:val="006A7F31"/>
    <w:rsid w:val="006B275F"/>
    <w:rsid w:val="006B3871"/>
    <w:rsid w:val="006C20F7"/>
    <w:rsid w:val="006D0DE6"/>
    <w:rsid w:val="006D31AF"/>
    <w:rsid w:val="006D7811"/>
    <w:rsid w:val="006E1216"/>
    <w:rsid w:val="006E6C22"/>
    <w:rsid w:val="00712FEA"/>
    <w:rsid w:val="0071449C"/>
    <w:rsid w:val="00714D1B"/>
    <w:rsid w:val="00720A38"/>
    <w:rsid w:val="007233E1"/>
    <w:rsid w:val="00724733"/>
    <w:rsid w:val="00727755"/>
    <w:rsid w:val="0073382B"/>
    <w:rsid w:val="0074057E"/>
    <w:rsid w:val="00744096"/>
    <w:rsid w:val="00744413"/>
    <w:rsid w:val="00744DBD"/>
    <w:rsid w:val="00744F84"/>
    <w:rsid w:val="00753AA4"/>
    <w:rsid w:val="00757451"/>
    <w:rsid w:val="00770630"/>
    <w:rsid w:val="007709DD"/>
    <w:rsid w:val="007740F3"/>
    <w:rsid w:val="00775269"/>
    <w:rsid w:val="00780241"/>
    <w:rsid w:val="0078463A"/>
    <w:rsid w:val="0078714C"/>
    <w:rsid w:val="00793211"/>
    <w:rsid w:val="00793E63"/>
    <w:rsid w:val="00795F98"/>
    <w:rsid w:val="007A0127"/>
    <w:rsid w:val="007A2FEB"/>
    <w:rsid w:val="007A5A67"/>
    <w:rsid w:val="007A5C6A"/>
    <w:rsid w:val="007A6FB8"/>
    <w:rsid w:val="007B76D9"/>
    <w:rsid w:val="007C30C4"/>
    <w:rsid w:val="007C4986"/>
    <w:rsid w:val="007C56A7"/>
    <w:rsid w:val="007D43BE"/>
    <w:rsid w:val="007E5C0F"/>
    <w:rsid w:val="007F4C42"/>
    <w:rsid w:val="007F66E9"/>
    <w:rsid w:val="00800281"/>
    <w:rsid w:val="008051A9"/>
    <w:rsid w:val="0080646F"/>
    <w:rsid w:val="008070D3"/>
    <w:rsid w:val="00811FC1"/>
    <w:rsid w:val="00812D8A"/>
    <w:rsid w:val="00813775"/>
    <w:rsid w:val="008265F3"/>
    <w:rsid w:val="0083520A"/>
    <w:rsid w:val="00836D8F"/>
    <w:rsid w:val="00862B6C"/>
    <w:rsid w:val="00865DC4"/>
    <w:rsid w:val="008713F7"/>
    <w:rsid w:val="00874F43"/>
    <w:rsid w:val="00875659"/>
    <w:rsid w:val="008834E9"/>
    <w:rsid w:val="008906B8"/>
    <w:rsid w:val="0089113A"/>
    <w:rsid w:val="00892591"/>
    <w:rsid w:val="008939B2"/>
    <w:rsid w:val="008972D5"/>
    <w:rsid w:val="008A0A90"/>
    <w:rsid w:val="008A2FA1"/>
    <w:rsid w:val="008A541E"/>
    <w:rsid w:val="008A6DD2"/>
    <w:rsid w:val="008B1378"/>
    <w:rsid w:val="008C1AC6"/>
    <w:rsid w:val="008C5082"/>
    <w:rsid w:val="008C54A9"/>
    <w:rsid w:val="008C6028"/>
    <w:rsid w:val="008C6B2F"/>
    <w:rsid w:val="008D2C44"/>
    <w:rsid w:val="008D3317"/>
    <w:rsid w:val="008D4F3B"/>
    <w:rsid w:val="008D64A1"/>
    <w:rsid w:val="008E5BBA"/>
    <w:rsid w:val="008F0313"/>
    <w:rsid w:val="008F0753"/>
    <w:rsid w:val="008F420A"/>
    <w:rsid w:val="008F4E6F"/>
    <w:rsid w:val="00907EB2"/>
    <w:rsid w:val="009111B8"/>
    <w:rsid w:val="00912065"/>
    <w:rsid w:val="00916E36"/>
    <w:rsid w:val="00920C49"/>
    <w:rsid w:val="00922A99"/>
    <w:rsid w:val="00923D5D"/>
    <w:rsid w:val="0093666C"/>
    <w:rsid w:val="00936AE7"/>
    <w:rsid w:val="00936BE8"/>
    <w:rsid w:val="00940696"/>
    <w:rsid w:val="009460E2"/>
    <w:rsid w:val="00950B8F"/>
    <w:rsid w:val="009565D5"/>
    <w:rsid w:val="0096197F"/>
    <w:rsid w:val="009704EC"/>
    <w:rsid w:val="00975804"/>
    <w:rsid w:val="009817B2"/>
    <w:rsid w:val="009827F4"/>
    <w:rsid w:val="009A054F"/>
    <w:rsid w:val="009A2A47"/>
    <w:rsid w:val="009A474E"/>
    <w:rsid w:val="009C2AF9"/>
    <w:rsid w:val="009C63B9"/>
    <w:rsid w:val="009D59C8"/>
    <w:rsid w:val="009D5C4D"/>
    <w:rsid w:val="009D6827"/>
    <w:rsid w:val="009D7818"/>
    <w:rsid w:val="009E0248"/>
    <w:rsid w:val="009E5B75"/>
    <w:rsid w:val="009F4F8D"/>
    <w:rsid w:val="009F7A9A"/>
    <w:rsid w:val="00A01342"/>
    <w:rsid w:val="00A05B49"/>
    <w:rsid w:val="00A072F8"/>
    <w:rsid w:val="00A11978"/>
    <w:rsid w:val="00A23C89"/>
    <w:rsid w:val="00A2585E"/>
    <w:rsid w:val="00A3358A"/>
    <w:rsid w:val="00A34697"/>
    <w:rsid w:val="00A363AD"/>
    <w:rsid w:val="00A3737E"/>
    <w:rsid w:val="00A441E9"/>
    <w:rsid w:val="00A45A06"/>
    <w:rsid w:val="00A45C0B"/>
    <w:rsid w:val="00A46F66"/>
    <w:rsid w:val="00A532B6"/>
    <w:rsid w:val="00A6064C"/>
    <w:rsid w:val="00A60A71"/>
    <w:rsid w:val="00A636F9"/>
    <w:rsid w:val="00A63ACB"/>
    <w:rsid w:val="00A81F80"/>
    <w:rsid w:val="00A84AD1"/>
    <w:rsid w:val="00A907A1"/>
    <w:rsid w:val="00A955AD"/>
    <w:rsid w:val="00AA1479"/>
    <w:rsid w:val="00AA55AB"/>
    <w:rsid w:val="00AB05FF"/>
    <w:rsid w:val="00AB45FF"/>
    <w:rsid w:val="00AB5187"/>
    <w:rsid w:val="00AB7A5C"/>
    <w:rsid w:val="00AB7D44"/>
    <w:rsid w:val="00AC03F5"/>
    <w:rsid w:val="00AC322B"/>
    <w:rsid w:val="00AD3976"/>
    <w:rsid w:val="00AE35F9"/>
    <w:rsid w:val="00AE3F9A"/>
    <w:rsid w:val="00AE41D5"/>
    <w:rsid w:val="00AE5D10"/>
    <w:rsid w:val="00AE674C"/>
    <w:rsid w:val="00AF2282"/>
    <w:rsid w:val="00AF5866"/>
    <w:rsid w:val="00AF6678"/>
    <w:rsid w:val="00B01E7D"/>
    <w:rsid w:val="00B02A79"/>
    <w:rsid w:val="00B02FE2"/>
    <w:rsid w:val="00B07406"/>
    <w:rsid w:val="00B1637C"/>
    <w:rsid w:val="00B239BD"/>
    <w:rsid w:val="00B27E67"/>
    <w:rsid w:val="00B402D7"/>
    <w:rsid w:val="00B5054F"/>
    <w:rsid w:val="00B50618"/>
    <w:rsid w:val="00B50B6D"/>
    <w:rsid w:val="00B57614"/>
    <w:rsid w:val="00B660C7"/>
    <w:rsid w:val="00B71257"/>
    <w:rsid w:val="00B72F7C"/>
    <w:rsid w:val="00B73965"/>
    <w:rsid w:val="00B761F0"/>
    <w:rsid w:val="00B8049F"/>
    <w:rsid w:val="00B80F29"/>
    <w:rsid w:val="00B8259B"/>
    <w:rsid w:val="00B84602"/>
    <w:rsid w:val="00B84EFB"/>
    <w:rsid w:val="00B9200A"/>
    <w:rsid w:val="00B9372E"/>
    <w:rsid w:val="00B967C9"/>
    <w:rsid w:val="00BA3A80"/>
    <w:rsid w:val="00BA5BF8"/>
    <w:rsid w:val="00BA726B"/>
    <w:rsid w:val="00BB0621"/>
    <w:rsid w:val="00BB2F87"/>
    <w:rsid w:val="00BC1F2A"/>
    <w:rsid w:val="00BC275E"/>
    <w:rsid w:val="00BD37BF"/>
    <w:rsid w:val="00BE04A1"/>
    <w:rsid w:val="00BE2B32"/>
    <w:rsid w:val="00BE5AD0"/>
    <w:rsid w:val="00BF3081"/>
    <w:rsid w:val="00BF5291"/>
    <w:rsid w:val="00BF55D7"/>
    <w:rsid w:val="00C03A69"/>
    <w:rsid w:val="00C060DD"/>
    <w:rsid w:val="00C1063E"/>
    <w:rsid w:val="00C1136D"/>
    <w:rsid w:val="00C164B2"/>
    <w:rsid w:val="00C167B0"/>
    <w:rsid w:val="00C1686A"/>
    <w:rsid w:val="00C30758"/>
    <w:rsid w:val="00C37268"/>
    <w:rsid w:val="00C4240D"/>
    <w:rsid w:val="00C53BA8"/>
    <w:rsid w:val="00C55B19"/>
    <w:rsid w:val="00C563DA"/>
    <w:rsid w:val="00C613A1"/>
    <w:rsid w:val="00C6264B"/>
    <w:rsid w:val="00C65F47"/>
    <w:rsid w:val="00C6654F"/>
    <w:rsid w:val="00C66A25"/>
    <w:rsid w:val="00C66F32"/>
    <w:rsid w:val="00C726BD"/>
    <w:rsid w:val="00C737C2"/>
    <w:rsid w:val="00C740E4"/>
    <w:rsid w:val="00C83E1C"/>
    <w:rsid w:val="00C8724C"/>
    <w:rsid w:val="00C938D2"/>
    <w:rsid w:val="00CA7545"/>
    <w:rsid w:val="00CB3B2F"/>
    <w:rsid w:val="00CB50DE"/>
    <w:rsid w:val="00CB558F"/>
    <w:rsid w:val="00CC6DBD"/>
    <w:rsid w:val="00CC74C5"/>
    <w:rsid w:val="00CC7944"/>
    <w:rsid w:val="00CD15E9"/>
    <w:rsid w:val="00CD2297"/>
    <w:rsid w:val="00CD4B35"/>
    <w:rsid w:val="00CD7097"/>
    <w:rsid w:val="00CE2A63"/>
    <w:rsid w:val="00CE581C"/>
    <w:rsid w:val="00D01D9A"/>
    <w:rsid w:val="00D04105"/>
    <w:rsid w:val="00D12619"/>
    <w:rsid w:val="00D167D6"/>
    <w:rsid w:val="00D2049A"/>
    <w:rsid w:val="00D23B4B"/>
    <w:rsid w:val="00D24CF7"/>
    <w:rsid w:val="00D278C5"/>
    <w:rsid w:val="00D35EAC"/>
    <w:rsid w:val="00D434FA"/>
    <w:rsid w:val="00D504D5"/>
    <w:rsid w:val="00D50673"/>
    <w:rsid w:val="00D620F7"/>
    <w:rsid w:val="00D62F49"/>
    <w:rsid w:val="00D6632C"/>
    <w:rsid w:val="00D70B0C"/>
    <w:rsid w:val="00D718FF"/>
    <w:rsid w:val="00D74DE2"/>
    <w:rsid w:val="00D81065"/>
    <w:rsid w:val="00D83EEA"/>
    <w:rsid w:val="00D8598F"/>
    <w:rsid w:val="00D86A79"/>
    <w:rsid w:val="00D87A31"/>
    <w:rsid w:val="00D937C6"/>
    <w:rsid w:val="00D9685D"/>
    <w:rsid w:val="00DA4E7A"/>
    <w:rsid w:val="00DA57C6"/>
    <w:rsid w:val="00DB139A"/>
    <w:rsid w:val="00DE17A3"/>
    <w:rsid w:val="00DE5173"/>
    <w:rsid w:val="00DE7C74"/>
    <w:rsid w:val="00DF047B"/>
    <w:rsid w:val="00DF1D12"/>
    <w:rsid w:val="00DF5606"/>
    <w:rsid w:val="00E0594C"/>
    <w:rsid w:val="00E079F9"/>
    <w:rsid w:val="00E14C97"/>
    <w:rsid w:val="00E1691A"/>
    <w:rsid w:val="00E17D9A"/>
    <w:rsid w:val="00E23E37"/>
    <w:rsid w:val="00E3461B"/>
    <w:rsid w:val="00E36059"/>
    <w:rsid w:val="00E40EC0"/>
    <w:rsid w:val="00E423F0"/>
    <w:rsid w:val="00E44DE3"/>
    <w:rsid w:val="00E5097A"/>
    <w:rsid w:val="00E54903"/>
    <w:rsid w:val="00E54AA8"/>
    <w:rsid w:val="00E579B0"/>
    <w:rsid w:val="00E6117C"/>
    <w:rsid w:val="00E65851"/>
    <w:rsid w:val="00E6684E"/>
    <w:rsid w:val="00E67B39"/>
    <w:rsid w:val="00E70667"/>
    <w:rsid w:val="00E7765D"/>
    <w:rsid w:val="00E834D6"/>
    <w:rsid w:val="00E9222A"/>
    <w:rsid w:val="00EA190A"/>
    <w:rsid w:val="00EA2AE8"/>
    <w:rsid w:val="00EA3A94"/>
    <w:rsid w:val="00EB2108"/>
    <w:rsid w:val="00EB3900"/>
    <w:rsid w:val="00EB3E55"/>
    <w:rsid w:val="00EB7195"/>
    <w:rsid w:val="00EB7735"/>
    <w:rsid w:val="00EC756C"/>
    <w:rsid w:val="00ED50E1"/>
    <w:rsid w:val="00ED6B25"/>
    <w:rsid w:val="00EE07F3"/>
    <w:rsid w:val="00EE134C"/>
    <w:rsid w:val="00EE2ABF"/>
    <w:rsid w:val="00EF18F4"/>
    <w:rsid w:val="00EF1D75"/>
    <w:rsid w:val="00EF3520"/>
    <w:rsid w:val="00EF44E6"/>
    <w:rsid w:val="00F01CFE"/>
    <w:rsid w:val="00F03FE2"/>
    <w:rsid w:val="00F07F78"/>
    <w:rsid w:val="00F15A2C"/>
    <w:rsid w:val="00F2107A"/>
    <w:rsid w:val="00F24E89"/>
    <w:rsid w:val="00F254B9"/>
    <w:rsid w:val="00F31989"/>
    <w:rsid w:val="00F35A49"/>
    <w:rsid w:val="00F462DB"/>
    <w:rsid w:val="00F46CFD"/>
    <w:rsid w:val="00F5280B"/>
    <w:rsid w:val="00F535A4"/>
    <w:rsid w:val="00F57E6F"/>
    <w:rsid w:val="00F67819"/>
    <w:rsid w:val="00F71842"/>
    <w:rsid w:val="00F745AE"/>
    <w:rsid w:val="00F77E7E"/>
    <w:rsid w:val="00F80F0F"/>
    <w:rsid w:val="00F83D62"/>
    <w:rsid w:val="00F86AD5"/>
    <w:rsid w:val="00F8758F"/>
    <w:rsid w:val="00F90637"/>
    <w:rsid w:val="00F90D10"/>
    <w:rsid w:val="00F92594"/>
    <w:rsid w:val="00F97E31"/>
    <w:rsid w:val="00FA73FC"/>
    <w:rsid w:val="00FA7FAD"/>
    <w:rsid w:val="00FB06A0"/>
    <w:rsid w:val="00FB2B86"/>
    <w:rsid w:val="00FB2F1C"/>
    <w:rsid w:val="00FB3ABE"/>
    <w:rsid w:val="00FB3C7D"/>
    <w:rsid w:val="00FB6CE4"/>
    <w:rsid w:val="00FD31D7"/>
    <w:rsid w:val="00FD4FF3"/>
    <w:rsid w:val="00FD6F39"/>
    <w:rsid w:val="00FE137E"/>
    <w:rsid w:val="00FE1AEF"/>
    <w:rsid w:val="00FE3246"/>
    <w:rsid w:val="00FE35B6"/>
    <w:rsid w:val="00FE3643"/>
    <w:rsid w:val="00FE3CD5"/>
    <w:rsid w:val="00FE4B40"/>
    <w:rsid w:val="00FE5CF5"/>
    <w:rsid w:val="00FF4F55"/>
    <w:rsid w:val="00FF7A08"/>
    <w:rsid w:val="00FF7A42"/>
    <w:rsid w:val="02BF6309"/>
    <w:rsid w:val="17E276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5"/>
    <w:link w:val="2"/>
    <w:semiHidden/>
    <w:uiPriority w:val="99"/>
    <w:rPr>
      <w:sz w:val="18"/>
      <w:szCs w:val="18"/>
    </w:rPr>
  </w:style>
  <w:style w:type="character" w:customStyle="1" w:styleId="12">
    <w:name w:val="Subtle Emphasis"/>
    <w:basedOn w:val="5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B8406C-94B0-4102-B878-5E3C03BC47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1723</Words>
  <Characters>9823</Characters>
  <Lines>81</Lines>
  <Paragraphs>23</Paragraphs>
  <TotalTime>121</TotalTime>
  <ScaleCrop>false</ScaleCrop>
  <LinksUpToDate>false</LinksUpToDate>
  <CharactersWithSpaces>11523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2019-02-20T08:03:00Z</dcterms:created>
  <dc:creator>qwerasds</dc:creator>
  <cp:lastModifiedBy>So、</cp:lastModifiedBy>
  <cp:lastPrinted>2020-08-24T02:09:34Z</cp:lastPrinted>
  <dcterms:modified xsi:type="dcterms:W3CDTF">2020-08-24T02:15:34Z</dcterms:modified>
  <cp:revision>472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