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21" w:firstLineChars="1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ind w:firstLine="321" w:firstLineChars="10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北京市通州区档案局</w:t>
      </w:r>
    </w:p>
    <w:p>
      <w:pPr>
        <w:spacing w:line="500" w:lineRule="exact"/>
        <w:ind w:firstLine="321" w:firstLineChars="1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2018年初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国有资产占用情况</w:t>
      </w:r>
    </w:p>
    <w:p>
      <w:pPr>
        <w:spacing w:line="500" w:lineRule="exact"/>
        <w:ind w:firstLine="320" w:firstLineChars="100"/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00" w:lineRule="exact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201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eastAsia="zh-CN"/>
        </w:rPr>
        <w:t>初</w:t>
      </w: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  <w:t>本部门国有资产总量339.73万元，固定资产339.73万元，其中：房屋126.07万元，车辆19.52万元，其他固定资产194.14万元。</w:t>
      </w:r>
    </w:p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060EF"/>
    <w:rsid w:val="1D7C3286"/>
    <w:rsid w:val="71C060EF"/>
    <w:rsid w:val="76886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2019-01-22T02:12:00Z</dcterms:created>
  <dc:creator>hasee</dc:creator>
  <cp:lastModifiedBy>hasee</cp:lastModifiedBy>
  <dcterms:modified xsi:type="dcterms:W3CDTF">2019-01-22T03:04:13Z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