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val="0"/>
        <w:snapToGrid w:val="0"/>
        <w:spacing w:before="0" w:after="0" w:line="360" w:lineRule="auto"/>
        <w:contextualSpacing/>
        <w:rPr>
          <w:rFonts w:ascii="Times New Roman" w:hAnsi="Times New Roman" w:eastAsia="黑体"/>
          <w:b w:val="0"/>
          <w:sz w:val="32"/>
          <w:szCs w:val="32"/>
        </w:rPr>
      </w:pPr>
      <w:r>
        <w:rPr>
          <w:rFonts w:hint="eastAsia" w:ascii="Times New Roman" w:hAnsi="Times New Roman" w:eastAsia="黑体"/>
          <w:b w:val="0"/>
          <w:sz w:val="32"/>
          <w:szCs w:val="32"/>
        </w:rPr>
        <w:t>附件4：载体绩效目标及评价指标表</w:t>
      </w:r>
    </w:p>
    <w:tbl>
      <w:tblPr>
        <w:tblStyle w:val="5"/>
        <w:tblW w:w="143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69"/>
        <w:gridCol w:w="4968"/>
        <w:gridCol w:w="1018"/>
        <w:gridCol w:w="987"/>
        <w:gridCol w:w="1843"/>
        <w:gridCol w:w="4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2" w:hRule="atLeast"/>
          <w:tblHeader/>
          <w:jc w:val="center"/>
        </w:trPr>
        <w:tc>
          <w:tcPr>
            <w:tcW w:w="1469" w:type="dxa"/>
            <w:vAlign w:val="center"/>
          </w:tcPr>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一级指标</w:t>
            </w:r>
          </w:p>
        </w:tc>
        <w:tc>
          <w:tcPr>
            <w:tcW w:w="4968" w:type="dxa"/>
            <w:vAlign w:val="center"/>
          </w:tcPr>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二级指标</w:t>
            </w:r>
          </w:p>
        </w:tc>
        <w:tc>
          <w:tcPr>
            <w:tcW w:w="1018" w:type="dxa"/>
            <w:vAlign w:val="center"/>
          </w:tcPr>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20</w:t>
            </w:r>
            <w:r>
              <w:rPr>
                <w:rStyle w:val="7"/>
                <w:rFonts w:hint="eastAsia" w:ascii="Times New Roman" w:hAnsi="Times New Roman"/>
                <w:b/>
                <w:bCs/>
                <w:color w:val="000000"/>
                <w:kern w:val="0"/>
                <w:sz w:val="28"/>
                <w:szCs w:val="28"/>
                <w:lang w:val="en-US" w:eastAsia="zh-CN"/>
              </w:rPr>
              <w:t>20</w:t>
            </w:r>
            <w:r>
              <w:rPr>
                <w:rStyle w:val="7"/>
                <w:rFonts w:ascii="Times New Roman" w:hAnsi="Times New Roman"/>
                <w:b/>
                <w:bCs/>
                <w:color w:val="000000"/>
                <w:kern w:val="0"/>
                <w:sz w:val="28"/>
                <w:szCs w:val="28"/>
              </w:rPr>
              <w:t>年</w:t>
            </w:r>
          </w:p>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指标</w:t>
            </w:r>
          </w:p>
        </w:tc>
        <w:tc>
          <w:tcPr>
            <w:tcW w:w="987" w:type="dxa"/>
            <w:vAlign w:val="center"/>
          </w:tcPr>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202</w:t>
            </w:r>
            <w:r>
              <w:rPr>
                <w:rStyle w:val="7"/>
                <w:rFonts w:hint="eastAsia" w:ascii="Times New Roman" w:hAnsi="Times New Roman"/>
                <w:b/>
                <w:bCs/>
                <w:color w:val="000000"/>
                <w:kern w:val="0"/>
                <w:sz w:val="28"/>
                <w:szCs w:val="28"/>
                <w:lang w:val="en-US" w:eastAsia="zh-CN"/>
              </w:rPr>
              <w:t>1</w:t>
            </w:r>
            <w:r>
              <w:rPr>
                <w:rStyle w:val="7"/>
                <w:rFonts w:ascii="Times New Roman" w:hAnsi="Times New Roman"/>
                <w:b/>
                <w:bCs/>
                <w:color w:val="000000"/>
                <w:kern w:val="0"/>
                <w:sz w:val="28"/>
                <w:szCs w:val="28"/>
              </w:rPr>
              <w:t>年</w:t>
            </w:r>
          </w:p>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指标</w:t>
            </w:r>
          </w:p>
        </w:tc>
        <w:tc>
          <w:tcPr>
            <w:tcW w:w="1843" w:type="dxa"/>
          </w:tcPr>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hint="eastAsia" w:ascii="Times New Roman" w:hAnsi="Times New Roman"/>
                <w:b/>
                <w:bCs/>
                <w:color w:val="000000"/>
                <w:kern w:val="0"/>
                <w:sz w:val="28"/>
                <w:szCs w:val="28"/>
              </w:rPr>
              <w:t>202</w:t>
            </w:r>
            <w:r>
              <w:rPr>
                <w:rStyle w:val="7"/>
                <w:rFonts w:hint="eastAsia" w:ascii="Times New Roman" w:hAnsi="Times New Roman"/>
                <w:b/>
                <w:bCs/>
                <w:color w:val="000000"/>
                <w:kern w:val="0"/>
                <w:sz w:val="28"/>
                <w:szCs w:val="28"/>
                <w:lang w:val="en-US" w:eastAsia="zh-CN"/>
              </w:rPr>
              <w:t>2</w:t>
            </w:r>
            <w:r>
              <w:rPr>
                <w:rStyle w:val="7"/>
                <w:rFonts w:hint="eastAsia" w:ascii="Times New Roman" w:hAnsi="Times New Roman"/>
                <w:b/>
                <w:bCs/>
                <w:color w:val="000000"/>
                <w:kern w:val="0"/>
                <w:sz w:val="28"/>
                <w:szCs w:val="28"/>
              </w:rPr>
              <w:t>年指标</w:t>
            </w:r>
          </w:p>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hint="eastAsia" w:ascii="Times New Roman" w:hAnsi="Times New Roman"/>
                <w:b/>
                <w:bCs/>
                <w:color w:val="000000"/>
                <w:kern w:val="0"/>
                <w:sz w:val="28"/>
                <w:szCs w:val="28"/>
              </w:rPr>
              <w:t>（</w:t>
            </w:r>
            <w:r>
              <w:rPr>
                <w:rStyle w:val="7"/>
                <w:rFonts w:hint="eastAsia" w:ascii="Times New Roman" w:hAnsi="Times New Roman"/>
                <w:b/>
                <w:bCs/>
                <w:color w:val="000000"/>
                <w:kern w:val="0"/>
                <w:sz w:val="28"/>
                <w:szCs w:val="28"/>
                <w:lang w:eastAsia="zh-CN"/>
              </w:rPr>
              <w:t>目标值</w:t>
            </w:r>
            <w:r>
              <w:rPr>
                <w:rStyle w:val="7"/>
                <w:rFonts w:hint="eastAsia" w:ascii="Times New Roman" w:hAnsi="Times New Roman"/>
                <w:b/>
                <w:bCs/>
                <w:color w:val="000000"/>
                <w:kern w:val="0"/>
                <w:sz w:val="28"/>
                <w:szCs w:val="28"/>
              </w:rPr>
              <w:t>）</w:t>
            </w:r>
          </w:p>
        </w:tc>
        <w:tc>
          <w:tcPr>
            <w:tcW w:w="4112" w:type="dxa"/>
            <w:vAlign w:val="center"/>
          </w:tcPr>
          <w:p>
            <w:pPr>
              <w:widowControl w:val="0"/>
              <w:snapToGrid w:val="0"/>
              <w:spacing w:line="360" w:lineRule="auto"/>
              <w:contextualSpacing/>
              <w:jc w:val="center"/>
              <w:rPr>
                <w:rStyle w:val="7"/>
                <w:rFonts w:ascii="Times New Roman" w:hAnsi="Times New Roman"/>
                <w:b/>
                <w:bCs/>
                <w:color w:val="000000"/>
                <w:kern w:val="0"/>
                <w:sz w:val="28"/>
                <w:szCs w:val="28"/>
              </w:rPr>
            </w:pPr>
            <w:r>
              <w:rPr>
                <w:rStyle w:val="7"/>
                <w:rFonts w:ascii="Times New Roman" w:hAnsi="Times New Roman"/>
                <w:b/>
                <w:bCs/>
                <w:color w:val="000000"/>
                <w:kern w:val="0"/>
                <w:sz w:val="28"/>
                <w:szCs w:val="28"/>
              </w:rPr>
              <w:t>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9" w:hRule="atLeast"/>
          <w:jc w:val="center"/>
        </w:trPr>
        <w:tc>
          <w:tcPr>
            <w:tcW w:w="1469" w:type="dxa"/>
            <w:vAlign w:val="center"/>
          </w:tcPr>
          <w:p>
            <w:pPr>
              <w:snapToGrid w:val="0"/>
              <w:spacing w:line="360" w:lineRule="auto"/>
              <w:contextualSpacing/>
              <w:jc w:val="center"/>
              <w:rPr>
                <w:rStyle w:val="7"/>
                <w:rFonts w:ascii="Times New Roman" w:hAnsi="Times New Roman"/>
                <w:color w:val="000000"/>
                <w:kern w:val="0"/>
                <w:sz w:val="28"/>
                <w:szCs w:val="28"/>
              </w:rPr>
            </w:pPr>
            <w:r>
              <w:rPr>
                <w:rStyle w:val="7"/>
                <w:rFonts w:ascii="Times New Roman" w:hAnsi="Times New Roman"/>
                <w:color w:val="000000"/>
                <w:kern w:val="0"/>
                <w:sz w:val="28"/>
                <w:szCs w:val="28"/>
              </w:rPr>
              <w:t>产业集聚度（10分）</w:t>
            </w: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该类型载体在主要服务的行业领域吸引入驻的企业数占比（%）=该类型载体在主要服务的行业领域吸引入驻的企业个数*100%/入驻该类型载体的企业总个数</w:t>
            </w:r>
          </w:p>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（如果该类型载体数量大于1个，且主要服务的行业领域存在差异，则按上述公式加权平均计算，各载体指标数据权重按载体数量算数平均计算）</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vAlign w:val="center"/>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企业与载体签订的入驻协议或合同等证明材料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7" w:hRule="atLeast"/>
          <w:jc w:val="center"/>
        </w:trPr>
        <w:tc>
          <w:tcPr>
            <w:tcW w:w="1469" w:type="dxa"/>
            <w:vMerge w:val="restart"/>
            <w:vAlign w:val="center"/>
          </w:tcPr>
          <w:p>
            <w:pPr>
              <w:snapToGrid w:val="0"/>
              <w:spacing w:line="360" w:lineRule="auto"/>
              <w:contextualSpacing/>
              <w:jc w:val="center"/>
              <w:rPr>
                <w:rStyle w:val="7"/>
                <w:rFonts w:ascii="Times New Roman" w:hAnsi="Times New Roman"/>
                <w:color w:val="000000"/>
                <w:kern w:val="0"/>
                <w:sz w:val="28"/>
                <w:szCs w:val="28"/>
              </w:rPr>
            </w:pPr>
            <w:r>
              <w:rPr>
                <w:rStyle w:val="7"/>
                <w:rFonts w:ascii="Times New Roman" w:hAnsi="Times New Roman"/>
                <w:color w:val="000000"/>
                <w:kern w:val="0"/>
                <w:sz w:val="28"/>
                <w:szCs w:val="28"/>
              </w:rPr>
              <w:t>资源聚集力（20分）</w:t>
            </w: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该类型载体从业人员数（万人）</w:t>
            </w:r>
          </w:p>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（从业人员指专职管理、运营、服务人员等）</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从业人员的雇佣合同、聘用合同、任职通知书等证明材料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该类型合作的资本服务机构数（个）</w:t>
            </w:r>
          </w:p>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（资本服务机构包括天使投资、创业投资、产业投资、银行、担保、保险、小额贷款公司、融资租赁公司等各类金融服务机构）</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highlight w:val="yellow"/>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highlight w:val="yellow"/>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资本服务机构与载体签订的合作协议、合同等证明材料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该类型载体拥有或合作的各类专业公共技术服务平台数（个）</w:t>
            </w:r>
          </w:p>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（公共技术服务平台包括检验检测平台、共性技术研发平台、中试基地、科技条件设备共享平台等）</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highlight w:val="yellow"/>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highlight w:val="yellow"/>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1.载体拥有的公共技术服务平台需能够提供公共技术平台建设投资专项审计报告、公共技术平台服务机构资质证明等相关材料；</w:t>
            </w:r>
          </w:p>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2.载体合作的专业公共技术服务平台需能够提供载体与相关平台签订的合作协议、合同等证明材料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该类型载体创业导师数（人）</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市级及以上科技、人社、教育部门的认定、备案文件或提供行业协会的聘任书等证明材料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6"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该类型载体组织创新创业大赛和项目路演总次数（次）</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1.创新创业大赛需能够提供正式下发的大赛会议通知或举办方案等证明材料</w:t>
            </w:r>
          </w:p>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2.项目路演活动需能够提供正式下发的活动通知、活动手册（方案）、活动参与签到表等证明材料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该类型载体拥有或合作共享的国家或省级实验室、技术研发平台数量（个）</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1.载体拥有的平台需能够提供平台认定通知、证书等相关证明材料</w:t>
            </w:r>
          </w:p>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2.载体合作共享的平台需能够提供与载体签订的合作协议或合同等相关证明材料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469" w:type="dxa"/>
            <w:vMerge w:val="restart"/>
            <w:vAlign w:val="center"/>
          </w:tcPr>
          <w:p>
            <w:pPr>
              <w:snapToGrid w:val="0"/>
              <w:spacing w:line="360" w:lineRule="auto"/>
              <w:contextualSpacing/>
              <w:jc w:val="center"/>
              <w:rPr>
                <w:rStyle w:val="7"/>
                <w:rFonts w:ascii="Times New Roman" w:hAnsi="Times New Roman"/>
                <w:color w:val="000000"/>
                <w:kern w:val="0"/>
                <w:sz w:val="28"/>
                <w:szCs w:val="28"/>
              </w:rPr>
            </w:pPr>
            <w:r>
              <w:rPr>
                <w:rStyle w:val="7"/>
                <w:rFonts w:ascii="Times New Roman" w:hAnsi="Times New Roman"/>
                <w:color w:val="000000"/>
                <w:kern w:val="0"/>
                <w:sz w:val="28"/>
                <w:szCs w:val="28"/>
              </w:rPr>
              <w:t>持续发展力（15分）</w:t>
            </w: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该类型载体亩均收入（万元/平方米）=创新创业特色载体上一年度营业收入/创新创业特色载体实际建成面积</w:t>
            </w:r>
          </w:p>
        </w:tc>
        <w:tc>
          <w:tcPr>
            <w:tcW w:w="1018" w:type="dxa"/>
            <w:vAlign w:val="center"/>
          </w:tcPr>
          <w:p>
            <w:pPr>
              <w:snapToGrid w:val="0"/>
              <w:spacing w:line="360" w:lineRule="auto"/>
              <w:contextualSpacing/>
              <w:jc w:val="center"/>
              <w:rPr>
                <w:rStyle w:val="7"/>
                <w:rFonts w:ascii="Times New Roman" w:hAnsi="Times New Roman"/>
                <w:kern w:val="0"/>
                <w:sz w:val="28"/>
                <w:szCs w:val="28"/>
                <w:highlight w:val="yellow"/>
              </w:rPr>
            </w:pPr>
          </w:p>
        </w:tc>
        <w:tc>
          <w:tcPr>
            <w:tcW w:w="987" w:type="dxa"/>
            <w:vAlign w:val="center"/>
          </w:tcPr>
          <w:p>
            <w:pPr>
              <w:snapToGrid w:val="0"/>
              <w:spacing w:line="360" w:lineRule="auto"/>
              <w:contextualSpacing/>
              <w:jc w:val="center"/>
              <w:rPr>
                <w:rStyle w:val="7"/>
                <w:rFonts w:ascii="Times New Roman" w:hAnsi="Times New Roman"/>
                <w:kern w:val="0"/>
                <w:sz w:val="28"/>
                <w:szCs w:val="28"/>
                <w:highlight w:val="yellow"/>
              </w:rPr>
            </w:pPr>
          </w:p>
        </w:tc>
        <w:tc>
          <w:tcPr>
            <w:tcW w:w="1843" w:type="dxa"/>
          </w:tcPr>
          <w:p>
            <w:pPr>
              <w:snapToGrid w:val="0"/>
              <w:spacing w:line="360" w:lineRule="auto"/>
              <w:contextualSpacing/>
              <w:jc w:val="left"/>
              <w:rPr>
                <w:rStyle w:val="7"/>
                <w:rFonts w:ascii="Times New Roman" w:hAnsi="Times New Roman"/>
                <w:kern w:val="0"/>
                <w:sz w:val="28"/>
                <w:szCs w:val="28"/>
                <w:highlight w:val="yellow"/>
              </w:rPr>
            </w:pPr>
          </w:p>
        </w:tc>
        <w:tc>
          <w:tcPr>
            <w:tcW w:w="4112" w:type="dxa"/>
          </w:tcPr>
          <w:p>
            <w:pPr>
              <w:snapToGrid w:val="0"/>
              <w:spacing w:line="360" w:lineRule="auto"/>
              <w:contextualSpacing/>
              <w:jc w:val="left"/>
              <w:rPr>
                <w:rStyle w:val="7"/>
                <w:rFonts w:ascii="Times New Roman" w:hAnsi="Times New Roman"/>
                <w:kern w:val="0"/>
                <w:sz w:val="28"/>
                <w:szCs w:val="28"/>
                <w:highlight w:val="yellow"/>
              </w:rPr>
            </w:pPr>
          </w:p>
          <w:p>
            <w:pPr>
              <w:snapToGrid w:val="0"/>
              <w:spacing w:line="360" w:lineRule="auto"/>
              <w:contextualSpacing/>
              <w:jc w:val="center"/>
              <w:rPr>
                <w:rStyle w:val="7"/>
                <w:rFonts w:ascii="Times New Roman" w:hAnsi="Times New Roman"/>
                <w:kern w:val="0"/>
                <w:sz w:val="28"/>
                <w:szCs w:val="28"/>
                <w:highlight w:val="yellow"/>
              </w:rPr>
            </w:pPr>
            <w:r>
              <w:rPr>
                <w:rStyle w:val="7"/>
                <w:rFonts w:hint="eastAsia" w:ascii="Times New Roman" w:hAnsi="Times New Roman"/>
                <w:color w:val="000000" w:themeColor="text1"/>
                <w:kern w:val="0"/>
                <w:sz w:val="28"/>
                <w:szCs w:val="28"/>
                <w14:textFill>
                  <w14:solidFill>
                    <w14:schemeClr w14:val="tx1"/>
                  </w14:solidFill>
                </w14:textFill>
              </w:rPr>
              <w:t>该指标统计范围是载体，不是载体内企业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469" w:type="dxa"/>
            <w:vMerge w:val="continue"/>
            <w:vAlign w:val="center"/>
          </w:tcPr>
          <w:p>
            <w:pPr>
              <w:snapToGrid w:val="0"/>
              <w:spacing w:line="360" w:lineRule="auto"/>
              <w:contextualSpacing/>
              <w:jc w:val="center"/>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该类型载体从业人员中大学及以上学历人员占比（%）</w:t>
            </w:r>
          </w:p>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（从业人员指专职管理人员）</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载体与从业人员签订的雇佣合同、聘用合同、任职通知书、学历证明等相关材料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jc w:val="center"/>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入驻该类型载体创业的科研人员数量（人）</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科研人员的技术职称认定文件、入孵企业与科研人员签订的雇佣合同、聘用合同、任职通知书等证明材料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restart"/>
            <w:vAlign w:val="center"/>
          </w:tcPr>
          <w:p>
            <w:pPr>
              <w:snapToGrid w:val="0"/>
              <w:spacing w:line="360" w:lineRule="auto"/>
              <w:contextualSpacing/>
              <w:jc w:val="center"/>
              <w:rPr>
                <w:rStyle w:val="7"/>
                <w:rFonts w:ascii="Times New Roman" w:hAnsi="Times New Roman"/>
                <w:color w:val="000000"/>
                <w:kern w:val="0"/>
                <w:sz w:val="28"/>
                <w:szCs w:val="28"/>
              </w:rPr>
            </w:pPr>
            <w:r>
              <w:rPr>
                <w:rStyle w:val="7"/>
                <w:rFonts w:ascii="Times New Roman" w:hAnsi="Times New Roman"/>
                <w:color w:val="000000"/>
                <w:kern w:val="0"/>
                <w:sz w:val="28"/>
                <w:szCs w:val="28"/>
              </w:rPr>
              <w:t>产出与效益（35分）</w:t>
            </w: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入驻该类型载体的企业毕业数（家）</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企业与载体签订的入驻协</w:t>
            </w:r>
          </w:p>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议、载体颁发的毕业证书、企业股票代码或其他符合认定为企业毕业条件的相关证明材料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入驻该类型载体的企业挂牌或上市数（个）</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企业上市板块（如主板、中小板、创业板、纳斯达克、新三板挂牌等）股票代码、或区域股权交易市场挂牌股权代码等证明材料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4"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入驻该类型载体的企业规模升级数（家）</w:t>
            </w:r>
          </w:p>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规模升级是指微型企业成长为小型及小型以上企业；小型企业成长为中型及中型以上企业；中型企业成长为大型企业。企业划型标准按工业和信息化部、国家统计局等部门联合制定的《中小企业划型标准规定》执行）</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企业营业收入、从业人数、固定资产等规模升级的数据信息证明材料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该类型载体培育的经国家、省级认定的专精特新中小企业数（家）</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国家或省级发布的认定文件、在部门门户网站等公开渠道发布的专精特新中小企业培育名单等证明材料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入驻该类型载体的企业被认定为科技型中小企业和高新技术企业的合计数（家）</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1.科技型中小企业：全国科技型中小企业信息库入库登记编码等证明材料；</w:t>
            </w:r>
          </w:p>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2.高新技术企业：经省、自治区、直辖市、计划单列市高新技术企业认定管理机构认定的高新技术企业证书等证明材料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入驻该类型载体的企业在国内外创新创业大赛中获奖数（项）</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大赛获奖证书等证明材料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入驻该类型载体的企业年度产值（万元）</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在孵企业上一年度财务报表等相关证明材料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入驻该类型载体的企业年度利税额（万元）</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经认定的企业利润表、缴税证明等相关证明材料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入驻该类型载体的企业年度新增就业人数（人）</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员工在入孵企业缴纳的社保记录等证明材料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入驻该类型载体的企业年度研发投入（万元）</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1.享受加计扣除的入孵企业：经税务局认定的年度研发费用加计扣除优惠明细表</w:t>
            </w:r>
          </w:p>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2.为享受加计扣除的：企业相关财务报表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入驻该类型载体的企业技术合同交易额（万元）</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经认定登记的技术合同等相关证明材料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Merge w:val="continue"/>
            <w:vAlign w:val="center"/>
          </w:tcPr>
          <w:p>
            <w:pPr>
              <w:snapToGrid w:val="0"/>
              <w:spacing w:line="360" w:lineRule="auto"/>
              <w:contextualSpacing/>
              <w:rPr>
                <w:rStyle w:val="7"/>
                <w:rFonts w:ascii="Times New Roman" w:hAnsi="Times New Roman"/>
                <w:color w:val="000000"/>
                <w:kern w:val="0"/>
                <w:sz w:val="28"/>
                <w:szCs w:val="28"/>
              </w:rPr>
            </w:pP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入驻该类型载体的企业高新技术产品（服务）收入（万元）</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企业近一个会计年度的专项审计报告或财务报表等证明材料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1469" w:type="dxa"/>
            <w:vAlign w:val="center"/>
          </w:tcPr>
          <w:p>
            <w:pPr>
              <w:snapToGrid w:val="0"/>
              <w:spacing w:line="360" w:lineRule="auto"/>
              <w:contextualSpacing/>
              <w:jc w:val="center"/>
              <w:rPr>
                <w:rStyle w:val="7"/>
                <w:rFonts w:ascii="Times New Roman" w:hAnsi="Times New Roman"/>
                <w:color w:val="000000"/>
                <w:kern w:val="0"/>
                <w:sz w:val="28"/>
                <w:szCs w:val="28"/>
              </w:rPr>
            </w:pPr>
            <w:r>
              <w:rPr>
                <w:rStyle w:val="7"/>
                <w:rFonts w:ascii="Times New Roman" w:hAnsi="Times New Roman"/>
                <w:color w:val="000000"/>
                <w:kern w:val="0"/>
                <w:sz w:val="28"/>
                <w:szCs w:val="28"/>
              </w:rPr>
              <w:t>改革创新力（10分）</w:t>
            </w:r>
          </w:p>
        </w:tc>
        <w:tc>
          <w:tcPr>
            <w:tcW w:w="4968" w:type="dxa"/>
            <w:vAlign w:val="center"/>
          </w:tcPr>
          <w:p>
            <w:pPr>
              <w:snapToGrid w:val="0"/>
              <w:spacing w:line="360" w:lineRule="auto"/>
              <w:contextualSpacing/>
              <w:rPr>
                <w:rStyle w:val="7"/>
                <w:rFonts w:ascii="Times New Roman" w:hAnsi="Times New Roman"/>
                <w:color w:val="000000"/>
                <w:kern w:val="0"/>
                <w:sz w:val="28"/>
                <w:szCs w:val="28"/>
                <w:highlight w:val="yellow"/>
              </w:rPr>
            </w:pPr>
            <w:r>
              <w:rPr>
                <w:rStyle w:val="7"/>
                <w:rFonts w:ascii="Times New Roman" w:hAnsi="Times New Roman"/>
                <w:color w:val="000000"/>
                <w:kern w:val="0"/>
                <w:sz w:val="28"/>
                <w:szCs w:val="28"/>
                <w:highlight w:val="none"/>
              </w:rPr>
              <w:t>地方制度创新、机制创新的举措及有效模式总结、信息报送等（项）</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highlight w:val="yellow"/>
              </w:rPr>
            </w:pPr>
          </w:p>
        </w:tc>
        <w:tc>
          <w:tcPr>
            <w:tcW w:w="987" w:type="dxa"/>
            <w:vAlign w:val="center"/>
          </w:tcPr>
          <w:p>
            <w:pPr>
              <w:snapToGrid w:val="0"/>
              <w:spacing w:line="360" w:lineRule="auto"/>
              <w:contextualSpacing/>
              <w:jc w:val="center"/>
              <w:rPr>
                <w:rStyle w:val="7"/>
                <w:rFonts w:ascii="Times New Roman" w:hAnsi="Times New Roman"/>
                <w:color w:val="000000"/>
                <w:kern w:val="0"/>
                <w:sz w:val="28"/>
                <w:szCs w:val="28"/>
                <w:highlight w:val="yellow"/>
              </w:rPr>
            </w:pPr>
          </w:p>
        </w:tc>
        <w:tc>
          <w:tcPr>
            <w:tcW w:w="1843" w:type="dxa"/>
          </w:tcPr>
          <w:p>
            <w:pPr>
              <w:snapToGrid w:val="0"/>
              <w:spacing w:line="360" w:lineRule="auto"/>
              <w:contextualSpacing/>
              <w:jc w:val="left"/>
              <w:rPr>
                <w:rStyle w:val="7"/>
                <w:rFonts w:ascii="Times New Roman" w:hAnsi="Times New Roman"/>
                <w:color w:val="000000"/>
                <w:kern w:val="0"/>
                <w:sz w:val="28"/>
                <w:szCs w:val="28"/>
                <w:highlight w:val="none"/>
              </w:rPr>
            </w:pPr>
          </w:p>
        </w:tc>
        <w:tc>
          <w:tcPr>
            <w:tcW w:w="4112" w:type="dxa"/>
            <w:vAlign w:val="center"/>
          </w:tcPr>
          <w:p>
            <w:pPr>
              <w:snapToGrid w:val="0"/>
              <w:spacing w:line="360" w:lineRule="auto"/>
              <w:contextualSpacing/>
              <w:jc w:val="left"/>
              <w:rPr>
                <w:rStyle w:val="7"/>
                <w:rFonts w:ascii="Times New Roman" w:hAnsi="Times New Roman"/>
                <w:color w:val="000000"/>
                <w:kern w:val="0"/>
                <w:sz w:val="28"/>
                <w:szCs w:val="28"/>
                <w:highlight w:val="none"/>
              </w:rPr>
            </w:pPr>
            <w:r>
              <w:rPr>
                <w:rStyle w:val="7"/>
                <w:rFonts w:ascii="Times New Roman" w:hAnsi="Times New Roman"/>
                <w:color w:val="000000"/>
                <w:kern w:val="0"/>
                <w:sz w:val="28"/>
                <w:szCs w:val="28"/>
                <w:highlight w:val="none"/>
              </w:rPr>
              <w:t>定性指标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469" w:type="dxa"/>
            <w:vAlign w:val="center"/>
          </w:tcPr>
          <w:p>
            <w:pPr>
              <w:snapToGrid w:val="0"/>
              <w:spacing w:line="360" w:lineRule="auto"/>
              <w:contextualSpacing/>
              <w:jc w:val="center"/>
              <w:rPr>
                <w:rStyle w:val="7"/>
                <w:rFonts w:ascii="Times New Roman" w:hAnsi="Times New Roman"/>
                <w:color w:val="000000"/>
                <w:kern w:val="0"/>
                <w:sz w:val="28"/>
                <w:szCs w:val="28"/>
              </w:rPr>
            </w:pPr>
            <w:r>
              <w:rPr>
                <w:rStyle w:val="7"/>
                <w:rFonts w:ascii="Times New Roman" w:hAnsi="Times New Roman"/>
                <w:color w:val="000000"/>
                <w:kern w:val="0"/>
                <w:sz w:val="28"/>
                <w:szCs w:val="28"/>
              </w:rPr>
              <w:t>辐射带动力（10分）</w:t>
            </w:r>
          </w:p>
        </w:tc>
        <w:tc>
          <w:tcPr>
            <w:tcW w:w="4968" w:type="dxa"/>
            <w:vAlign w:val="center"/>
          </w:tcPr>
          <w:p>
            <w:pPr>
              <w:snapToGrid w:val="0"/>
              <w:spacing w:line="360" w:lineRule="auto"/>
              <w:contextualSpacing/>
              <w:rPr>
                <w:rStyle w:val="7"/>
                <w:rFonts w:ascii="Times New Roman" w:hAnsi="Times New Roman"/>
                <w:color w:val="000000"/>
                <w:kern w:val="0"/>
                <w:sz w:val="28"/>
                <w:szCs w:val="28"/>
              </w:rPr>
            </w:pPr>
            <w:r>
              <w:rPr>
                <w:rStyle w:val="7"/>
                <w:rFonts w:ascii="Times New Roman" w:hAnsi="Times New Roman"/>
                <w:color w:val="000000"/>
                <w:kern w:val="0"/>
                <w:sz w:val="28"/>
                <w:szCs w:val="28"/>
              </w:rPr>
              <w:t>该类型载体通过资源共享、服务合作等方式支持园区以外的中小企业数（家）</w:t>
            </w:r>
          </w:p>
        </w:tc>
        <w:tc>
          <w:tcPr>
            <w:tcW w:w="1018" w:type="dxa"/>
            <w:vAlign w:val="center"/>
          </w:tcPr>
          <w:p>
            <w:pPr>
              <w:snapToGrid w:val="0"/>
              <w:spacing w:line="360" w:lineRule="auto"/>
              <w:contextualSpacing/>
              <w:jc w:val="center"/>
              <w:rPr>
                <w:rStyle w:val="7"/>
                <w:rFonts w:ascii="Times New Roman" w:hAnsi="Times New Roman"/>
                <w:color w:val="000000"/>
                <w:kern w:val="0"/>
                <w:sz w:val="28"/>
                <w:szCs w:val="28"/>
              </w:rPr>
            </w:pPr>
          </w:p>
        </w:tc>
        <w:tc>
          <w:tcPr>
            <w:tcW w:w="987" w:type="dxa"/>
            <w:vAlign w:val="center"/>
          </w:tcPr>
          <w:p>
            <w:pPr>
              <w:snapToGrid w:val="0"/>
              <w:spacing w:line="360" w:lineRule="auto"/>
              <w:contextualSpacing/>
              <w:jc w:val="center"/>
              <w:rPr>
                <w:rFonts w:ascii="Times New Roman" w:hAnsi="Times New Roman"/>
                <w:color w:val="000000"/>
                <w:sz w:val="22"/>
              </w:rPr>
            </w:pPr>
          </w:p>
        </w:tc>
        <w:tc>
          <w:tcPr>
            <w:tcW w:w="1843" w:type="dxa"/>
          </w:tcPr>
          <w:p>
            <w:pPr>
              <w:snapToGrid w:val="0"/>
              <w:spacing w:line="360" w:lineRule="auto"/>
              <w:contextualSpacing/>
              <w:jc w:val="left"/>
              <w:rPr>
                <w:rStyle w:val="7"/>
                <w:rFonts w:ascii="Times New Roman" w:hAnsi="Times New Roman"/>
                <w:color w:val="000000"/>
                <w:kern w:val="0"/>
                <w:sz w:val="28"/>
                <w:szCs w:val="28"/>
              </w:rPr>
            </w:pPr>
          </w:p>
        </w:tc>
        <w:tc>
          <w:tcPr>
            <w:tcW w:w="4112" w:type="dxa"/>
          </w:tcPr>
          <w:p>
            <w:pPr>
              <w:snapToGrid w:val="0"/>
              <w:spacing w:line="360" w:lineRule="auto"/>
              <w:contextualSpacing/>
              <w:jc w:val="left"/>
              <w:rPr>
                <w:rStyle w:val="7"/>
                <w:rFonts w:ascii="Times New Roman" w:hAnsi="Times New Roman"/>
                <w:color w:val="000000"/>
                <w:kern w:val="0"/>
                <w:sz w:val="28"/>
                <w:szCs w:val="28"/>
              </w:rPr>
            </w:pPr>
            <w:r>
              <w:rPr>
                <w:rStyle w:val="7"/>
                <w:rFonts w:ascii="Times New Roman" w:hAnsi="Times New Roman"/>
                <w:color w:val="000000"/>
                <w:kern w:val="0"/>
                <w:sz w:val="28"/>
                <w:szCs w:val="28"/>
              </w:rPr>
              <w:t>开发区以外的中小企业与载体签订服务协议、合同、发票、服务记录等证明材料</w:t>
            </w:r>
          </w:p>
        </w:tc>
      </w:tr>
    </w:tbl>
    <w:p>
      <w:pPr>
        <w:rPr>
          <w:rFonts w:ascii="Times New Roman" w:hAnsi="Times New Roman"/>
        </w:rPr>
      </w:pPr>
    </w:p>
    <w:p>
      <w:pPr>
        <w:ind w:firstLine="560" w:firstLineChars="200"/>
        <w:rPr>
          <w:rFonts w:ascii="Times New Roman" w:hAnsi="Times New Roman" w:eastAsia="黑体"/>
          <w:bCs/>
          <w:kern w:val="44"/>
          <w:sz w:val="44"/>
          <w:szCs w:val="32"/>
        </w:rPr>
      </w:pPr>
      <w:r>
        <w:rPr>
          <w:rFonts w:hint="eastAsia" w:ascii="Times New Roman" w:hAnsi="Times New Roman"/>
          <w:sz w:val="28"/>
        </w:rPr>
        <w:t>填写说明：请填写2019年、2020年、2021年指标，并根据指标要求准备证明材料（证明材料为截至到2020年目前为止指标相关证明材料）；</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4781302"/>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1D"/>
    <w:rsid w:val="000145D3"/>
    <w:rsid w:val="000E021A"/>
    <w:rsid w:val="00167505"/>
    <w:rsid w:val="00224839"/>
    <w:rsid w:val="002367E3"/>
    <w:rsid w:val="002515F3"/>
    <w:rsid w:val="00253F8E"/>
    <w:rsid w:val="002D3E6D"/>
    <w:rsid w:val="00320871"/>
    <w:rsid w:val="003216A5"/>
    <w:rsid w:val="003C0097"/>
    <w:rsid w:val="003C0755"/>
    <w:rsid w:val="00464AA5"/>
    <w:rsid w:val="00465E44"/>
    <w:rsid w:val="00565FCD"/>
    <w:rsid w:val="00570549"/>
    <w:rsid w:val="00754B1C"/>
    <w:rsid w:val="007C79E0"/>
    <w:rsid w:val="00862C61"/>
    <w:rsid w:val="008E52B0"/>
    <w:rsid w:val="00920C83"/>
    <w:rsid w:val="00940158"/>
    <w:rsid w:val="00980884"/>
    <w:rsid w:val="009D102C"/>
    <w:rsid w:val="00A53193"/>
    <w:rsid w:val="00AF481F"/>
    <w:rsid w:val="00B1126D"/>
    <w:rsid w:val="00B227F2"/>
    <w:rsid w:val="00BF4319"/>
    <w:rsid w:val="00CD6539"/>
    <w:rsid w:val="00D02C79"/>
    <w:rsid w:val="00D3756D"/>
    <w:rsid w:val="00D56BD7"/>
    <w:rsid w:val="00D66F1D"/>
    <w:rsid w:val="00E94C27"/>
    <w:rsid w:val="00EA1DBA"/>
    <w:rsid w:val="00F150D1"/>
    <w:rsid w:val="00F83CA4"/>
    <w:rsid w:val="00FA33A1"/>
    <w:rsid w:val="156F474E"/>
    <w:rsid w:val="5F76C45A"/>
    <w:rsid w:val="67FFBAD3"/>
    <w:rsid w:val="7767F2C3"/>
    <w:rsid w:val="F5755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2"/>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NormalCharacter"/>
    <w:qFormat/>
    <w:uiPriority w:val="0"/>
  </w:style>
  <w:style w:type="character" w:customStyle="1" w:styleId="8">
    <w:name w:val="标题 1 Char"/>
    <w:basedOn w:val="6"/>
    <w:link w:val="2"/>
    <w:qFormat/>
    <w:uiPriority w:val="9"/>
    <w:rPr>
      <w:rFonts w:ascii="Calibri" w:hAnsi="Calibri" w:eastAsia="宋体" w:cs="Times New Roman"/>
      <w:b/>
      <w:bCs/>
      <w:kern w:val="44"/>
      <w:sz w:val="44"/>
      <w:szCs w:val="44"/>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331</Words>
  <Characters>1891</Characters>
  <Lines>15</Lines>
  <Paragraphs>4</Paragraphs>
  <TotalTime>66</TotalTime>
  <ScaleCrop>false</ScaleCrop>
  <LinksUpToDate>false</LinksUpToDate>
  <CharactersWithSpaces>2218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2020-10-29T00:53:00Z</dcterms:created>
  <dc:creator>zhongze1</dc:creator>
  <cp:lastModifiedBy>sunshiyu</cp:lastModifiedBy>
  <cp:lastPrinted>2021-07-21T01:16:00Z</cp:lastPrinted>
  <dcterms:modified xsi:type="dcterms:W3CDTF">2022-09-22T14:16:51Z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