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10" w:rsidRPr="002D4686" w:rsidRDefault="00497F10" w:rsidP="00497F1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theme="minorBidi"/>
          <w:sz w:val="36"/>
          <w:szCs w:val="36"/>
        </w:rPr>
      </w:pPr>
      <w:r w:rsidRPr="002D4686">
        <w:rPr>
          <w:rFonts w:ascii="仿宋_GB2312" w:eastAsia="仿宋_GB2312" w:cstheme="minorBidi" w:hint="eastAsia"/>
          <w:sz w:val="36"/>
          <w:szCs w:val="36"/>
        </w:rPr>
        <w:t>附件2：项目有关情况特别提示</w:t>
      </w:r>
    </w:p>
    <w:p w:rsidR="00C6385C" w:rsidRPr="00497F10" w:rsidRDefault="00C6385C" w:rsidP="00C8155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196" w:firstLine="472"/>
        <w:jc w:val="left"/>
        <w:rPr>
          <w:b/>
          <w:bCs/>
          <w:kern w:val="0"/>
          <w:sz w:val="24"/>
          <w:szCs w:val="24"/>
        </w:rPr>
      </w:pPr>
    </w:p>
    <w:p w:rsidR="00C6385C" w:rsidRPr="00B16782" w:rsidRDefault="00C6385C" w:rsidP="00C8155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200" w:firstLine="474"/>
        <w:rPr>
          <w:rFonts w:ascii="宋体" w:hAnsi="宋体"/>
          <w:spacing w:val="-2"/>
          <w:sz w:val="24"/>
          <w:szCs w:val="24"/>
        </w:rPr>
      </w:pPr>
      <w:r w:rsidRPr="00B16782">
        <w:rPr>
          <w:rFonts w:ascii="宋体" w:hAnsi="宋体" w:hint="eastAsia"/>
          <w:b/>
          <w:bCs/>
          <w:spacing w:val="-2"/>
          <w:sz w:val="24"/>
          <w:szCs w:val="24"/>
          <w:lang w:val="zh-CN"/>
        </w:rPr>
        <w:t>一、红线内不利因素</w:t>
      </w:r>
      <w:r w:rsidRPr="00B16782">
        <w:rPr>
          <w:rFonts w:ascii="宋体" w:hAnsi="宋体" w:hint="eastAsia"/>
          <w:b/>
          <w:bCs/>
          <w:spacing w:val="-2"/>
          <w:sz w:val="24"/>
          <w:szCs w:val="24"/>
        </w:rPr>
        <w:t xml:space="preserve">  </w:t>
      </w:r>
      <w:r w:rsidRPr="00B16782">
        <w:rPr>
          <w:rFonts w:ascii="宋体" w:hAnsi="宋体" w:hint="eastAsia"/>
          <w:spacing w:val="-2"/>
          <w:sz w:val="24"/>
          <w:szCs w:val="24"/>
        </w:rPr>
        <w:t xml:space="preserve">  </w:t>
      </w:r>
    </w:p>
    <w:p w:rsidR="00C6385C" w:rsidRPr="00B16782" w:rsidRDefault="00C6385C" w:rsidP="00C81555">
      <w:pPr>
        <w:snapToGrid w:val="0"/>
        <w:spacing w:line="360" w:lineRule="auto"/>
        <w:ind w:firstLineChars="400" w:firstLine="960"/>
        <w:jc w:val="left"/>
        <w:rPr>
          <w:rFonts w:ascii="宋体" w:hAnsi="宋体"/>
          <w:spacing w:val="-2"/>
          <w:sz w:val="24"/>
          <w:szCs w:val="24"/>
          <w:lang w:val="zh-CN"/>
        </w:rPr>
      </w:pPr>
      <w:r w:rsidRPr="00B16782">
        <w:rPr>
          <w:rFonts w:ascii="宋体" w:hAnsi="宋体" w:cs="新宋体" w:hint="eastAsia"/>
          <w:sz w:val="24"/>
          <w:szCs w:val="24"/>
        </w:rPr>
        <w:t>本项目红线内现规划有以下公共配套设施，在符合国家标准的前提下，仍可能对邻近的住宅产生影响。具体如下：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jc w:val="left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1、项目0099-10#住宅楼顶层设有消防水箱等设备、设施，0104-01#住宅楼顶层设有人防警报控制室。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2、为了满足社区供热需求，本项目设有1处自建锅炉房及2处换热站。锅炉房位于0099-08#住宅楼西侧地下，采暖锅炉烟道位于0099-08#住宅楼体西侧，可能对相邻楼栋产生噪音等影响。 换热站位于0099-08#住宅楼西侧地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下贴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建锅炉房、0104-03#住宅楼北侧地下车库内，可能对相邻楼栋产生噪音等影响。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3、根据人防疏散的相关规范要求，项目设有人防出入口，1#人防出口位于0099-05#住宅楼体北侧、0099-06#住宅楼体西侧，2#/3#人防出口位于0099-08#住宅楼体南侧， 4#/5#人防出口位于0099-</w:t>
      </w:r>
      <w:r w:rsidR="0065211A">
        <w:rPr>
          <w:rFonts w:ascii="宋体" w:hAnsi="宋体" w:cs="宋体" w:hint="eastAsia"/>
          <w:sz w:val="24"/>
          <w:szCs w:val="24"/>
        </w:rPr>
        <w:t>0</w:t>
      </w:r>
      <w:r w:rsidRPr="00B16782">
        <w:rPr>
          <w:rFonts w:ascii="宋体" w:hAnsi="宋体" w:cs="宋体" w:hint="eastAsia"/>
          <w:sz w:val="24"/>
          <w:szCs w:val="24"/>
        </w:rPr>
        <w:t>9#住宅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楼体西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南侧，6#/7#人防出口位于0104-</w:t>
      </w:r>
      <w:r w:rsidR="0065211A">
        <w:rPr>
          <w:rFonts w:ascii="宋体" w:hAnsi="宋体" w:cs="宋体" w:hint="eastAsia"/>
          <w:sz w:val="24"/>
          <w:szCs w:val="24"/>
        </w:rPr>
        <w:t>0</w:t>
      </w:r>
      <w:r w:rsidRPr="00B16782">
        <w:rPr>
          <w:rFonts w:ascii="宋体" w:hAnsi="宋体" w:cs="宋体" w:hint="eastAsia"/>
          <w:sz w:val="24"/>
          <w:szCs w:val="24"/>
        </w:rPr>
        <w:t>1#住宅楼体南侧，8#/9#人防出口位于0104-</w:t>
      </w:r>
      <w:r w:rsidR="0065211A">
        <w:rPr>
          <w:rFonts w:ascii="宋体" w:hAnsi="宋体" w:cs="宋体" w:hint="eastAsia"/>
          <w:sz w:val="24"/>
          <w:szCs w:val="24"/>
        </w:rPr>
        <w:t>0</w:t>
      </w:r>
      <w:r w:rsidRPr="00B16782">
        <w:rPr>
          <w:rFonts w:ascii="宋体" w:hAnsi="宋体" w:cs="宋体" w:hint="eastAsia"/>
          <w:sz w:val="24"/>
          <w:szCs w:val="24"/>
        </w:rPr>
        <w:t>4#住宅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楼体西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北侧，可能对相邻楼栋产生噪音、视线、采光等影响。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4</w:t>
      </w:r>
      <w:r w:rsidRPr="00B16782">
        <w:rPr>
          <w:rFonts w:ascii="宋体" w:hAnsi="宋体" w:cs="宋体"/>
          <w:sz w:val="24"/>
          <w:szCs w:val="24"/>
        </w:rPr>
        <w:t xml:space="preserve">   </w:t>
      </w:r>
      <w:r w:rsidRPr="00B16782">
        <w:rPr>
          <w:rFonts w:ascii="宋体" w:hAnsi="宋体" w:cs="宋体" w:hint="eastAsia"/>
          <w:sz w:val="24"/>
          <w:szCs w:val="24"/>
        </w:rPr>
        <w:t>项目设有化粪池，共有5处，分别位于0099-03#楼北侧、0099-05#楼南侧、0099-11#楼南侧，0104-01#楼北侧、0104-05#楼东侧，可能对相邻楼栋产生气味等影响。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 xml:space="preserve">5、 </w:t>
      </w:r>
      <w:r w:rsidRPr="00B16782">
        <w:rPr>
          <w:rFonts w:ascii="宋体" w:hAnsi="宋体" w:cs="宋体"/>
          <w:sz w:val="24"/>
          <w:szCs w:val="24"/>
        </w:rPr>
        <w:t xml:space="preserve"> </w:t>
      </w:r>
      <w:r w:rsidRPr="00B16782">
        <w:rPr>
          <w:rFonts w:ascii="宋体" w:hAnsi="宋体" w:cs="宋体" w:hint="eastAsia"/>
          <w:sz w:val="24"/>
          <w:szCs w:val="24"/>
        </w:rPr>
        <w:t>项目设有地下车库车辆出入口5处，0099地块3处,0104地块2处。0099地块中，一处位于0099-01#住宅楼东南侧，一处位于0099-05#住宅楼南侧，一处位于0099-10#住宅楼东侧；0104地块中，一处位于0104-01#住宅楼与0104-S2#配套楼之间西侧，另一处位于0104-03#住宅楼与0104-</w:t>
      </w:r>
      <w:r w:rsidR="0065211A">
        <w:rPr>
          <w:rFonts w:ascii="宋体" w:hAnsi="宋体" w:cs="宋体" w:hint="eastAsia"/>
          <w:sz w:val="24"/>
          <w:szCs w:val="24"/>
        </w:rPr>
        <w:t>0</w:t>
      </w:r>
      <w:r w:rsidRPr="00B16782">
        <w:rPr>
          <w:rFonts w:ascii="宋体" w:hAnsi="宋体" w:cs="宋体" w:hint="eastAsia"/>
          <w:sz w:val="24"/>
          <w:szCs w:val="24"/>
        </w:rPr>
        <w:t>6#住宅楼之间东侧。可能对相邻楼栋产生车辆灯光、噪音、视线等影响。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6、 项目设有小区车行/人行出入口7处，0099地块中，一处位于0099-01#住宅楼南侧，一处位于0099-02#住宅楼北侧、0099-03#住宅楼西侧，一处位于0099-05#住宅楼西南侧，一处位于0099-07#住宅楼东侧、0099-08#</w:t>
      </w:r>
      <w:r w:rsidRPr="00B16782">
        <w:rPr>
          <w:rFonts w:ascii="宋体" w:hAnsi="宋体" w:cs="宋体" w:hint="eastAsia"/>
          <w:sz w:val="24"/>
          <w:szCs w:val="24"/>
        </w:rPr>
        <w:lastRenderedPageBreak/>
        <w:t>住宅楼北侧，一处位于0099-10#住宅楼东侧、0099-11#住宅楼西南侧；0104地块中，一处位于0104-01#住宅楼南侧，另一处位于0104-06#住宅楼北侧。可能对相邻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栋产生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噪音、视线等影响。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7、项目设有小区自行车地库出入口9处，分别位于0099-03#住宅楼西侧，0099-05#住宅楼东侧，0099-06#住宅楼东侧，0099-09#住宅楼东侧，0099-10#住宅楼东侧，0099-11#住宅楼西侧，0104-01#住宅楼东侧，0104-04#住宅楼东侧，0104-05#住宅楼东侧，可能对相邻楼栋产生噪音、灯光、视线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8、为满足社区日常生活需求，项目设有配套商业及其他公共服务设施，其中，0099-S1#配套楼位于0099-03#住宅楼北侧，最近距离约15m。0099-S2#配套楼位于0099-02#住宅楼西北侧，最近距离约9m；0099-01#住宅楼北侧，最近距离约4m。0099-S3#配套楼位于0099-05#住宅楼西北侧，最近距离约9m。0099-S4#配套楼位于0099-10#住宅楼北侧，最近距离约14m。0099-S5#配套楼位于0099-10#住宅楼北侧，最近距离约9m。0104-S1#配套楼位于0104-01#住宅楼北侧，最近距离约11m；位于0104-02#住宅楼西侧，最近距离约10m。0104-S2#配套楼位于0104-05#住宅楼北侧，最近距离约13m。可能对相邻楼栋产生噪音、灯光、视线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9、0104-S2#配套楼内设有公共厕所、再生资源回收站，位于0104-05#住宅楼北侧，可能对相邻楼栋产生噪音、气味等影响。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10、本项目配置部分地上停车位，分别位于0099-10 #住宅楼东南侧，0104-01#住宅楼南侧，可能对相邻楼栋产生噪音、灯光、视线等影响。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11、本期建筑楼内电梯前室、电梯厅、楼梯及楼梯前室设有管道井、强弱电井、消防管道及消火栓可能会对相邻房间产生视线遮挡、噪音及其他不利影响。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12、本项目住宅楼地下部分设有π接室、配电室、弱电间、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热表间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、水表间、风机房等，可能对本楼栋产生不利影响。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13、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贴临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0099-02#东侧，设有出地面风井；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贴临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0099-06#北侧，设有出地面风井；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贴临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0099-09#北侧及东北侧，设有出地面风井；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贴临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0099-11#西北侧，设有出地面风井；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贴临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0104-03#西侧，设有出地面风井；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贴临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0104-04#西侧，设有出地面风井；可能对相邻楼栋产生噪音、视线等影响。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14、本项目规划的给水、中水泵房、消防水泵房及消防水池位于地下车库。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lastRenderedPageBreak/>
        <w:t>15、本项目地上配置2处分界室、地下配置6处变配电室。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分界室贴建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0099-S3#配套楼北侧、0104-S2#配套楼南侧；变配电室位于0099-01#南侧、0099-02#东侧、0099-05#南侧、0099-07#南侧、0104-01#东北侧、0104-05#西北侧地下车库内，可能对相邻楼栋产生噪音等影响。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16、本项目在0099-11#住宅楼东侧地上设置有燃气调压箱，可能对相邻楼栋产生影响。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17、本项目在0099-03#住宅楼北侧、0099-11#住宅楼东侧、0104-02#住宅楼北侧、0104-06#住宅楼南侧设置有雨水调蓄池。</w:t>
      </w:r>
    </w:p>
    <w:p w:rsidR="00C6385C" w:rsidRPr="00B16782" w:rsidRDefault="00C6385C" w:rsidP="00C81555">
      <w:pPr>
        <w:spacing w:line="360" w:lineRule="auto"/>
        <w:ind w:leftChars="99" w:left="446" w:hangingChars="99" w:hanging="23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18、特别说明：以上本项目红线内情况和不利因素的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相关信信息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是基于政府批准的规划和设计方案，如果因规划、设计调整而导致的信息变化，以政府批准的规划和设计方案及交付时现状为准。因此，本公司列出以上信息不意味着本公司对此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作出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了任何承诺或保证。上述信息发生变化时，本公司不再另行通知或公示。</w:t>
      </w:r>
    </w:p>
    <w:p w:rsidR="00C6385C" w:rsidRPr="00B16782" w:rsidRDefault="00C6385C" w:rsidP="00C8155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200" w:firstLine="472"/>
        <w:rPr>
          <w:rFonts w:ascii="宋体" w:hAnsi="宋体"/>
          <w:spacing w:val="-2"/>
          <w:sz w:val="24"/>
          <w:szCs w:val="24"/>
          <w:lang w:val="zh-CN"/>
        </w:rPr>
      </w:pPr>
    </w:p>
    <w:p w:rsidR="00C6385C" w:rsidRPr="00B16782" w:rsidRDefault="00C6385C" w:rsidP="00C8155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360" w:lineRule="auto"/>
        <w:ind w:firstLineChars="200" w:firstLine="474"/>
        <w:rPr>
          <w:rFonts w:ascii="宋体" w:hAnsi="宋体"/>
          <w:b/>
          <w:bCs/>
          <w:spacing w:val="-2"/>
          <w:sz w:val="24"/>
          <w:szCs w:val="24"/>
        </w:rPr>
      </w:pPr>
      <w:r w:rsidRPr="00B16782">
        <w:rPr>
          <w:rFonts w:ascii="宋体" w:hAnsi="宋体" w:hint="eastAsia"/>
          <w:b/>
          <w:bCs/>
          <w:spacing w:val="-2"/>
          <w:sz w:val="24"/>
          <w:szCs w:val="24"/>
          <w:lang w:val="zh-CN"/>
        </w:rPr>
        <w:t>二、红线外不利因素</w:t>
      </w:r>
      <w:r w:rsidRPr="00B16782">
        <w:rPr>
          <w:rFonts w:ascii="宋体" w:hAnsi="宋体" w:hint="eastAsia"/>
          <w:b/>
          <w:bCs/>
          <w:spacing w:val="-2"/>
          <w:sz w:val="24"/>
          <w:szCs w:val="24"/>
        </w:rPr>
        <w:t xml:space="preserve">   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jc w:val="left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甲方对本项目红线外周边环境因素作提示如下：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jc w:val="left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1．本项目0099地块东侧、0104地块西侧、南侧有规划公园绿地，0104地块东侧规划为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待深入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研究用地，后期城市规划可能对此用地做调整。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2、本项目立项时所在地位于首都机场飞机航道，本项目临近地铁亦庄线，上述因素可能对本项目产生噪声或振动影响。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3、本项目红线外目前尚未建设但规划有：地铁17号线、地块东北侧生态公园西路、北侧太平祥瑞路、西侧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亦庄北小营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东路、南侧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太平龙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腾路、东侧</w:t>
      </w:r>
      <w:proofErr w:type="gramStart"/>
      <w:r w:rsidRPr="00B16782">
        <w:rPr>
          <w:rFonts w:ascii="宋体" w:hAnsi="宋体" w:cs="宋体" w:hint="eastAsia"/>
          <w:sz w:val="24"/>
          <w:szCs w:val="24"/>
        </w:rPr>
        <w:t>太平裕丰路</w:t>
      </w:r>
      <w:proofErr w:type="gramEnd"/>
      <w:r w:rsidRPr="00B16782">
        <w:rPr>
          <w:rFonts w:ascii="宋体" w:hAnsi="宋体" w:cs="宋体" w:hint="eastAsia"/>
          <w:sz w:val="24"/>
          <w:szCs w:val="24"/>
        </w:rPr>
        <w:t>和中部太平顺兴路，上述因素可能对本项目产生噪声或振动影响。</w:t>
      </w:r>
    </w:p>
    <w:p w:rsidR="00C6385C" w:rsidRPr="00B16782" w:rsidRDefault="00C6385C" w:rsidP="00C81555">
      <w:pPr>
        <w:snapToGrid w:val="0"/>
        <w:spacing w:line="360" w:lineRule="auto"/>
        <w:ind w:leftChars="103" w:left="694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4、本项目红线外今后可能存在政府新规划的建筑、设施。</w:t>
      </w:r>
    </w:p>
    <w:p w:rsidR="00C6385C" w:rsidRPr="00B16782" w:rsidRDefault="00C6385C" w:rsidP="00C81555">
      <w:pPr>
        <w:spacing w:line="360" w:lineRule="auto"/>
        <w:ind w:leftChars="103" w:left="695" w:hangingChars="199" w:hanging="479"/>
        <w:rPr>
          <w:rFonts w:ascii="宋体" w:hAnsi="宋体" w:cs="宋体"/>
          <w:b/>
          <w:bCs/>
          <w:sz w:val="24"/>
          <w:szCs w:val="24"/>
        </w:rPr>
      </w:pPr>
      <w:r w:rsidRPr="00B16782">
        <w:rPr>
          <w:rFonts w:ascii="宋体" w:hAnsi="宋体" w:cs="宋体" w:hint="eastAsia"/>
          <w:b/>
          <w:bCs/>
          <w:sz w:val="24"/>
          <w:szCs w:val="24"/>
        </w:rPr>
        <w:t>5、特别说明：</w:t>
      </w:r>
    </w:p>
    <w:p w:rsidR="00C6385C" w:rsidRPr="00B16782" w:rsidRDefault="00C6385C" w:rsidP="00C81555">
      <w:pPr>
        <w:spacing w:line="360" w:lineRule="auto"/>
        <w:ind w:left="478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（1）以上本项目红线外的不利因素的相关信息，是基于政府现在批准的规划及设计方案，属甲方无法控制的因素。如因规划及设计方案变更导致信息变化的，最终以政府的规划及设计方案为准，甲方不承担任何责任，且甲方无需另行通知和提示乙方。</w:t>
      </w:r>
    </w:p>
    <w:p w:rsidR="00C6385C" w:rsidRPr="00B16782" w:rsidRDefault="00C6385C" w:rsidP="00C81555">
      <w:pPr>
        <w:spacing w:line="360" w:lineRule="auto"/>
        <w:ind w:left="478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（2）本项目红线以外的建筑、设施在建设过程中可能会对本项目产生噪声、空</w:t>
      </w:r>
      <w:r w:rsidRPr="00B16782">
        <w:rPr>
          <w:rFonts w:ascii="宋体" w:hAnsi="宋体" w:cs="宋体" w:hint="eastAsia"/>
          <w:sz w:val="24"/>
          <w:szCs w:val="24"/>
        </w:rPr>
        <w:lastRenderedPageBreak/>
        <w:t>气、景观、交通等方面的影响，乙方应当根据自身居住习惯及自身购房的需求加以关注。</w:t>
      </w:r>
    </w:p>
    <w:p w:rsidR="00C6385C" w:rsidRPr="00FE46E3" w:rsidRDefault="00C6385C" w:rsidP="00C81555">
      <w:pPr>
        <w:spacing w:line="360" w:lineRule="auto"/>
        <w:ind w:left="478" w:hangingChars="199" w:hanging="478"/>
        <w:rPr>
          <w:rFonts w:ascii="宋体" w:hAnsi="宋体" w:cs="宋体"/>
          <w:sz w:val="24"/>
          <w:szCs w:val="24"/>
        </w:rPr>
      </w:pPr>
      <w:r w:rsidRPr="00B16782">
        <w:rPr>
          <w:rFonts w:ascii="宋体" w:hAnsi="宋体" w:cs="宋体" w:hint="eastAsia"/>
          <w:sz w:val="24"/>
          <w:szCs w:val="24"/>
        </w:rPr>
        <w:t>（3）本项目红线外的不利因素旨在帮助乙方了解购房的相关注意事项，并不构成正式的权利与义务的承诺与约束，如出现其内容与相关法律法规及实际状况等不一致的情况，应以预售合同及附件十三补充协议的约定为准，乙方不得因本项目红线外不利因素向甲方主张任何权利。</w:t>
      </w:r>
    </w:p>
    <w:p w:rsidR="00180BBA" w:rsidRPr="00FE46E3" w:rsidRDefault="00180BBA" w:rsidP="00C81555">
      <w:pPr>
        <w:spacing w:line="360" w:lineRule="auto"/>
      </w:pPr>
    </w:p>
    <w:sectPr w:rsidR="00180BBA" w:rsidRPr="00FE46E3" w:rsidSect="0018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3D" w:rsidRDefault="0045553D" w:rsidP="00C6385C">
      <w:r>
        <w:separator/>
      </w:r>
    </w:p>
  </w:endnote>
  <w:endnote w:type="continuationSeparator" w:id="0">
    <w:p w:rsidR="0045553D" w:rsidRDefault="0045553D" w:rsidP="00C6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3D" w:rsidRDefault="0045553D" w:rsidP="00C6385C">
      <w:r>
        <w:separator/>
      </w:r>
    </w:p>
  </w:footnote>
  <w:footnote w:type="continuationSeparator" w:id="0">
    <w:p w:rsidR="0045553D" w:rsidRDefault="0045553D" w:rsidP="00C63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85C"/>
    <w:rsid w:val="00180BBA"/>
    <w:rsid w:val="001F5B5C"/>
    <w:rsid w:val="002C41EE"/>
    <w:rsid w:val="002D4686"/>
    <w:rsid w:val="0045553D"/>
    <w:rsid w:val="00497F10"/>
    <w:rsid w:val="004B35D6"/>
    <w:rsid w:val="004D4734"/>
    <w:rsid w:val="0065211A"/>
    <w:rsid w:val="006C4D51"/>
    <w:rsid w:val="00751F99"/>
    <w:rsid w:val="00AA7E67"/>
    <w:rsid w:val="00B12227"/>
    <w:rsid w:val="00B16782"/>
    <w:rsid w:val="00B25FC3"/>
    <w:rsid w:val="00BF62F5"/>
    <w:rsid w:val="00C245C0"/>
    <w:rsid w:val="00C6385C"/>
    <w:rsid w:val="00C81555"/>
    <w:rsid w:val="00E105E3"/>
    <w:rsid w:val="00E60645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8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8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liyinping</dc:creator>
  <cp:keywords/>
  <dc:description/>
  <cp:lastModifiedBy>liyinping</cp:lastModifiedBy>
  <cp:revision>10</cp:revision>
  <dcterms:created xsi:type="dcterms:W3CDTF">2020-03-27T06:25:00Z</dcterms:created>
  <dcterms:modified xsi:type="dcterms:W3CDTF">2021-11-29T02:51:00Z</dcterms:modified>
</cp:coreProperties>
</file>