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中央生态环境保护督察整改情况公示表</w:t>
      </w:r>
    </w:p>
    <w:bookmarkEnd w:id="0"/>
    <w:p>
      <w:pPr>
        <w:spacing w:line="560" w:lineRule="exact"/>
        <w:jc w:val="center"/>
        <w:rPr>
          <w:rFonts w:ascii="方正小标宋简体" w:hAnsi="方正小标宋简体" w:eastAsia="方正小标宋简体" w:cs="方正小标宋简体"/>
          <w:sz w:val="28"/>
          <w:szCs w:val="28"/>
        </w:rPr>
      </w:pPr>
    </w:p>
    <w:tbl>
      <w:tblPr>
        <w:tblStyle w:val="5"/>
        <w:tblW w:w="0" w:type="auto"/>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2080"/>
        <w:gridCol w:w="1224"/>
        <w:gridCol w:w="5217"/>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93" w:hRule="atLeast"/>
          <w:jc w:val="center"/>
        </w:trPr>
        <w:tc>
          <w:tcPr>
            <w:tcW w:w="2080" w:type="dxa"/>
            <w:vMerge w:val="restart"/>
            <w:tcBorders>
              <w:top w:val="single" w:color="auto" w:sz="8" w:space="0"/>
              <w:left w:val="single" w:color="auto" w:sz="8" w:space="0"/>
              <w:right w:val="single" w:color="auto" w:sz="8" w:space="0"/>
            </w:tcBorders>
            <w:noWrap w:val="0"/>
            <w:tcMar>
              <w:left w:w="108" w:type="dxa"/>
              <w:right w:w="108" w:type="dxa"/>
            </w:tcMar>
            <w:vAlign w:val="center"/>
          </w:tcPr>
          <w:p>
            <w:pPr>
              <w:snapToGrid w:val="0"/>
              <w:jc w:val="center"/>
              <w:rPr>
                <w:rFonts w:ascii="黑体" w:hAnsi="黑体" w:eastAsia="黑体" w:cs="黑体"/>
                <w:sz w:val="24"/>
              </w:rPr>
            </w:pPr>
            <w:r>
              <w:rPr>
                <w:rFonts w:hint="eastAsia" w:ascii="黑体" w:hAnsi="黑体" w:eastAsia="黑体" w:cs="黑体"/>
                <w:sz w:val="24"/>
              </w:rPr>
              <w:t>整改任务</w:t>
            </w:r>
          </w:p>
        </w:tc>
        <w:tc>
          <w:tcPr>
            <w:tcW w:w="1224" w:type="dxa"/>
            <w:tcBorders>
              <w:top w:val="single" w:color="auto" w:sz="8" w:space="0"/>
              <w:left w:val="nil"/>
              <w:bottom w:val="single" w:color="auto" w:sz="8" w:space="0"/>
              <w:right w:val="single" w:color="auto" w:sz="8" w:space="0"/>
            </w:tcBorders>
            <w:noWrap w:val="0"/>
            <w:tcMar>
              <w:left w:w="108" w:type="dxa"/>
              <w:right w:w="108" w:type="dxa"/>
            </w:tcMar>
            <w:vAlign w:val="center"/>
          </w:tcPr>
          <w:p>
            <w:pPr>
              <w:snapToGrid w:val="0"/>
              <w:jc w:val="center"/>
              <w:rPr>
                <w:rFonts w:ascii="黑体" w:hAnsi="黑体" w:eastAsia="黑体" w:cs="黑体"/>
                <w:sz w:val="24"/>
              </w:rPr>
            </w:pPr>
            <w:r>
              <w:rPr>
                <w:rFonts w:hint="eastAsia" w:ascii="黑体" w:hAnsi="黑体" w:eastAsia="黑体" w:cs="黑体"/>
                <w:sz w:val="24"/>
              </w:rPr>
              <w:t>任务编号</w:t>
            </w:r>
          </w:p>
        </w:tc>
        <w:tc>
          <w:tcPr>
            <w:tcW w:w="5217" w:type="dxa"/>
            <w:tcBorders>
              <w:top w:val="single" w:color="auto" w:sz="8" w:space="0"/>
              <w:left w:val="nil"/>
              <w:bottom w:val="single" w:color="auto" w:sz="8" w:space="0"/>
              <w:right w:val="single" w:color="auto" w:sz="8" w:space="0"/>
            </w:tcBorders>
            <w:noWrap w:val="0"/>
            <w:tcMar>
              <w:left w:w="108" w:type="dxa"/>
              <w:right w:w="108" w:type="dxa"/>
            </w:tcMar>
            <w:vAlign w:val="center"/>
          </w:tcPr>
          <w:p>
            <w:pPr>
              <w:overflowPunct w:val="0"/>
              <w:topLinePunct/>
              <w:spacing w:beforeAutospacing="1" w:afterAutospacing="1"/>
              <w:jc w:val="center"/>
              <w:rPr>
                <w:rFonts w:ascii="黑体" w:hAnsi="黑体" w:eastAsia="黑体" w:cs="黑体"/>
                <w:color w:val="595959"/>
                <w:kern w:val="0"/>
                <w:sz w:val="24"/>
              </w:rPr>
            </w:pPr>
            <w:r>
              <w:rPr>
                <w:rFonts w:hint="eastAsia" w:ascii="黑体" w:hAnsi="黑体" w:eastAsia="黑体" w:cs="黑体"/>
                <w:sz w:val="24"/>
              </w:rPr>
              <w:t>市级方案第</w:t>
            </w:r>
            <w:r>
              <w:rPr>
                <w:rFonts w:hint="eastAsia" w:ascii="黑体" w:hAnsi="黑体" w:eastAsia="黑体" w:cs="黑体"/>
                <w:sz w:val="24"/>
                <w:lang w:val="en-US" w:eastAsia="zh-CN"/>
              </w:rPr>
              <w:t>35</w:t>
            </w:r>
            <w:r>
              <w:rPr>
                <w:rFonts w:hint="eastAsia" w:ascii="黑体" w:hAnsi="黑体" w:eastAsia="黑体" w:cs="黑体"/>
                <w:sz w:val="24"/>
              </w:rPr>
              <w:t>项</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93" w:hRule="atLeast"/>
          <w:jc w:val="center"/>
        </w:trPr>
        <w:tc>
          <w:tcPr>
            <w:tcW w:w="2080" w:type="dxa"/>
            <w:vMerge w:val="continue"/>
            <w:tcBorders>
              <w:left w:val="single" w:color="auto" w:sz="8" w:space="0"/>
              <w:bottom w:val="single" w:color="auto" w:sz="8" w:space="0"/>
              <w:right w:val="single" w:color="auto" w:sz="8" w:space="0"/>
            </w:tcBorders>
            <w:noWrap w:val="0"/>
            <w:tcMar>
              <w:left w:w="108" w:type="dxa"/>
              <w:right w:w="108" w:type="dxa"/>
            </w:tcMar>
            <w:vAlign w:val="center"/>
          </w:tcPr>
          <w:p>
            <w:pPr>
              <w:overflowPunct w:val="0"/>
              <w:topLinePunct/>
              <w:spacing w:beforeAutospacing="1" w:afterAutospacing="1"/>
              <w:jc w:val="center"/>
              <w:rPr>
                <w:rFonts w:ascii="黑体" w:hAnsi="黑体" w:eastAsia="黑体" w:cs="黑体"/>
              </w:rPr>
            </w:pPr>
          </w:p>
        </w:tc>
        <w:tc>
          <w:tcPr>
            <w:tcW w:w="1224" w:type="dxa"/>
            <w:tcBorders>
              <w:top w:val="single" w:color="auto" w:sz="8" w:space="0"/>
              <w:left w:val="nil"/>
              <w:bottom w:val="single" w:color="auto" w:sz="8" w:space="0"/>
              <w:right w:val="single" w:color="auto" w:sz="8" w:space="0"/>
            </w:tcBorders>
            <w:noWrap w:val="0"/>
            <w:tcMar>
              <w:left w:w="108" w:type="dxa"/>
              <w:right w:w="108" w:type="dxa"/>
            </w:tcMar>
            <w:vAlign w:val="center"/>
          </w:tcPr>
          <w:p>
            <w:pPr>
              <w:overflowPunct w:val="0"/>
              <w:topLinePunct/>
              <w:spacing w:beforeAutospacing="1" w:afterAutospacing="1"/>
              <w:jc w:val="center"/>
              <w:rPr>
                <w:rFonts w:ascii="黑体" w:hAnsi="黑体" w:eastAsia="黑体" w:cs="黑体"/>
              </w:rPr>
            </w:pPr>
            <w:r>
              <w:rPr>
                <w:rFonts w:hint="eastAsia" w:ascii="黑体" w:hAnsi="黑体" w:eastAsia="黑体" w:cs="黑体"/>
                <w:sz w:val="24"/>
              </w:rPr>
              <w:t>问题概述</w:t>
            </w:r>
          </w:p>
        </w:tc>
        <w:tc>
          <w:tcPr>
            <w:tcW w:w="5217" w:type="dxa"/>
            <w:tcBorders>
              <w:top w:val="single" w:color="auto" w:sz="8" w:space="0"/>
              <w:left w:val="nil"/>
              <w:bottom w:val="single" w:color="auto" w:sz="8" w:space="0"/>
              <w:right w:val="single" w:color="auto" w:sz="8" w:space="0"/>
            </w:tcBorders>
            <w:noWrap w:val="0"/>
            <w:tcMar>
              <w:left w:w="108" w:type="dxa"/>
              <w:right w:w="108" w:type="dxa"/>
            </w:tcMar>
            <w:vAlign w:val="center"/>
          </w:tcPr>
          <w:p>
            <w:pPr>
              <w:overflowPunct w:val="0"/>
              <w:topLinePunct/>
              <w:spacing w:beforeAutospacing="1" w:afterAutospacing="1"/>
              <w:jc w:val="center"/>
              <w:rPr>
                <w:rFonts w:ascii="黑体" w:hAnsi="黑体" w:eastAsia="黑体" w:cs="黑体"/>
                <w:color w:val="595959"/>
                <w:kern w:val="0"/>
                <w:sz w:val="36"/>
                <w:szCs w:val="36"/>
              </w:rPr>
            </w:pPr>
            <w:r>
              <w:rPr>
                <w:rFonts w:hint="eastAsia" w:ascii="仿宋_GB2312" w:hAnsi="Times New Roman" w:eastAsia="仿宋_GB2312" w:cs="Times New Roman"/>
                <w:szCs w:val="32"/>
                <w:lang w:val="en-US" w:eastAsia="zh-CN"/>
              </w:rPr>
              <w:t>饮用水水源地管理仍有薄弱环节。全市“千吨万人”规模以上乡镇水源地尚有15个未完成“划、立、治”，保护区划定率低于全国平均水平，且水源地保护区划定工作存在疏漏</w:t>
            </w:r>
            <w:r>
              <w:rPr>
                <w:rFonts w:hint="eastAsia" w:ascii="仿宋_GB2312" w:eastAsia="仿宋_GB2312"/>
                <w:szCs w:val="32"/>
                <w:lang w:val="en-US" w:eastAsia="zh-CN"/>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99" w:hRule="atLeast"/>
          <w:jc w:val="center"/>
        </w:trPr>
        <w:tc>
          <w:tcPr>
            <w:tcW w:w="2080" w:type="dxa"/>
            <w:tcBorders>
              <w:top w:val="nil"/>
              <w:left w:val="single" w:color="auto" w:sz="8" w:space="0"/>
              <w:bottom w:val="single" w:color="auto" w:sz="8" w:space="0"/>
              <w:right w:val="single" w:color="auto" w:sz="8" w:space="0"/>
            </w:tcBorders>
            <w:noWrap w:val="0"/>
            <w:tcMar>
              <w:left w:w="108" w:type="dxa"/>
              <w:right w:w="108" w:type="dxa"/>
            </w:tcMar>
            <w:vAlign w:val="center"/>
          </w:tcPr>
          <w:p>
            <w:pPr>
              <w:snapToGrid w:val="0"/>
              <w:jc w:val="center"/>
              <w:rPr>
                <w:rFonts w:ascii="黑体" w:hAnsi="黑体" w:eastAsia="黑体" w:cs="黑体"/>
                <w:sz w:val="24"/>
              </w:rPr>
            </w:pPr>
            <w:r>
              <w:rPr>
                <w:rFonts w:hint="eastAsia" w:ascii="黑体" w:hAnsi="黑体" w:eastAsia="黑体" w:cs="黑体"/>
                <w:sz w:val="24"/>
              </w:rPr>
              <w:t>责任单位</w:t>
            </w:r>
          </w:p>
        </w:tc>
        <w:tc>
          <w:tcPr>
            <w:tcW w:w="6441" w:type="dxa"/>
            <w:gridSpan w:val="2"/>
            <w:tcBorders>
              <w:top w:val="nil"/>
              <w:left w:val="nil"/>
              <w:bottom w:val="single" w:color="auto" w:sz="8" w:space="0"/>
              <w:right w:val="single" w:color="auto" w:sz="8" w:space="0"/>
            </w:tcBorders>
            <w:noWrap w:val="0"/>
            <w:tcMar>
              <w:left w:w="108" w:type="dxa"/>
              <w:right w:w="108" w:type="dxa"/>
            </w:tcMar>
            <w:vAlign w:val="center"/>
          </w:tcPr>
          <w:p>
            <w:pPr>
              <w:overflowPunct w:val="0"/>
              <w:topLinePunct/>
              <w:spacing w:beforeAutospacing="1" w:afterAutospacing="1"/>
              <w:jc w:val="left"/>
              <w:rPr>
                <w:rFonts w:hint="eastAsia" w:ascii="黑体" w:hAnsi="黑体" w:eastAsia="黑体" w:cs="黑体"/>
                <w:lang w:eastAsia="zh-CN"/>
              </w:rPr>
            </w:pPr>
            <w:r>
              <w:rPr>
                <w:rFonts w:hint="eastAsia" w:ascii="黑体" w:hAnsi="黑体" w:eastAsia="黑体" w:cs="黑体"/>
                <w:lang w:eastAsia="zh-CN"/>
              </w:rPr>
              <w:t>通州区水务局</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843" w:hRule="atLeast"/>
          <w:jc w:val="center"/>
        </w:trPr>
        <w:tc>
          <w:tcPr>
            <w:tcW w:w="2080" w:type="dxa"/>
            <w:tcBorders>
              <w:top w:val="nil"/>
              <w:left w:val="single" w:color="auto" w:sz="8" w:space="0"/>
              <w:bottom w:val="single" w:color="auto" w:sz="8" w:space="0"/>
              <w:right w:val="single" w:color="auto" w:sz="8" w:space="0"/>
            </w:tcBorders>
            <w:noWrap w:val="0"/>
            <w:tcMar>
              <w:left w:w="108" w:type="dxa"/>
              <w:right w:w="108" w:type="dxa"/>
            </w:tcMar>
            <w:vAlign w:val="center"/>
          </w:tcPr>
          <w:p>
            <w:pPr>
              <w:snapToGrid w:val="0"/>
              <w:jc w:val="center"/>
              <w:rPr>
                <w:rFonts w:ascii="黑体" w:hAnsi="黑体" w:eastAsia="黑体" w:cs="黑体"/>
                <w:sz w:val="24"/>
              </w:rPr>
            </w:pPr>
            <w:r>
              <w:rPr>
                <w:rFonts w:hint="eastAsia" w:ascii="黑体" w:hAnsi="黑体" w:eastAsia="黑体" w:cs="黑体"/>
                <w:sz w:val="24"/>
              </w:rPr>
              <w:t>整改目标</w:t>
            </w:r>
          </w:p>
        </w:tc>
        <w:tc>
          <w:tcPr>
            <w:tcW w:w="6441" w:type="dxa"/>
            <w:gridSpan w:val="2"/>
            <w:tcBorders>
              <w:top w:val="nil"/>
              <w:left w:val="nil"/>
              <w:bottom w:val="single" w:color="auto" w:sz="8" w:space="0"/>
              <w:right w:val="single" w:color="auto" w:sz="8" w:space="0"/>
            </w:tcBorders>
            <w:noWrap w:val="0"/>
            <w:tcMar>
              <w:left w:w="108" w:type="dxa"/>
              <w:right w:w="108" w:type="dxa"/>
            </w:tcMar>
            <w:vAlign w:val="center"/>
          </w:tcPr>
          <w:p>
            <w:pPr>
              <w:overflowPunct w:val="0"/>
              <w:topLinePunct/>
              <w:spacing w:beforeAutospacing="1" w:afterAutospacing="1"/>
              <w:jc w:val="center"/>
              <w:rPr>
                <w:rFonts w:ascii="黑体" w:hAnsi="黑体" w:eastAsia="黑体" w:cs="黑体"/>
              </w:rPr>
            </w:pPr>
            <w:r>
              <w:rPr>
                <w:rFonts w:hint="eastAsia" w:ascii="Times New Roman" w:hAnsi="Times New Roman" w:eastAsia="宋体" w:cs="Times New Roman"/>
                <w:b w:val="0"/>
                <w:bCs w:val="0"/>
                <w:iCs w:val="0"/>
                <w:kern w:val="2"/>
                <w:sz w:val="21"/>
                <w:szCs w:val="24"/>
                <w:lang w:val="en-US" w:eastAsia="zh-CN" w:bidi="ar-SA"/>
              </w:rPr>
              <w:t>完成15个“千吨万人”规模以上乡镇水源地的“划、立、治”工作，根据市级要求建立重要饮用水水源地名录</w:t>
            </w:r>
            <w:r>
              <w:rPr>
                <w:rFonts w:hint="eastAsia" w:ascii="Times New Roman" w:hAnsi="Times New Roman" w:cs="Times New Roman"/>
                <w:b w:val="0"/>
                <w:bCs w:val="0"/>
                <w:iCs w:val="0"/>
                <w:kern w:val="2"/>
                <w:sz w:val="21"/>
                <w:szCs w:val="24"/>
                <w:lang w:val="en-US" w:eastAsia="zh-CN" w:bidi="ar-SA"/>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753" w:hRule="atLeast"/>
          <w:jc w:val="center"/>
        </w:trPr>
        <w:tc>
          <w:tcPr>
            <w:tcW w:w="2080" w:type="dxa"/>
            <w:tcBorders>
              <w:top w:val="nil"/>
              <w:left w:val="single" w:color="auto" w:sz="8" w:space="0"/>
              <w:bottom w:val="single" w:color="auto" w:sz="8" w:space="0"/>
              <w:right w:val="single" w:color="auto" w:sz="8" w:space="0"/>
            </w:tcBorders>
            <w:noWrap w:val="0"/>
            <w:tcMar>
              <w:left w:w="108" w:type="dxa"/>
              <w:right w:w="108" w:type="dxa"/>
            </w:tcMar>
            <w:vAlign w:val="center"/>
          </w:tcPr>
          <w:p>
            <w:pPr>
              <w:snapToGrid w:val="0"/>
              <w:jc w:val="center"/>
              <w:rPr>
                <w:rFonts w:ascii="黑体" w:hAnsi="黑体" w:eastAsia="黑体" w:cs="黑体"/>
                <w:sz w:val="24"/>
              </w:rPr>
            </w:pPr>
            <w:r>
              <w:rPr>
                <w:rFonts w:hint="eastAsia" w:ascii="黑体" w:hAnsi="黑体" w:eastAsia="黑体" w:cs="黑体"/>
                <w:sz w:val="24"/>
              </w:rPr>
              <w:t>整改措施</w:t>
            </w:r>
          </w:p>
        </w:tc>
        <w:tc>
          <w:tcPr>
            <w:tcW w:w="6441" w:type="dxa"/>
            <w:gridSpan w:val="2"/>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b w:val="0"/>
                <w:bCs w:val="0"/>
                <w:iCs w:val="0"/>
                <w:kern w:val="2"/>
                <w:sz w:val="21"/>
                <w:szCs w:val="24"/>
                <w:lang w:val="en-US" w:eastAsia="zh-CN" w:bidi="ar-SA"/>
              </w:rPr>
            </w:pPr>
            <w:r>
              <w:rPr>
                <w:rFonts w:hint="eastAsia" w:ascii="Times New Roman" w:hAnsi="Times New Roman" w:cs="Times New Roman"/>
                <w:b w:val="0"/>
                <w:bCs w:val="0"/>
                <w:iCs w:val="0"/>
                <w:kern w:val="2"/>
                <w:sz w:val="21"/>
                <w:szCs w:val="24"/>
                <w:lang w:val="en-US" w:eastAsia="zh-CN" w:bidi="ar-SA"/>
              </w:rPr>
              <w:t>1.</w:t>
            </w:r>
            <w:r>
              <w:rPr>
                <w:rFonts w:hint="eastAsia" w:ascii="Times New Roman" w:hAnsi="Times New Roman" w:eastAsia="宋体" w:cs="Times New Roman"/>
                <w:b w:val="0"/>
                <w:bCs w:val="0"/>
                <w:iCs w:val="0"/>
                <w:kern w:val="2"/>
                <w:sz w:val="21"/>
                <w:szCs w:val="24"/>
                <w:lang w:val="en-US" w:eastAsia="zh-CN" w:bidi="ar-SA"/>
              </w:rPr>
              <w:t>已完成2个乡镇级及25个乡镇级以下“千吨万人”水源地保护区划定并取得市政府批复文件；推进“千吨万人”水源地保护区标志牌设立工作，做好标志牌日常维护。</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b w:val="0"/>
                <w:bCs w:val="0"/>
                <w:iCs w:val="0"/>
                <w:kern w:val="2"/>
                <w:sz w:val="21"/>
                <w:szCs w:val="24"/>
                <w:lang w:val="en-US" w:eastAsia="zh-CN" w:bidi="ar-SA"/>
              </w:rPr>
            </w:pPr>
            <w:r>
              <w:rPr>
                <w:rFonts w:hint="eastAsia" w:ascii="Times New Roman" w:hAnsi="Times New Roman" w:cs="Times New Roman"/>
                <w:b w:val="0"/>
                <w:bCs w:val="0"/>
                <w:iCs w:val="0"/>
                <w:kern w:val="2"/>
                <w:sz w:val="21"/>
                <w:szCs w:val="24"/>
                <w:lang w:val="en-US" w:eastAsia="zh-CN" w:bidi="ar-SA"/>
              </w:rPr>
              <w:t>2.</w:t>
            </w:r>
            <w:r>
              <w:rPr>
                <w:rFonts w:hint="eastAsia" w:ascii="Times New Roman" w:hAnsi="Times New Roman" w:eastAsia="宋体" w:cs="Times New Roman"/>
                <w:b w:val="0"/>
                <w:bCs w:val="0"/>
                <w:iCs w:val="0"/>
                <w:kern w:val="2"/>
                <w:sz w:val="21"/>
                <w:szCs w:val="24"/>
                <w:lang w:val="en-US" w:eastAsia="zh-CN" w:bidi="ar-SA"/>
              </w:rPr>
              <w:t>为加强饮用水水源地管理，提升饮用水水源规范化水平，对上述饮用水水源地设立保护区标志。排查上述饮用水水源保护区范围内是否存在排污口等影响水源地水质的环境违法问题，因地制宜开展清理整治，确保水源地水质安全。</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宋体" w:cs="Times New Roman"/>
                <w:b w:val="0"/>
                <w:bCs w:val="0"/>
                <w:iCs w:val="0"/>
                <w:kern w:val="2"/>
                <w:sz w:val="21"/>
                <w:szCs w:val="24"/>
                <w:lang w:val="en-US" w:eastAsia="zh-CN" w:bidi="ar-SA"/>
              </w:rPr>
            </w:pPr>
            <w:r>
              <w:rPr>
                <w:rFonts w:hint="eastAsia" w:ascii="Times New Roman" w:hAnsi="Times New Roman" w:cs="Times New Roman"/>
                <w:b w:val="0"/>
                <w:bCs w:val="0"/>
                <w:iCs w:val="0"/>
                <w:kern w:val="2"/>
                <w:sz w:val="21"/>
                <w:szCs w:val="24"/>
                <w:lang w:val="en-US" w:eastAsia="zh-CN" w:bidi="ar-SA"/>
              </w:rPr>
              <w:t>3.</w:t>
            </w:r>
            <w:r>
              <w:rPr>
                <w:rFonts w:hint="eastAsia" w:ascii="Times New Roman" w:hAnsi="Times New Roman" w:eastAsia="宋体" w:cs="Times New Roman"/>
                <w:b w:val="0"/>
                <w:bCs w:val="0"/>
                <w:iCs w:val="0"/>
                <w:kern w:val="2"/>
                <w:sz w:val="21"/>
                <w:szCs w:val="24"/>
                <w:lang w:val="en-US" w:eastAsia="zh-CN" w:bidi="ar-SA"/>
              </w:rPr>
              <w:t>启动源水监测。对已划定保护区水源源水开展监督性监测，为保障供水水质提供数据支撑。</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ascii="黑体" w:hAnsi="黑体" w:eastAsia="黑体" w:cs="黑体"/>
              </w:rPr>
            </w:pPr>
            <w:r>
              <w:rPr>
                <w:rFonts w:hint="eastAsia" w:ascii="Times New Roman" w:hAnsi="Times New Roman" w:cs="Times New Roman"/>
                <w:b w:val="0"/>
                <w:bCs w:val="0"/>
                <w:iCs w:val="0"/>
                <w:kern w:val="2"/>
                <w:sz w:val="21"/>
                <w:szCs w:val="24"/>
                <w:lang w:val="en-US" w:eastAsia="zh-CN" w:bidi="ar-SA"/>
              </w:rPr>
              <w:t>4.</w:t>
            </w:r>
            <w:r>
              <w:rPr>
                <w:rFonts w:hint="eastAsia" w:ascii="Times New Roman" w:hAnsi="Times New Roman" w:eastAsia="宋体" w:cs="Times New Roman"/>
                <w:b w:val="0"/>
                <w:bCs w:val="0"/>
                <w:iCs w:val="0"/>
                <w:kern w:val="2"/>
                <w:sz w:val="21"/>
                <w:szCs w:val="24"/>
                <w:lang w:val="en-US" w:eastAsia="zh-CN" w:bidi="ar-SA"/>
              </w:rPr>
              <w:t>根据市级要求建立重要饮用水水源地名录，持续提升规范化运行管理水平。</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2493" w:hRule="atLeast"/>
          <w:jc w:val="center"/>
        </w:trPr>
        <w:tc>
          <w:tcPr>
            <w:tcW w:w="208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snapToGrid w:val="0"/>
              <w:jc w:val="center"/>
              <w:rPr>
                <w:rFonts w:ascii="黑体" w:hAnsi="黑体" w:eastAsia="黑体" w:cs="黑体"/>
                <w:sz w:val="24"/>
              </w:rPr>
            </w:pPr>
            <w:r>
              <w:rPr>
                <w:rFonts w:hint="eastAsia" w:ascii="黑体" w:hAnsi="黑体" w:eastAsia="黑体" w:cs="黑体"/>
                <w:sz w:val="24"/>
              </w:rPr>
              <w:t>整改主要工作</w:t>
            </w:r>
          </w:p>
          <w:p>
            <w:pPr>
              <w:snapToGrid w:val="0"/>
              <w:jc w:val="center"/>
              <w:rPr>
                <w:rFonts w:ascii="黑体" w:hAnsi="黑体" w:eastAsia="黑体" w:cs="黑体"/>
                <w:sz w:val="24"/>
              </w:rPr>
            </w:pPr>
            <w:r>
              <w:rPr>
                <w:rFonts w:hint="eastAsia" w:ascii="黑体" w:hAnsi="黑体" w:eastAsia="黑体" w:cs="黑体"/>
                <w:sz w:val="24"/>
              </w:rPr>
              <w:t>及成效</w:t>
            </w:r>
          </w:p>
        </w:tc>
        <w:tc>
          <w:tcPr>
            <w:tcW w:w="6441" w:type="dxa"/>
            <w:gridSpan w:val="2"/>
            <w:tcBorders>
              <w:top w:val="single" w:color="auto" w:sz="8" w:space="0"/>
              <w:left w:val="nil"/>
              <w:bottom w:val="single" w:color="auto" w:sz="8" w:space="0"/>
              <w:right w:val="single" w:color="auto" w:sz="8" w:space="0"/>
            </w:tcBorders>
            <w:noWrap w:val="0"/>
            <w:tcMar>
              <w:left w:w="108" w:type="dxa"/>
              <w:right w:w="108" w:type="dxa"/>
            </w:tcMar>
            <w:vAlign w:val="center"/>
          </w:tcPr>
          <w:p>
            <w:pPr>
              <w:pStyle w:val="4"/>
              <w:numPr>
                <w:ilvl w:val="0"/>
                <w:numId w:val="0"/>
              </w:numPr>
              <w:spacing w:before="0" w:after="0" w:line="360" w:lineRule="exact"/>
              <w:jc w:val="left"/>
              <w:rPr>
                <w:rFonts w:hint="eastAsia" w:ascii="Times New Roman" w:hAnsi="Times New Roman" w:eastAsia="宋体" w:cs="Times New Roman"/>
                <w:iCs w:val="0"/>
                <w:kern w:val="2"/>
                <w:sz w:val="21"/>
                <w:szCs w:val="24"/>
                <w:lang w:val="en-US" w:eastAsia="zh-CN" w:bidi="ar-SA"/>
              </w:rPr>
            </w:pPr>
            <w:r>
              <w:rPr>
                <w:rFonts w:hint="eastAsia" w:ascii="Times New Roman" w:hAnsi="Times New Roman" w:eastAsia="宋体" w:cs="Times New Roman"/>
                <w:iCs w:val="0"/>
                <w:kern w:val="2"/>
                <w:sz w:val="21"/>
                <w:szCs w:val="24"/>
                <w:lang w:val="en-US" w:eastAsia="zh-CN" w:bidi="ar-SA"/>
              </w:rPr>
              <w:t>整改已完成。</w:t>
            </w:r>
          </w:p>
          <w:p>
            <w:pPr>
              <w:pStyle w:val="4"/>
              <w:numPr>
                <w:ilvl w:val="0"/>
                <w:numId w:val="0"/>
              </w:numPr>
              <w:spacing w:before="0" w:after="0" w:line="360" w:lineRule="exact"/>
              <w:jc w:val="left"/>
              <w:rPr>
                <w:rFonts w:hint="eastAsia" w:ascii="Times New Roman" w:hAnsi="Times New Roman" w:eastAsia="宋体" w:cs="Times New Roman"/>
                <w:b w:val="0"/>
                <w:bCs w:val="0"/>
                <w:iCs w:val="0"/>
                <w:kern w:val="2"/>
                <w:sz w:val="21"/>
                <w:szCs w:val="24"/>
                <w:lang w:val="en-US" w:eastAsia="zh-CN" w:bidi="ar-SA"/>
              </w:rPr>
            </w:pPr>
            <w:r>
              <w:rPr>
                <w:rFonts w:hint="eastAsia" w:ascii="Times New Roman" w:hAnsi="Times New Roman" w:eastAsia="宋体" w:cs="Times New Roman"/>
                <w:b w:val="0"/>
                <w:bCs w:val="0"/>
                <w:iCs w:val="0"/>
                <w:kern w:val="2"/>
                <w:sz w:val="21"/>
                <w:szCs w:val="24"/>
                <w:lang w:val="en-US" w:eastAsia="zh-CN" w:bidi="ar-SA"/>
              </w:rPr>
              <w:t>1.通州区补充划分了2个镇级水源地，以及25个村级水源地。</w:t>
            </w:r>
          </w:p>
          <w:p>
            <w:pPr>
              <w:numPr>
                <w:ilvl w:val="0"/>
                <w:numId w:val="0"/>
              </w:numPr>
              <w:rPr>
                <w:rFonts w:hint="eastAsia" w:ascii="Times New Roman" w:hAnsi="Times New Roman" w:cs="Times New Roman"/>
                <w:lang w:val="en-US" w:eastAsia="zh-CN"/>
              </w:rPr>
            </w:pPr>
            <w:r>
              <w:rPr>
                <w:rFonts w:hint="eastAsia"/>
                <w:lang w:val="en-US" w:eastAsia="zh-CN"/>
              </w:rPr>
              <w:t>2.通州区</w:t>
            </w:r>
            <w:r>
              <w:rPr>
                <w:rFonts w:hint="eastAsia" w:ascii="Times New Roman" w:hAnsi="Times New Roman" w:cs="Times New Roman"/>
                <w:lang w:val="en-US" w:eastAsia="zh-CN"/>
              </w:rPr>
              <w:t>补充完善水源保护区标志，开展饮用水水源保护区风险源整治工作。</w:t>
            </w:r>
          </w:p>
          <w:p>
            <w:pPr>
              <w:numPr>
                <w:ilvl w:val="0"/>
                <w:numId w:val="0"/>
              </w:numPr>
              <w:rPr>
                <w:rFonts w:hint="eastAsia" w:ascii="Times New Roman" w:hAnsi="Times New Roman" w:cs="Times New Roman"/>
                <w:lang w:val="en-US" w:eastAsia="zh-CN"/>
              </w:rPr>
            </w:pPr>
            <w:r>
              <w:rPr>
                <w:rFonts w:hint="eastAsia" w:cs="Times New Roman"/>
                <w:kern w:val="2"/>
                <w:sz w:val="21"/>
                <w:szCs w:val="24"/>
                <w:lang w:val="en-US" w:eastAsia="zh-CN" w:bidi="ar-SA"/>
              </w:rPr>
              <w:t>3.</w:t>
            </w:r>
            <w:r>
              <w:rPr>
                <w:rFonts w:hint="eastAsia" w:ascii="Times New Roman" w:hAnsi="Times New Roman" w:cs="Times New Roman"/>
                <w:lang w:val="en-US" w:eastAsia="zh-CN"/>
              </w:rPr>
              <w:t>启动源水监测。完成供水人口在10000人以上或日供水1000吨以上的饮用水水源监测。</w:t>
            </w:r>
          </w:p>
          <w:p>
            <w:pPr>
              <w:pStyle w:val="2"/>
              <w:ind w:left="0" w:leftChars="0" w:firstLine="0" w:firstLineChars="0"/>
              <w:rPr>
                <w:rFonts w:ascii="黑体" w:hAnsi="黑体" w:eastAsia="黑体" w:cs="黑体"/>
              </w:rPr>
            </w:pPr>
            <w:r>
              <w:rPr>
                <w:rFonts w:hint="eastAsia" w:ascii="Times New Roman" w:hAnsi="Times New Roman" w:eastAsia="宋体" w:cs="Times New Roman"/>
                <w:b w:val="0"/>
                <w:bCs w:val="0"/>
                <w:iCs w:val="0"/>
                <w:kern w:val="2"/>
                <w:sz w:val="21"/>
                <w:szCs w:val="24"/>
                <w:lang w:val="en-US" w:eastAsia="zh-CN" w:bidi="ar-SA"/>
              </w:rPr>
              <w:t>4.配合市水务局建立重要饮用水水源地名录</w:t>
            </w:r>
            <w:r>
              <w:rPr>
                <w:rFonts w:hint="eastAsia" w:cs="Times New Roman"/>
                <w:lang w:val="en-US" w:eastAsia="zh-CN"/>
              </w:rPr>
              <w:t>。</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99" w:hRule="atLeast"/>
          <w:jc w:val="center"/>
        </w:trPr>
        <w:tc>
          <w:tcPr>
            <w:tcW w:w="208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snapToGrid w:val="0"/>
              <w:jc w:val="center"/>
              <w:rPr>
                <w:rFonts w:ascii="黑体" w:hAnsi="黑体" w:eastAsia="黑体" w:cs="黑体"/>
                <w:sz w:val="24"/>
              </w:rPr>
            </w:pPr>
            <w:r>
              <w:rPr>
                <w:rFonts w:hint="eastAsia" w:ascii="黑体" w:hAnsi="黑体" w:eastAsia="黑体" w:cs="黑体"/>
                <w:sz w:val="24"/>
              </w:rPr>
              <w:t>整改时间</w:t>
            </w:r>
          </w:p>
        </w:tc>
        <w:tc>
          <w:tcPr>
            <w:tcW w:w="6441" w:type="dxa"/>
            <w:gridSpan w:val="2"/>
            <w:tcBorders>
              <w:top w:val="single" w:color="auto" w:sz="8" w:space="0"/>
              <w:left w:val="nil"/>
              <w:bottom w:val="single" w:color="auto" w:sz="8" w:space="0"/>
              <w:right w:val="single" w:color="auto" w:sz="8" w:space="0"/>
            </w:tcBorders>
            <w:noWrap w:val="0"/>
            <w:tcMar>
              <w:left w:w="108" w:type="dxa"/>
              <w:right w:w="108" w:type="dxa"/>
            </w:tcMar>
            <w:vAlign w:val="center"/>
          </w:tcPr>
          <w:p>
            <w:pPr>
              <w:overflowPunct w:val="0"/>
              <w:topLinePunct/>
              <w:spacing w:beforeAutospacing="1" w:afterAutospacing="1"/>
              <w:jc w:val="center"/>
              <w:rPr>
                <w:rFonts w:ascii="黑体" w:hAnsi="黑体" w:eastAsia="黑体" w:cs="黑体"/>
                <w:color w:val="595959"/>
                <w:kern w:val="0"/>
                <w:sz w:val="36"/>
                <w:szCs w:val="36"/>
              </w:rPr>
            </w:pPr>
            <w:r>
              <w:rPr>
                <w:rFonts w:hint="eastAsia" w:ascii="黑体" w:hAnsi="黑体" w:eastAsia="黑体" w:cs="黑体"/>
                <w:sz w:val="24"/>
                <w:lang w:val="en-US" w:eastAsia="zh-CN"/>
              </w:rPr>
              <w:t>2021</w:t>
            </w:r>
            <w:r>
              <w:rPr>
                <w:rFonts w:hint="eastAsia" w:ascii="黑体" w:hAnsi="黑体" w:eastAsia="黑体" w:cs="黑体"/>
                <w:sz w:val="24"/>
              </w:rPr>
              <w:t>年</w:t>
            </w:r>
            <w:r>
              <w:rPr>
                <w:rFonts w:hint="eastAsia" w:ascii="黑体" w:hAnsi="黑体" w:eastAsia="黑体" w:cs="黑体"/>
                <w:sz w:val="24"/>
                <w:lang w:val="en-US" w:eastAsia="zh-CN"/>
              </w:rPr>
              <w:t>3</w:t>
            </w:r>
            <w:r>
              <w:rPr>
                <w:rFonts w:hint="eastAsia" w:ascii="黑体" w:hAnsi="黑体" w:eastAsia="黑体" w:cs="黑体"/>
                <w:sz w:val="24"/>
              </w:rPr>
              <w:t>月至</w:t>
            </w:r>
            <w:r>
              <w:rPr>
                <w:rFonts w:hint="eastAsia" w:ascii="黑体" w:hAnsi="黑体" w:eastAsia="黑体" w:cs="黑体"/>
                <w:sz w:val="24"/>
                <w:lang w:val="en-US" w:eastAsia="zh-CN"/>
              </w:rPr>
              <w:t>2021</w:t>
            </w:r>
            <w:r>
              <w:rPr>
                <w:rFonts w:hint="eastAsia" w:ascii="黑体" w:hAnsi="黑体" w:eastAsia="黑体" w:cs="黑体"/>
                <w:sz w:val="24"/>
              </w:rPr>
              <w:t>年</w:t>
            </w:r>
            <w:r>
              <w:rPr>
                <w:rFonts w:hint="eastAsia" w:ascii="黑体" w:hAnsi="黑体" w:eastAsia="黑体" w:cs="黑体"/>
                <w:sz w:val="24"/>
                <w:lang w:val="en-US" w:eastAsia="zh-CN"/>
              </w:rPr>
              <w:t>11</w:t>
            </w:r>
            <w:r>
              <w:rPr>
                <w:rFonts w:hint="eastAsia" w:ascii="黑体" w:hAnsi="黑体" w:eastAsia="黑体" w:cs="黑体"/>
                <w:sz w:val="24"/>
              </w:rPr>
              <w:t>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927" w:hRule="atLeast"/>
          <w:jc w:val="center"/>
        </w:trPr>
        <w:tc>
          <w:tcPr>
            <w:tcW w:w="208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snapToGrid w:val="0"/>
              <w:jc w:val="center"/>
              <w:rPr>
                <w:rFonts w:ascii="黑体" w:hAnsi="黑体" w:eastAsia="黑体" w:cs="黑体"/>
                <w:sz w:val="24"/>
              </w:rPr>
            </w:pPr>
            <w:r>
              <w:rPr>
                <w:rFonts w:hint="eastAsia" w:ascii="黑体" w:hAnsi="黑体" w:eastAsia="黑体" w:cs="黑体"/>
                <w:sz w:val="24"/>
              </w:rPr>
              <w:t>社会监督联系人及电话</w:t>
            </w:r>
          </w:p>
        </w:tc>
        <w:tc>
          <w:tcPr>
            <w:tcW w:w="6441" w:type="dxa"/>
            <w:gridSpan w:val="2"/>
            <w:tcBorders>
              <w:top w:val="single" w:color="auto" w:sz="8" w:space="0"/>
              <w:left w:val="nil"/>
              <w:bottom w:val="single" w:color="auto" w:sz="8" w:space="0"/>
              <w:right w:val="single" w:color="auto" w:sz="8" w:space="0"/>
            </w:tcBorders>
            <w:noWrap w:val="0"/>
            <w:tcMar>
              <w:left w:w="108" w:type="dxa"/>
              <w:right w:w="108" w:type="dxa"/>
            </w:tcMar>
            <w:vAlign w:val="center"/>
          </w:tcPr>
          <w:p>
            <w:pPr>
              <w:overflowPunct w:val="0"/>
              <w:topLinePunct/>
              <w:spacing w:beforeAutospacing="1" w:afterAutospacing="1"/>
              <w:jc w:val="center"/>
              <w:rPr>
                <w:rFonts w:hint="default" w:ascii="黑体" w:hAnsi="黑体" w:eastAsia="黑体" w:cs="黑体"/>
                <w:color w:val="595959"/>
                <w:kern w:val="0"/>
                <w:sz w:val="36"/>
                <w:szCs w:val="36"/>
                <w:lang w:val="en-US" w:eastAsia="zh-CN"/>
              </w:rPr>
            </w:pPr>
            <w:r>
              <w:rPr>
                <w:rFonts w:hint="eastAsia" w:ascii="黑体" w:hAnsi="黑体" w:eastAsia="黑体" w:cs="黑体"/>
                <w:sz w:val="24"/>
                <w:lang w:eastAsia="zh-CN"/>
              </w:rPr>
              <w:t>通州区水务局：</w:t>
            </w:r>
            <w:r>
              <w:rPr>
                <w:rFonts w:hint="eastAsia" w:ascii="黑体" w:hAnsi="黑体" w:eastAsia="黑体" w:cs="黑体"/>
                <w:sz w:val="24"/>
                <w:lang w:val="en-US" w:eastAsia="zh-CN"/>
              </w:rPr>
              <w:t>6954 4658</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920F20"/>
    <w:rsid w:val="2F920F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9"/>
    <w:pPr>
      <w:keepNext/>
      <w:keepLines/>
      <w:spacing w:before="260" w:after="260" w:line="416" w:lineRule="auto"/>
      <w:outlineLvl w:val="1"/>
    </w:pPr>
    <w:rPr>
      <w:rFonts w:ascii="Cambria" w:hAnsi="Cambria" w:eastAsia="宋体" w:cs="Times New Roman"/>
      <w:b/>
      <w:bCs/>
      <w:szCs w:val="32"/>
    </w:rPr>
  </w:style>
  <w:style w:type="paragraph" w:styleId="4">
    <w:name w:val="heading 4"/>
    <w:basedOn w:val="3"/>
    <w:next w:val="1"/>
    <w:qFormat/>
    <w:uiPriority w:val="0"/>
    <w:pPr>
      <w:spacing w:before="240" w:after="60" w:line="360" w:lineRule="auto"/>
      <w:outlineLvl w:val="3"/>
    </w:pPr>
    <w:rPr>
      <w:rFonts w:ascii="Cambria" w:hAnsi="Cambria" w:eastAsia="仿宋_GB2312" w:cs="Times New Roman"/>
      <w:iCs/>
      <w:sz w:val="28"/>
      <w:szCs w:val="28"/>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index 9"/>
    <w:basedOn w:val="1"/>
    <w:next w:val="1"/>
    <w:qFormat/>
    <w:uiPriority w:val="0"/>
    <w:pPr>
      <w:ind w:left="1600" w:leftChars="16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2021-12-02T07:55:00Z</dcterms:created>
  <dc:creator>Administrator</dc:creator>
  <cp:lastModifiedBy>Administrator</cp:lastModifiedBy>
  <dcterms:modified xsi:type="dcterms:W3CDTF">2021-12-02T07:56:06Z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ies>
</file>