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Lines="0" w:line="560" w:lineRule="exact"/>
        <w:textAlignment w:val="auto"/>
        <w:rPr>
          <w:b w:val="0"/>
          <w:bCs w:val="0"/>
          <w:color w:val="auto"/>
          <w:kern w:val="0"/>
        </w:rPr>
      </w:pPr>
      <w:bookmarkStart w:id="0" w:name="_GoBack"/>
      <w:r>
        <w:rPr>
          <w:rFonts w:hint="eastAsia"/>
          <w:b w:val="0"/>
          <w:bCs w:val="0"/>
          <w:color w:val="auto"/>
          <w:kern w:val="0"/>
        </w:rPr>
        <w:t>通州区</w:t>
      </w:r>
      <w:r>
        <w:rPr>
          <w:rFonts w:hint="eastAsia"/>
          <w:b w:val="0"/>
          <w:bCs w:val="0"/>
          <w:color w:val="auto"/>
          <w:kern w:val="0"/>
          <w:lang w:eastAsia="zh-CN"/>
        </w:rPr>
        <w:t>专利技术成果产业化</w:t>
      </w:r>
      <w:r>
        <w:rPr>
          <w:rFonts w:hint="eastAsia"/>
          <w:b w:val="0"/>
          <w:bCs w:val="0"/>
          <w:color w:val="auto"/>
          <w:kern w:val="0"/>
        </w:rPr>
        <w:t>项目管理办法</w:t>
      </w:r>
    </w:p>
    <w:p>
      <w:pPr>
        <w:keepNext w:val="0"/>
        <w:keepLines w:val="0"/>
        <w:pageBreakBefore w:val="0"/>
        <w:kinsoku/>
        <w:wordWrap/>
        <w:overflowPunct/>
        <w:topLinePunct w:val="0"/>
        <w:autoSpaceDE/>
        <w:autoSpaceDN/>
        <w:bidi w:val="0"/>
        <w:adjustRightInd/>
        <w:snapToGrid/>
        <w:spacing w:line="560" w:lineRule="exact"/>
        <w:ind w:firstLine="640"/>
        <w:textAlignment w:val="auto"/>
        <w:rPr>
          <w:b w:val="0"/>
          <w:bCs w:val="0"/>
          <w:color w:val="auto"/>
        </w:rPr>
      </w:pPr>
    </w:p>
    <w:p>
      <w:pPr>
        <w:keepNext w:val="0"/>
        <w:keepLines w:val="0"/>
        <w:pageBreakBefore w:val="0"/>
        <w:widowControl/>
        <w:kinsoku/>
        <w:wordWrap/>
        <w:overflowPunct/>
        <w:topLinePunct w:val="0"/>
        <w:autoSpaceDE/>
        <w:autoSpaceDN/>
        <w:bidi w:val="0"/>
        <w:adjustRightInd/>
        <w:snapToGrid/>
        <w:spacing w:beforeLines="50" w:line="560" w:lineRule="exact"/>
        <w:ind w:firstLine="640" w:firstLineChars="200"/>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第一章 总则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第一条</w:t>
      </w:r>
      <w:r>
        <w:rPr>
          <w:rFonts w:hint="eastAsia" w:ascii="仿宋_GB2312" w:eastAsia="仿宋_GB2312"/>
          <w:b w:val="0"/>
          <w:bCs w:val="0"/>
          <w:color w:val="auto"/>
          <w:kern w:val="0"/>
          <w:sz w:val="32"/>
          <w:szCs w:val="32"/>
        </w:rPr>
        <w:t xml:space="preserve"> 为推动本区</w:t>
      </w:r>
      <w:r>
        <w:rPr>
          <w:rFonts w:hint="eastAsia" w:ascii="仿宋_GB2312" w:eastAsia="仿宋_GB2312"/>
          <w:b w:val="0"/>
          <w:bCs w:val="0"/>
          <w:color w:val="auto"/>
          <w:kern w:val="0"/>
          <w:sz w:val="32"/>
          <w:szCs w:val="32"/>
          <w:lang w:eastAsia="zh-CN"/>
        </w:rPr>
        <w:t>知识产权</w:t>
      </w:r>
      <w:r>
        <w:rPr>
          <w:rFonts w:hint="eastAsia" w:ascii="仿宋_GB2312" w:eastAsia="仿宋_GB2312"/>
          <w:b w:val="0"/>
          <w:bCs w:val="0"/>
          <w:color w:val="auto"/>
          <w:kern w:val="0"/>
          <w:sz w:val="32"/>
          <w:szCs w:val="32"/>
        </w:rPr>
        <w:t>事业的发展，加快专利技术</w:t>
      </w:r>
      <w:r>
        <w:rPr>
          <w:rFonts w:hint="eastAsia" w:ascii="仿宋_GB2312" w:eastAsia="仿宋_GB2312"/>
          <w:b w:val="0"/>
          <w:bCs w:val="0"/>
          <w:color w:val="auto"/>
          <w:kern w:val="0"/>
          <w:sz w:val="32"/>
          <w:szCs w:val="32"/>
          <w:lang w:eastAsia="zh-CN"/>
        </w:rPr>
        <w:t>成果</w:t>
      </w:r>
      <w:r>
        <w:rPr>
          <w:rFonts w:hint="eastAsia" w:ascii="仿宋_GB2312" w:eastAsia="仿宋_GB2312"/>
          <w:b w:val="0"/>
          <w:bCs w:val="0"/>
          <w:color w:val="auto"/>
          <w:kern w:val="0"/>
          <w:sz w:val="32"/>
          <w:szCs w:val="32"/>
        </w:rPr>
        <w:t>产业化步伐，促进技术创新和经济发展，依据《通州区</w:t>
      </w:r>
      <w:r>
        <w:rPr>
          <w:rFonts w:hint="eastAsia" w:ascii="仿宋_GB2312" w:eastAsia="仿宋_GB2312"/>
          <w:b w:val="0"/>
          <w:bCs w:val="0"/>
          <w:color w:val="auto"/>
          <w:kern w:val="0"/>
          <w:sz w:val="32"/>
          <w:szCs w:val="32"/>
          <w:lang w:eastAsia="zh-CN"/>
        </w:rPr>
        <w:t>知识产权促进办法</w:t>
      </w:r>
      <w:r>
        <w:rPr>
          <w:rFonts w:hint="eastAsia" w:ascii="仿宋_GB2312" w:eastAsia="仿宋_GB2312"/>
          <w:b w:val="0"/>
          <w:bCs w:val="0"/>
          <w:color w:val="auto"/>
          <w:kern w:val="0"/>
          <w:sz w:val="32"/>
          <w:szCs w:val="32"/>
        </w:rPr>
        <w:t>》（通政发[</w:t>
      </w:r>
      <w:r>
        <w:rPr>
          <w:rFonts w:hint="eastAsia" w:ascii="仿宋_GB2312" w:eastAsia="仿宋_GB2312"/>
          <w:b w:val="0"/>
          <w:bCs w:val="0"/>
          <w:color w:val="auto"/>
          <w:kern w:val="0"/>
          <w:sz w:val="32"/>
          <w:szCs w:val="32"/>
          <w:lang w:val="en-US" w:eastAsia="zh-CN"/>
        </w:rPr>
        <w:t>2020</w:t>
      </w:r>
      <w:r>
        <w:rPr>
          <w:rFonts w:hint="eastAsia" w:ascii="仿宋_GB2312" w:eastAsia="仿宋_GB2312"/>
          <w:b w:val="0"/>
          <w:bCs w:val="0"/>
          <w:color w:val="auto"/>
          <w:kern w:val="0"/>
          <w:sz w:val="32"/>
          <w:szCs w:val="32"/>
        </w:rPr>
        <w:t>]</w:t>
      </w:r>
      <w:r>
        <w:rPr>
          <w:rFonts w:hint="eastAsia" w:ascii="仿宋_GB2312" w:eastAsia="仿宋_GB2312"/>
          <w:b w:val="0"/>
          <w:bCs w:val="0"/>
          <w:color w:val="auto"/>
          <w:kern w:val="0"/>
          <w:sz w:val="32"/>
          <w:szCs w:val="32"/>
          <w:lang w:val="en-US" w:eastAsia="zh-CN"/>
        </w:rPr>
        <w:t xml:space="preserve"> 12</w:t>
      </w:r>
      <w:r>
        <w:rPr>
          <w:rFonts w:hint="eastAsia" w:ascii="仿宋_GB2312" w:eastAsia="仿宋_GB2312"/>
          <w:b w:val="0"/>
          <w:bCs w:val="0"/>
          <w:color w:val="auto"/>
          <w:kern w:val="0"/>
          <w:sz w:val="32"/>
          <w:szCs w:val="32"/>
        </w:rPr>
        <w:t>号）</w:t>
      </w:r>
      <w:r>
        <w:rPr>
          <w:rFonts w:hint="eastAsia" w:ascii="仿宋_GB2312" w:eastAsia="仿宋_GB2312"/>
          <w:b w:val="0"/>
          <w:bCs w:val="0"/>
          <w:color w:val="auto"/>
          <w:kern w:val="0"/>
          <w:sz w:val="32"/>
          <w:szCs w:val="32"/>
          <w:lang w:eastAsia="zh-CN"/>
        </w:rPr>
        <w:t>文件</w:t>
      </w:r>
      <w:r>
        <w:rPr>
          <w:rFonts w:hint="eastAsia" w:ascii="仿宋_GB2312" w:eastAsia="仿宋_GB2312"/>
          <w:b w:val="0"/>
          <w:bCs w:val="0"/>
          <w:color w:val="auto"/>
          <w:kern w:val="0"/>
          <w:sz w:val="32"/>
          <w:szCs w:val="32"/>
        </w:rPr>
        <w:t>精神，制定本办法。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第二条</w:t>
      </w:r>
      <w:r>
        <w:rPr>
          <w:rFonts w:hint="eastAsia" w:ascii="仿宋_GB2312" w:eastAsia="仿宋_GB2312"/>
          <w:b w:val="0"/>
          <w:bCs w:val="0"/>
          <w:color w:val="auto"/>
          <w:kern w:val="0"/>
          <w:sz w:val="32"/>
          <w:szCs w:val="32"/>
        </w:rPr>
        <w:t xml:space="preserve"> </w:t>
      </w:r>
      <w:r>
        <w:rPr>
          <w:rFonts w:hint="eastAsia" w:ascii="仿宋_GB2312" w:eastAsia="仿宋_GB2312"/>
          <w:b w:val="0"/>
          <w:bCs w:val="0"/>
          <w:color w:val="auto"/>
          <w:kern w:val="0"/>
          <w:sz w:val="32"/>
          <w:szCs w:val="32"/>
          <w:lang w:eastAsia="zh-CN"/>
        </w:rPr>
        <w:t>专利技术成果产业化项目</w:t>
      </w:r>
      <w:r>
        <w:rPr>
          <w:rFonts w:hint="eastAsia" w:ascii="仿宋_GB2312" w:eastAsia="仿宋_GB2312"/>
          <w:b w:val="0"/>
          <w:bCs w:val="0"/>
          <w:color w:val="auto"/>
          <w:kern w:val="0"/>
          <w:sz w:val="32"/>
          <w:szCs w:val="32"/>
        </w:rPr>
        <w:t>专项资金的使用和管理应遵守国家、北京市的法律法规及通州区有关政策规定，实行总额控制、科学管理、择优资助、专款专用的原则。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第三条</w:t>
      </w:r>
      <w:r>
        <w:rPr>
          <w:rFonts w:hint="eastAsia" w:ascii="仿宋_GB2312" w:eastAsia="仿宋_GB2312"/>
          <w:b w:val="0"/>
          <w:bCs w:val="0"/>
          <w:color w:val="auto"/>
          <w:kern w:val="0"/>
          <w:sz w:val="32"/>
          <w:szCs w:val="32"/>
        </w:rPr>
        <w:t xml:space="preserve"> </w:t>
      </w:r>
      <w:r>
        <w:rPr>
          <w:rFonts w:hint="eastAsia" w:ascii="仿宋_GB2312" w:eastAsia="仿宋_GB2312"/>
          <w:b w:val="0"/>
          <w:bCs w:val="0"/>
          <w:color w:val="auto"/>
          <w:kern w:val="0"/>
          <w:sz w:val="32"/>
          <w:szCs w:val="32"/>
          <w:lang w:eastAsia="zh-CN"/>
        </w:rPr>
        <w:t>北京市</w:t>
      </w:r>
      <w:r>
        <w:rPr>
          <w:rFonts w:hint="eastAsia" w:ascii="仿宋_GB2312" w:eastAsia="仿宋_GB2312"/>
          <w:b w:val="0"/>
          <w:bCs w:val="0"/>
          <w:color w:val="auto"/>
          <w:kern w:val="0"/>
          <w:sz w:val="32"/>
          <w:szCs w:val="32"/>
        </w:rPr>
        <w:t>通州区</w:t>
      </w:r>
      <w:r>
        <w:rPr>
          <w:rFonts w:hint="eastAsia" w:ascii="仿宋_GB2312" w:eastAsia="仿宋_GB2312"/>
          <w:b w:val="0"/>
          <w:bCs w:val="0"/>
          <w:color w:val="auto"/>
          <w:kern w:val="0"/>
          <w:sz w:val="32"/>
          <w:szCs w:val="32"/>
          <w:lang w:eastAsia="zh-CN"/>
        </w:rPr>
        <w:t>知识产权局（以下简称区知识产权局）</w:t>
      </w:r>
      <w:r>
        <w:rPr>
          <w:rFonts w:hint="eastAsia" w:ascii="仿宋_GB2312" w:eastAsia="仿宋_GB2312"/>
          <w:b w:val="0"/>
          <w:bCs w:val="0"/>
          <w:color w:val="auto"/>
          <w:kern w:val="0"/>
          <w:sz w:val="32"/>
          <w:szCs w:val="32"/>
        </w:rPr>
        <w:t>是</w:t>
      </w:r>
      <w:r>
        <w:rPr>
          <w:rFonts w:hint="eastAsia" w:ascii="仿宋_GB2312" w:eastAsia="仿宋_GB2312"/>
          <w:b w:val="0"/>
          <w:bCs w:val="0"/>
          <w:color w:val="auto"/>
          <w:kern w:val="0"/>
          <w:sz w:val="32"/>
          <w:szCs w:val="32"/>
          <w:lang w:eastAsia="zh-CN"/>
        </w:rPr>
        <w:t>专利技术成果产业化项目</w:t>
      </w:r>
      <w:r>
        <w:rPr>
          <w:rFonts w:hint="eastAsia" w:ascii="仿宋_GB2312" w:eastAsia="仿宋_GB2312"/>
          <w:b w:val="0"/>
          <w:bCs w:val="0"/>
          <w:color w:val="auto"/>
          <w:kern w:val="0"/>
          <w:sz w:val="32"/>
          <w:szCs w:val="32"/>
        </w:rPr>
        <w:t>的主管部门。</w:t>
      </w:r>
    </w:p>
    <w:p>
      <w:pPr>
        <w:keepNext w:val="0"/>
        <w:keepLines w:val="0"/>
        <w:pageBreakBefore w:val="0"/>
        <w:widowControl/>
        <w:kinsoku/>
        <w:wordWrap/>
        <w:overflowPunct/>
        <w:topLinePunct w:val="0"/>
        <w:autoSpaceDE/>
        <w:autoSpaceDN/>
        <w:bidi w:val="0"/>
        <w:adjustRightInd/>
        <w:snapToGrid/>
        <w:spacing w:beforeLines="50" w:line="560" w:lineRule="exact"/>
        <w:ind w:firstLine="640" w:firstLineChars="200"/>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第二章 项目立项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第四条</w:t>
      </w:r>
      <w:r>
        <w:rPr>
          <w:rFonts w:hint="eastAsia" w:ascii="仿宋" w:hAnsi="仿宋" w:eastAsia="仿宋" w:cs="仿宋"/>
          <w:b w:val="0"/>
          <w:bCs w:val="0"/>
          <w:color w:val="auto"/>
          <w:kern w:val="0"/>
          <w:sz w:val="32"/>
          <w:szCs w:val="32"/>
        </w:rPr>
        <w:t xml:space="preserve"> 项目立项程序一般包括：项目征集、项目初审、专家评审、立项决策、结果公示、签</w:t>
      </w:r>
      <w:r>
        <w:rPr>
          <w:rFonts w:hint="eastAsia" w:ascii="仿宋" w:hAnsi="仿宋" w:eastAsia="仿宋" w:cs="仿宋"/>
          <w:b w:val="0"/>
          <w:bCs w:val="0"/>
          <w:color w:val="auto"/>
          <w:kern w:val="0"/>
          <w:sz w:val="32"/>
          <w:szCs w:val="32"/>
          <w:lang w:eastAsia="zh-CN"/>
        </w:rPr>
        <w:t>订</w:t>
      </w:r>
      <w:r>
        <w:rPr>
          <w:rFonts w:hint="eastAsia" w:ascii="仿宋" w:hAnsi="仿宋" w:eastAsia="仿宋" w:cs="仿宋"/>
          <w:b w:val="0"/>
          <w:bCs w:val="0"/>
          <w:color w:val="auto"/>
          <w:kern w:val="0"/>
          <w:sz w:val="32"/>
          <w:szCs w:val="32"/>
        </w:rPr>
        <w:t>协议书等步骤。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第五条</w:t>
      </w:r>
      <w:r>
        <w:rPr>
          <w:rFonts w:hint="eastAsia" w:ascii="仿宋" w:hAnsi="仿宋" w:eastAsia="仿宋" w:cs="仿宋"/>
          <w:b w:val="0"/>
          <w:bCs w:val="0"/>
          <w:color w:val="auto"/>
          <w:kern w:val="0"/>
          <w:sz w:val="32"/>
          <w:szCs w:val="32"/>
        </w:rPr>
        <w:t xml:space="preserve"> 项目征集。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（一）</w:t>
      </w:r>
      <w:r>
        <w:rPr>
          <w:rFonts w:hint="eastAsia" w:ascii="仿宋" w:hAnsi="仿宋" w:eastAsia="仿宋" w:cs="仿宋"/>
          <w:b w:val="0"/>
          <w:bCs w:val="0"/>
          <w:color w:val="auto"/>
          <w:kern w:val="0"/>
          <w:sz w:val="32"/>
          <w:szCs w:val="32"/>
        </w:rPr>
        <w:t>区</w:t>
      </w:r>
      <w:r>
        <w:rPr>
          <w:rFonts w:hint="eastAsia" w:ascii="仿宋" w:hAnsi="仿宋" w:eastAsia="仿宋" w:cs="仿宋"/>
          <w:b w:val="0"/>
          <w:bCs w:val="0"/>
          <w:color w:val="auto"/>
          <w:kern w:val="0"/>
          <w:sz w:val="32"/>
          <w:szCs w:val="32"/>
          <w:lang w:eastAsia="zh-CN"/>
        </w:rPr>
        <w:t>知识产权局</w:t>
      </w:r>
      <w:r>
        <w:rPr>
          <w:rFonts w:hint="eastAsia" w:ascii="仿宋" w:hAnsi="仿宋" w:eastAsia="仿宋" w:cs="仿宋"/>
          <w:b w:val="0"/>
          <w:bCs w:val="0"/>
          <w:color w:val="auto"/>
          <w:kern w:val="0"/>
          <w:sz w:val="32"/>
          <w:szCs w:val="32"/>
        </w:rPr>
        <w:t>在每年第一季度发布当年项目申报指南，明确申报项目的范围、重点及时间等要求。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2"/>
          <w:sz w:val="32"/>
          <w:szCs w:val="32"/>
        </w:rPr>
      </w:pPr>
      <w:r>
        <w:rPr>
          <w:rFonts w:hint="eastAsia" w:ascii="仿宋" w:hAnsi="仿宋" w:eastAsia="仿宋" w:cs="仿宋"/>
          <w:b w:val="0"/>
          <w:bCs w:val="0"/>
          <w:color w:val="auto"/>
          <w:kern w:val="2"/>
          <w:sz w:val="32"/>
          <w:szCs w:val="32"/>
        </w:rPr>
        <w:t>（</w:t>
      </w:r>
      <w:r>
        <w:rPr>
          <w:rFonts w:hint="eastAsia" w:ascii="仿宋" w:hAnsi="仿宋" w:eastAsia="仿宋" w:cs="仿宋"/>
          <w:b w:val="0"/>
          <w:bCs w:val="0"/>
          <w:color w:val="auto"/>
          <w:kern w:val="2"/>
          <w:sz w:val="32"/>
          <w:szCs w:val="32"/>
          <w:lang w:eastAsia="zh-CN"/>
        </w:rPr>
        <w:t>二</w:t>
      </w:r>
      <w:r>
        <w:rPr>
          <w:rFonts w:hint="eastAsia" w:ascii="仿宋" w:hAnsi="仿宋" w:eastAsia="仿宋" w:cs="仿宋"/>
          <w:b w:val="0"/>
          <w:bCs w:val="0"/>
          <w:color w:val="auto"/>
          <w:kern w:val="2"/>
          <w:sz w:val="32"/>
          <w:szCs w:val="32"/>
        </w:rPr>
        <w:t>）申请人应具备的条件：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专利的第一专利权人在本区注册并实际经营</w:t>
      </w:r>
      <w:r>
        <w:rPr>
          <w:rFonts w:hint="eastAsia" w:ascii="仿宋" w:hAnsi="仿宋" w:eastAsia="仿宋" w:cs="仿宋"/>
          <w:b w:val="0"/>
          <w:bCs w:val="0"/>
          <w:color w:val="auto"/>
          <w:sz w:val="32"/>
          <w:szCs w:val="32"/>
          <w:lang w:eastAsia="zh-CN"/>
        </w:rPr>
        <w:t>、依法</w:t>
      </w:r>
      <w:r>
        <w:rPr>
          <w:rFonts w:hint="eastAsia" w:ascii="仿宋" w:hAnsi="仿宋" w:eastAsia="仿宋" w:cs="仿宋"/>
          <w:b w:val="0"/>
          <w:bCs w:val="0"/>
          <w:color w:val="auto"/>
          <w:sz w:val="32"/>
          <w:szCs w:val="32"/>
        </w:rPr>
        <w:t>纳税的具有独立法人资格的企业和事业单位；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申请单位资产及经营状况良好，具有较高的资信等级和相应的资金筹措能力；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3</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有相应数量和水平的专利技术研发人员；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4</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具备实施专利技术的基本物质条件（主要包括：在本区有实施场地，有必要的设备设施，有一定的自有资金）；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5.</w:t>
      </w:r>
      <w:r>
        <w:rPr>
          <w:rFonts w:hint="eastAsia" w:ascii="仿宋" w:hAnsi="仿宋" w:eastAsia="仿宋" w:cs="仿宋"/>
          <w:b w:val="0"/>
          <w:bCs w:val="0"/>
          <w:color w:val="auto"/>
          <w:kern w:val="2"/>
          <w:sz w:val="32"/>
          <w:szCs w:val="32"/>
        </w:rPr>
        <w:t>管理部门要求的其他</w:t>
      </w:r>
      <w:r>
        <w:rPr>
          <w:rFonts w:hint="eastAsia" w:ascii="仿宋" w:hAnsi="仿宋" w:eastAsia="仿宋" w:cs="仿宋"/>
          <w:b w:val="0"/>
          <w:bCs w:val="0"/>
          <w:color w:val="auto"/>
          <w:kern w:val="2"/>
          <w:sz w:val="32"/>
          <w:szCs w:val="32"/>
          <w:lang w:eastAsia="zh-CN"/>
        </w:rPr>
        <w:t>条件。</w:t>
      </w:r>
    </w:p>
    <w:p>
      <w:pPr>
        <w:keepNext w:val="0"/>
        <w:keepLines w:val="0"/>
        <w:pageBreakBefore w:val="0"/>
        <w:kinsoku/>
        <w:wordWrap/>
        <w:overflowPunct/>
        <w:topLinePunct w:val="0"/>
        <w:autoSpaceDE/>
        <w:autoSpaceDN/>
        <w:bidi w:val="0"/>
        <w:adjustRightInd/>
        <w:snapToGrid/>
        <w:spacing w:line="560" w:lineRule="exact"/>
        <w:ind w:firstLine="576" w:firstLineChars="18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国家知识产权示范企业、国家知识产权优势企业、北京市</w:t>
      </w:r>
      <w:r>
        <w:rPr>
          <w:rFonts w:hint="eastAsia" w:ascii="仿宋" w:hAnsi="仿宋" w:eastAsia="仿宋" w:cs="仿宋"/>
          <w:b w:val="0"/>
          <w:bCs w:val="0"/>
          <w:color w:val="auto"/>
          <w:sz w:val="32"/>
          <w:szCs w:val="32"/>
          <w:lang w:eastAsia="zh-CN"/>
        </w:rPr>
        <w:t>知识产权</w:t>
      </w:r>
      <w:r>
        <w:rPr>
          <w:rFonts w:hint="eastAsia" w:ascii="仿宋" w:hAnsi="仿宋" w:eastAsia="仿宋" w:cs="仿宋"/>
          <w:b w:val="0"/>
          <w:bCs w:val="0"/>
          <w:color w:val="auto"/>
          <w:sz w:val="32"/>
          <w:szCs w:val="32"/>
        </w:rPr>
        <w:t>试点示范单位、知识产权贯标认证单位，可优先获得资助。</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kern w:val="2"/>
          <w:sz w:val="32"/>
          <w:szCs w:val="32"/>
        </w:rPr>
      </w:pPr>
      <w:r>
        <w:rPr>
          <w:rFonts w:hint="eastAsia" w:ascii="仿宋" w:hAnsi="仿宋" w:eastAsia="仿宋" w:cs="仿宋"/>
          <w:b w:val="0"/>
          <w:bCs w:val="0"/>
          <w:color w:val="auto"/>
          <w:kern w:val="2"/>
          <w:sz w:val="32"/>
          <w:szCs w:val="32"/>
          <w:lang w:val="en-US" w:eastAsia="zh-CN"/>
        </w:rPr>
        <w:t xml:space="preserve">    </w:t>
      </w:r>
      <w:r>
        <w:rPr>
          <w:rFonts w:hint="eastAsia" w:ascii="仿宋" w:hAnsi="仿宋" w:eastAsia="仿宋" w:cs="仿宋"/>
          <w:b w:val="0"/>
          <w:bCs w:val="0"/>
          <w:color w:val="auto"/>
          <w:kern w:val="2"/>
          <w:sz w:val="32"/>
          <w:szCs w:val="32"/>
        </w:rPr>
        <w:t>（</w:t>
      </w:r>
      <w:r>
        <w:rPr>
          <w:rFonts w:hint="eastAsia" w:ascii="仿宋" w:hAnsi="仿宋" w:eastAsia="仿宋" w:cs="仿宋"/>
          <w:b w:val="0"/>
          <w:bCs w:val="0"/>
          <w:color w:val="auto"/>
          <w:kern w:val="2"/>
          <w:sz w:val="32"/>
          <w:szCs w:val="32"/>
          <w:lang w:eastAsia="zh-CN"/>
        </w:rPr>
        <w:t>三</w:t>
      </w:r>
      <w:r>
        <w:rPr>
          <w:rFonts w:hint="eastAsia" w:ascii="仿宋" w:hAnsi="仿宋" w:eastAsia="仿宋" w:cs="仿宋"/>
          <w:b w:val="0"/>
          <w:bCs w:val="0"/>
          <w:color w:val="auto"/>
          <w:kern w:val="2"/>
          <w:sz w:val="32"/>
          <w:szCs w:val="32"/>
        </w:rPr>
        <w:t>）申请项目应具备的条件：</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专利应是授权、有效，且权属清晰、无纠纷；</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lang w:eastAsia="zh-CN"/>
        </w:rPr>
        <w:t>符合</w:t>
      </w:r>
      <w:r>
        <w:rPr>
          <w:rFonts w:hint="eastAsia" w:ascii="仿宋" w:hAnsi="仿宋" w:eastAsia="仿宋" w:cs="仿宋"/>
          <w:b w:val="0"/>
          <w:bCs w:val="0"/>
          <w:color w:val="auto"/>
          <w:sz w:val="32"/>
          <w:szCs w:val="32"/>
        </w:rPr>
        <w:t>国家产业、技术政策，具有较高的科技含量，创新性强、成熟度高并符合区域产业发展规划；</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项目已开始实施，附加值高、市场容量大、产业带动性强、经济效益和社会效益显著、有望形成具有较大规模和较强竞争能力的新兴产业或高新技术产品群；</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重点支持电子信息、生物医药、现代装备制造、新材料、新能源与高效节能、新光机电一体化、现代农业等领域。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1" w:firstLineChars="100"/>
        <w:textAlignment w:val="auto"/>
        <w:rPr>
          <w:rFonts w:hint="eastAsia" w:ascii="仿宋" w:hAnsi="仿宋" w:eastAsia="仿宋" w:cs="仿宋"/>
          <w:b w:val="0"/>
          <w:bCs w:val="0"/>
          <w:color w:val="auto"/>
          <w:kern w:val="2"/>
          <w:sz w:val="32"/>
          <w:szCs w:val="32"/>
        </w:rPr>
      </w:pPr>
      <w:r>
        <w:rPr>
          <w:rFonts w:hint="eastAsia" w:ascii="仿宋" w:hAnsi="仿宋" w:eastAsia="仿宋" w:cs="仿宋"/>
          <w:b w:val="0"/>
          <w:bCs w:val="0"/>
          <w:color w:val="auto"/>
          <w:kern w:val="2"/>
          <w:sz w:val="32"/>
          <w:szCs w:val="32"/>
          <w:lang w:val="en-US" w:eastAsia="zh-CN"/>
        </w:rPr>
        <w:t xml:space="preserve"> </w:t>
      </w:r>
      <w:r>
        <w:rPr>
          <w:rFonts w:hint="eastAsia" w:ascii="仿宋" w:hAnsi="仿宋" w:eastAsia="仿宋" w:cs="仿宋"/>
          <w:b w:val="0"/>
          <w:bCs w:val="0"/>
          <w:color w:val="auto"/>
          <w:kern w:val="2"/>
          <w:sz w:val="32"/>
          <w:szCs w:val="32"/>
          <w:lang w:eastAsia="zh-CN"/>
        </w:rPr>
        <w:t>（四）</w:t>
      </w:r>
      <w:r>
        <w:rPr>
          <w:rFonts w:hint="eastAsia" w:ascii="仿宋" w:hAnsi="仿宋" w:eastAsia="仿宋" w:cs="仿宋"/>
          <w:b w:val="0"/>
          <w:bCs w:val="0"/>
          <w:color w:val="auto"/>
          <w:kern w:val="2"/>
          <w:sz w:val="32"/>
          <w:szCs w:val="32"/>
        </w:rPr>
        <w:t>应提交的材料：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《通州区专利</w:t>
      </w:r>
      <w:r>
        <w:rPr>
          <w:rFonts w:hint="eastAsia" w:ascii="仿宋" w:hAnsi="仿宋" w:eastAsia="仿宋" w:cs="仿宋"/>
          <w:b w:val="0"/>
          <w:bCs w:val="0"/>
          <w:color w:val="auto"/>
          <w:sz w:val="32"/>
          <w:szCs w:val="32"/>
          <w:lang w:eastAsia="zh-CN"/>
        </w:rPr>
        <w:t>技术成果产业化</w:t>
      </w:r>
      <w:r>
        <w:rPr>
          <w:rFonts w:hint="eastAsia" w:ascii="仿宋" w:hAnsi="仿宋" w:eastAsia="仿宋" w:cs="仿宋"/>
          <w:b w:val="0"/>
          <w:bCs w:val="0"/>
          <w:color w:val="auto"/>
          <w:sz w:val="32"/>
          <w:szCs w:val="32"/>
        </w:rPr>
        <w:t>项目资助申报书》；</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sz w:val="32"/>
          <w:szCs w:val="32"/>
        </w:rPr>
        <w:t>项目的可行性分析报告；</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营业执照；</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专利授权证书及专利登记</w:t>
      </w:r>
      <w:r>
        <w:rPr>
          <w:rFonts w:hint="eastAsia" w:ascii="仿宋" w:hAnsi="仿宋" w:eastAsia="仿宋" w:cs="仿宋"/>
          <w:b w:val="0"/>
          <w:bCs w:val="0"/>
          <w:color w:val="auto"/>
          <w:sz w:val="32"/>
          <w:szCs w:val="32"/>
          <w:lang w:val="en-US" w:eastAsia="zh-CN"/>
        </w:rPr>
        <w:t>簿</w:t>
      </w:r>
      <w:r>
        <w:rPr>
          <w:rFonts w:hint="eastAsia" w:ascii="仿宋" w:hAnsi="仿宋" w:eastAsia="仿宋" w:cs="仿宋"/>
          <w:b w:val="0"/>
          <w:bCs w:val="0"/>
          <w:color w:val="auto"/>
          <w:sz w:val="32"/>
          <w:szCs w:val="32"/>
        </w:rPr>
        <w:t>副本；</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5</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专利技术</w:t>
      </w:r>
      <w:r>
        <w:rPr>
          <w:rFonts w:hint="eastAsia" w:ascii="仿宋" w:hAnsi="仿宋" w:eastAsia="仿宋" w:cs="仿宋"/>
          <w:b w:val="0"/>
          <w:bCs w:val="0"/>
          <w:color w:val="auto"/>
          <w:sz w:val="32"/>
          <w:szCs w:val="32"/>
          <w:lang w:eastAsia="zh-CN"/>
        </w:rPr>
        <w:t>成果</w:t>
      </w:r>
      <w:r>
        <w:rPr>
          <w:rFonts w:hint="eastAsia" w:ascii="仿宋" w:hAnsi="仿宋" w:eastAsia="仿宋" w:cs="仿宋"/>
          <w:b w:val="0"/>
          <w:bCs w:val="0"/>
          <w:color w:val="auto"/>
          <w:sz w:val="32"/>
          <w:szCs w:val="32"/>
        </w:rPr>
        <w:t>产业化经费支出证明材料；</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具有相关资质的第三方出具的上一个会计年度公司财务报表；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7</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kern w:val="2"/>
          <w:sz w:val="32"/>
          <w:szCs w:val="32"/>
        </w:rPr>
        <w:t>管理部门要求的其他材料</w:t>
      </w:r>
      <w:r>
        <w:rPr>
          <w:rFonts w:hint="eastAsia" w:ascii="仿宋" w:hAnsi="仿宋" w:eastAsia="仿宋" w:cs="仿宋"/>
          <w:b w:val="0"/>
          <w:bCs w:val="0"/>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2"/>
          <w:sz w:val="32"/>
          <w:szCs w:val="32"/>
        </w:rPr>
        <w:t>以上材料均需按顺序装订成册并加盖单位公章。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第六条</w:t>
      </w:r>
      <w:r>
        <w:rPr>
          <w:rFonts w:hint="eastAsia" w:ascii="仿宋" w:hAnsi="仿宋" w:eastAsia="仿宋" w:cs="仿宋"/>
          <w:b w:val="0"/>
          <w:bCs w:val="0"/>
          <w:color w:val="auto"/>
          <w:kern w:val="0"/>
          <w:sz w:val="32"/>
          <w:szCs w:val="32"/>
        </w:rPr>
        <w:t xml:space="preserve"> </w:t>
      </w:r>
      <w:r>
        <w:rPr>
          <w:rFonts w:hint="eastAsia" w:ascii="仿宋" w:hAnsi="仿宋" w:eastAsia="仿宋" w:cs="仿宋"/>
          <w:b w:val="0"/>
          <w:bCs w:val="0"/>
          <w:color w:val="auto"/>
          <w:kern w:val="0"/>
          <w:sz w:val="32"/>
          <w:szCs w:val="32"/>
        </w:rPr>
        <w:t>项目评审及确定。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（一）项目初审：</w:t>
      </w: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负责项目初审，主要对项目的必要性、项目实施单位的能力、申报材料的真实性等进行初步审查，必要时可以到项目实施单位进行实地考察，形成初审意见；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（二）专家评审：由</w:t>
      </w: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根据项目申报情况，聘请相关专家进行评审；评审专家组应由单数组成，原则不应少于五名；评审专家依据《通州区</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项目评价指标》为每一个项目打分，并提出评估意见</w:t>
      </w:r>
      <w:r>
        <w:rPr>
          <w:rFonts w:hint="eastAsia" w:ascii="仿宋" w:hAnsi="仿宋" w:eastAsia="仿宋" w:cs="仿宋"/>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（三）立项决策：根据初审意见和专家评审结果，提出</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项目支持方案，报请区</w:t>
      </w:r>
      <w:r>
        <w:rPr>
          <w:rFonts w:hint="eastAsia" w:ascii="仿宋" w:hAnsi="仿宋" w:eastAsia="仿宋" w:cs="仿宋"/>
          <w:b w:val="0"/>
          <w:bCs w:val="0"/>
          <w:color w:val="auto"/>
          <w:kern w:val="0"/>
          <w:sz w:val="32"/>
          <w:szCs w:val="32"/>
          <w:lang w:eastAsia="zh-CN"/>
        </w:rPr>
        <w:t>市场监督管理局（知识产权局）局长办公会研究确立项目和项目承担单位</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第七条</w:t>
      </w:r>
      <w:r>
        <w:rPr>
          <w:rFonts w:hint="eastAsia" w:ascii="仿宋" w:hAnsi="仿宋" w:eastAsia="仿宋" w:cs="仿宋"/>
          <w:b w:val="0"/>
          <w:bCs w:val="0"/>
          <w:color w:val="auto"/>
          <w:kern w:val="0"/>
          <w:sz w:val="32"/>
          <w:szCs w:val="32"/>
        </w:rPr>
        <w:t xml:space="preserve"> 立项项目结果公示。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（一）立项项目结果在</w:t>
      </w:r>
      <w:r>
        <w:rPr>
          <w:rFonts w:hint="eastAsia" w:ascii="仿宋" w:hAnsi="仿宋" w:eastAsia="仿宋" w:cs="仿宋"/>
          <w:b w:val="0"/>
          <w:bCs w:val="0"/>
          <w:color w:val="auto"/>
          <w:kern w:val="0"/>
          <w:sz w:val="32"/>
          <w:szCs w:val="32"/>
          <w:lang w:eastAsia="zh-CN"/>
        </w:rPr>
        <w:t>通州区人民政府</w:t>
      </w:r>
      <w:r>
        <w:rPr>
          <w:rFonts w:hint="eastAsia" w:ascii="仿宋" w:hAnsi="仿宋" w:eastAsia="仿宋" w:cs="仿宋"/>
          <w:b w:val="0"/>
          <w:bCs w:val="0"/>
          <w:color w:val="auto"/>
          <w:kern w:val="0"/>
          <w:sz w:val="32"/>
          <w:szCs w:val="32"/>
        </w:rPr>
        <w:t>网站公示，公示期为10个工作日；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（二）</w:t>
      </w: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负责组织对有异议的项目进行调查并提出</w:t>
      </w:r>
      <w:r>
        <w:rPr>
          <w:rFonts w:hint="eastAsia" w:ascii="仿宋" w:hAnsi="仿宋" w:eastAsia="仿宋" w:cs="仿宋"/>
          <w:b w:val="0"/>
          <w:bCs w:val="0"/>
          <w:color w:val="auto"/>
          <w:kern w:val="0"/>
          <w:sz w:val="32"/>
          <w:szCs w:val="32"/>
          <w:lang w:eastAsia="zh-CN"/>
        </w:rPr>
        <w:t>修改</w:t>
      </w:r>
      <w:r>
        <w:rPr>
          <w:rFonts w:hint="eastAsia" w:ascii="仿宋" w:hAnsi="仿宋" w:eastAsia="仿宋" w:cs="仿宋"/>
          <w:b w:val="0"/>
          <w:bCs w:val="0"/>
          <w:color w:val="auto"/>
          <w:kern w:val="0"/>
          <w:sz w:val="32"/>
          <w:szCs w:val="32"/>
        </w:rPr>
        <w:t>意见和建议，报请区</w:t>
      </w:r>
      <w:r>
        <w:rPr>
          <w:rFonts w:hint="eastAsia" w:ascii="仿宋" w:hAnsi="仿宋" w:eastAsia="仿宋" w:cs="仿宋"/>
          <w:b w:val="0"/>
          <w:bCs w:val="0"/>
          <w:color w:val="auto"/>
          <w:kern w:val="0"/>
          <w:sz w:val="32"/>
          <w:szCs w:val="32"/>
          <w:lang w:eastAsia="zh-CN"/>
        </w:rPr>
        <w:t>市场监督管理局（知识产权局）局长办公会重新审定</w:t>
      </w:r>
      <w:r>
        <w:rPr>
          <w:rFonts w:hint="eastAsia" w:ascii="仿宋" w:hAnsi="仿宋" w:eastAsia="仿宋" w:cs="仿宋"/>
          <w:b w:val="0"/>
          <w:bCs w:val="0"/>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（三）</w:t>
      </w:r>
      <w:r>
        <w:rPr>
          <w:rFonts w:hint="eastAsia" w:ascii="仿宋" w:hAnsi="仿宋" w:eastAsia="仿宋" w:cs="仿宋"/>
          <w:b w:val="0"/>
          <w:bCs w:val="0"/>
          <w:color w:val="auto"/>
          <w:kern w:val="0"/>
          <w:sz w:val="32"/>
          <w:szCs w:val="32"/>
          <w:lang w:eastAsia="zh-CN"/>
        </w:rPr>
        <w:t>审定结束后</w:t>
      </w:r>
      <w:r>
        <w:rPr>
          <w:rFonts w:hint="eastAsia" w:ascii="仿宋" w:hAnsi="仿宋" w:eastAsia="仿宋" w:cs="仿宋"/>
          <w:b w:val="0"/>
          <w:bCs w:val="0"/>
          <w:color w:val="auto"/>
          <w:kern w:val="0"/>
          <w:sz w:val="32"/>
          <w:szCs w:val="32"/>
        </w:rPr>
        <w:t>，由</w:t>
      </w: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下达《通州区</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项目立项确认书》</w:t>
      </w:r>
      <w:r>
        <w:rPr>
          <w:rFonts w:hint="eastAsia" w:ascii="仿宋" w:hAnsi="仿宋" w:eastAsia="仿宋" w:cs="仿宋"/>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第八条</w:t>
      </w:r>
      <w:r>
        <w:rPr>
          <w:rFonts w:hint="eastAsia" w:ascii="仿宋" w:hAnsi="仿宋" w:eastAsia="仿宋" w:cs="仿宋"/>
          <w:b w:val="0"/>
          <w:bCs w:val="0"/>
          <w:color w:val="auto"/>
          <w:kern w:val="0"/>
          <w:sz w:val="32"/>
          <w:szCs w:val="32"/>
        </w:rPr>
        <w:t xml:space="preserve"> 签订资助协议书。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与项目</w:t>
      </w:r>
      <w:r>
        <w:rPr>
          <w:rFonts w:hint="eastAsia" w:ascii="仿宋" w:hAnsi="仿宋" w:eastAsia="仿宋" w:cs="仿宋"/>
          <w:b w:val="0"/>
          <w:bCs w:val="0"/>
          <w:color w:val="auto"/>
          <w:kern w:val="0"/>
          <w:sz w:val="32"/>
          <w:szCs w:val="32"/>
          <w:lang w:eastAsia="zh-CN"/>
        </w:rPr>
        <w:t>承担</w:t>
      </w:r>
      <w:r>
        <w:rPr>
          <w:rFonts w:hint="eastAsia" w:ascii="仿宋" w:hAnsi="仿宋" w:eastAsia="仿宋" w:cs="仿宋"/>
          <w:b w:val="0"/>
          <w:bCs w:val="0"/>
          <w:color w:val="auto"/>
          <w:kern w:val="0"/>
          <w:sz w:val="32"/>
          <w:szCs w:val="32"/>
        </w:rPr>
        <w:t>单位签订《通州区</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项目资助协议书》，并办理相关手续</w:t>
      </w:r>
      <w:r>
        <w:rPr>
          <w:rFonts w:hint="eastAsia" w:ascii="仿宋" w:hAnsi="仿宋" w:eastAsia="仿宋" w:cs="仿宋"/>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50" w:line="560" w:lineRule="exact"/>
        <w:ind w:firstLine="640" w:firstLineChars="200"/>
        <w:jc w:val="center"/>
        <w:textAlignment w:val="auto"/>
        <w:rPr>
          <w:rFonts w:ascii="仿宋_GB2312" w:eastAsia="仿宋_GB2312" w:cs="宋体"/>
          <w:b w:val="0"/>
          <w:bCs w:val="0"/>
          <w:color w:val="auto"/>
          <w:kern w:val="0"/>
          <w:sz w:val="32"/>
          <w:szCs w:val="32"/>
        </w:rPr>
      </w:pPr>
      <w:r>
        <w:rPr>
          <w:rFonts w:hint="eastAsia" w:ascii="黑体" w:hAnsi="黑体" w:eastAsia="黑体" w:cs="黑体"/>
          <w:b w:val="0"/>
          <w:bCs w:val="0"/>
          <w:color w:val="auto"/>
          <w:kern w:val="0"/>
          <w:sz w:val="32"/>
          <w:szCs w:val="32"/>
        </w:rPr>
        <w:t>第三章 项目实施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第九条</w:t>
      </w:r>
      <w:r>
        <w:rPr>
          <w:rFonts w:hint="eastAsia" w:ascii="仿宋" w:hAnsi="仿宋" w:eastAsia="仿宋" w:cs="仿宋"/>
          <w:b w:val="0"/>
          <w:bCs w:val="0"/>
          <w:color w:val="auto"/>
          <w:kern w:val="0"/>
          <w:sz w:val="32"/>
          <w:szCs w:val="32"/>
        </w:rPr>
        <w:t xml:space="preserve"> 承担</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项目的单位，在项目实施过程中应履行如下职责：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（一）保证</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项目资金专款专用，不得挪作他用；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（二）接受</w:t>
      </w: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对项目实施情况的监督检查；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（三）项目实施中发生影响项目按期完成的重大事件，应及时向</w:t>
      </w: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书面报告，经区知识产权局确定处理意见后执行</w:t>
      </w:r>
      <w:r>
        <w:rPr>
          <w:rFonts w:hint="eastAsia" w:ascii="仿宋" w:hAnsi="仿宋" w:eastAsia="仿宋" w:cs="仿宋"/>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第十条</w:t>
      </w:r>
      <w:r>
        <w:rPr>
          <w:rFonts w:hint="eastAsia" w:ascii="仿宋" w:hAnsi="仿宋" w:eastAsia="仿宋" w:cs="仿宋"/>
          <w:b w:val="0"/>
          <w:bCs w:val="0"/>
          <w:color w:val="auto"/>
          <w:kern w:val="0"/>
          <w:sz w:val="32"/>
          <w:szCs w:val="32"/>
        </w:rPr>
        <w:t xml:space="preserve"> </w:t>
      </w: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在项目实施过程中的职责：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（一）按照规定程序下拨</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（二）采取抽查的方式，监督检查项目执行情况和项目经费使用情况；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（三）协调解决项目实施中的重大问题</w:t>
      </w:r>
      <w:r>
        <w:rPr>
          <w:rFonts w:hint="eastAsia" w:ascii="仿宋" w:hAnsi="仿宋" w:eastAsia="仿宋" w:cs="仿宋"/>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第十一条</w:t>
      </w:r>
      <w:r>
        <w:rPr>
          <w:rFonts w:hint="eastAsia" w:ascii="仿宋" w:hAnsi="仿宋" w:eastAsia="仿宋" w:cs="仿宋"/>
          <w:b w:val="0"/>
          <w:bCs w:val="0"/>
          <w:color w:val="auto"/>
          <w:kern w:val="0"/>
          <w:sz w:val="32"/>
          <w:szCs w:val="32"/>
        </w:rPr>
        <w:t xml:space="preserve"> 发生以下情况，</w:t>
      </w:r>
      <w:r>
        <w:rPr>
          <w:rFonts w:hint="eastAsia" w:ascii="仿宋" w:hAnsi="仿宋" w:eastAsia="仿宋" w:cs="仿宋"/>
          <w:b w:val="0"/>
          <w:bCs w:val="0"/>
          <w:color w:val="auto"/>
          <w:kern w:val="0"/>
          <w:sz w:val="32"/>
          <w:szCs w:val="32"/>
          <w:lang w:eastAsia="zh-CN"/>
        </w:rPr>
        <w:t>区知识产权局</w:t>
      </w:r>
      <w:r>
        <w:rPr>
          <w:rFonts w:hint="eastAsia" w:ascii="仿宋" w:hAnsi="仿宋" w:eastAsia="仿宋" w:cs="仿宋"/>
          <w:b w:val="0"/>
          <w:bCs w:val="0"/>
          <w:color w:val="auto"/>
          <w:kern w:val="0"/>
          <w:sz w:val="32"/>
          <w:szCs w:val="32"/>
        </w:rPr>
        <w:t>有权终止《通州区</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项目资助协议书》，并收回部分或全部</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项目资金</w:t>
      </w:r>
      <w:r>
        <w:rPr>
          <w:rFonts w:hint="eastAsia" w:ascii="仿宋" w:hAnsi="仿宋" w:eastAsia="仿宋" w:cs="仿宋"/>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（一）</w:t>
      </w:r>
      <w:r>
        <w:rPr>
          <w:rFonts w:hint="eastAsia" w:ascii="仿宋" w:hAnsi="仿宋" w:eastAsia="仿宋" w:cs="仿宋"/>
          <w:b w:val="0"/>
          <w:bCs w:val="0"/>
          <w:color w:val="auto"/>
          <w:kern w:val="0"/>
          <w:sz w:val="32"/>
          <w:szCs w:val="32"/>
          <w:lang w:eastAsia="zh-CN"/>
        </w:rPr>
        <w:t>承担单位</w:t>
      </w:r>
      <w:r>
        <w:rPr>
          <w:rFonts w:hint="eastAsia" w:ascii="仿宋" w:hAnsi="仿宋" w:eastAsia="仿宋" w:cs="仿宋"/>
          <w:b w:val="0"/>
          <w:bCs w:val="0"/>
          <w:color w:val="auto"/>
          <w:kern w:val="0"/>
          <w:sz w:val="32"/>
          <w:szCs w:val="32"/>
        </w:rPr>
        <w:t>在申报过程中弄虚作假的；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（二）</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项目资金未专款专用，擅自改变用途的；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（三）</w:t>
      </w:r>
      <w:r>
        <w:rPr>
          <w:rFonts w:hint="eastAsia" w:ascii="仿宋" w:hAnsi="仿宋" w:eastAsia="仿宋" w:cs="仿宋"/>
          <w:b w:val="0"/>
          <w:bCs w:val="0"/>
          <w:color w:val="auto"/>
          <w:kern w:val="0"/>
          <w:sz w:val="32"/>
          <w:szCs w:val="32"/>
          <w:lang w:eastAsia="zh-CN"/>
        </w:rPr>
        <w:t>专利技术成果产业化</w:t>
      </w:r>
      <w:r>
        <w:rPr>
          <w:rFonts w:hint="eastAsia" w:ascii="仿宋" w:hAnsi="仿宋" w:eastAsia="仿宋" w:cs="仿宋"/>
          <w:b w:val="0"/>
          <w:bCs w:val="0"/>
          <w:color w:val="auto"/>
          <w:kern w:val="0"/>
          <w:sz w:val="32"/>
          <w:szCs w:val="32"/>
        </w:rPr>
        <w:t>项目未按计划进行，且无有效措施加以补救的</w:t>
      </w:r>
      <w:r>
        <w:rPr>
          <w:rFonts w:hint="eastAsia" w:ascii="仿宋" w:hAnsi="仿宋" w:eastAsia="仿宋" w:cs="仿宋"/>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50" w:line="560" w:lineRule="exact"/>
        <w:ind w:firstLine="643" w:firstLineChars="200"/>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第四章 项目验收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val="0"/>
          <w:bCs w:val="0"/>
          <w:color w:val="auto"/>
          <w:kern w:val="0"/>
          <w:sz w:val="32"/>
          <w:szCs w:val="32"/>
          <w:lang w:eastAsia="zh-CN"/>
        </w:rPr>
      </w:pPr>
      <w:r>
        <w:rPr>
          <w:rFonts w:hint="eastAsia" w:ascii="仿宋_GB2312" w:eastAsia="仿宋_GB2312"/>
          <w:b w:val="0"/>
          <w:bCs w:val="0"/>
          <w:color w:val="auto"/>
          <w:kern w:val="0"/>
          <w:sz w:val="32"/>
          <w:szCs w:val="32"/>
        </w:rPr>
        <w:t>第十二条</w:t>
      </w:r>
      <w:r>
        <w:rPr>
          <w:rFonts w:hint="eastAsia" w:ascii="仿宋_GB2312" w:eastAsia="仿宋_GB2312"/>
          <w:b w:val="0"/>
          <w:bCs w:val="0"/>
          <w:color w:val="auto"/>
          <w:kern w:val="0"/>
          <w:sz w:val="32"/>
          <w:szCs w:val="32"/>
        </w:rPr>
        <w:t xml:space="preserve"> </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项目期满后，项目</w:t>
      </w:r>
      <w:r>
        <w:rPr>
          <w:rFonts w:hint="eastAsia" w:ascii="仿宋_GB2312" w:eastAsia="仿宋_GB2312"/>
          <w:b w:val="0"/>
          <w:bCs w:val="0"/>
          <w:color w:val="auto"/>
          <w:kern w:val="0"/>
          <w:sz w:val="32"/>
          <w:szCs w:val="32"/>
          <w:lang w:eastAsia="zh-CN"/>
        </w:rPr>
        <w:t>承担</w:t>
      </w:r>
      <w:r>
        <w:rPr>
          <w:rFonts w:hint="eastAsia" w:ascii="仿宋_GB2312" w:eastAsia="仿宋_GB2312"/>
          <w:b w:val="0"/>
          <w:bCs w:val="0"/>
          <w:color w:val="auto"/>
          <w:kern w:val="0"/>
          <w:sz w:val="32"/>
          <w:szCs w:val="32"/>
        </w:rPr>
        <w:t>单位应</w:t>
      </w:r>
      <w:r>
        <w:rPr>
          <w:rFonts w:hint="eastAsia" w:ascii="仿宋_GB2312" w:eastAsia="仿宋_GB2312"/>
          <w:b w:val="0"/>
          <w:bCs w:val="0"/>
          <w:color w:val="auto"/>
          <w:kern w:val="0"/>
          <w:sz w:val="32"/>
          <w:szCs w:val="32"/>
          <w:lang w:eastAsia="zh-CN"/>
        </w:rPr>
        <w:t>按要求</w:t>
      </w:r>
      <w:r>
        <w:rPr>
          <w:rFonts w:hint="eastAsia" w:ascii="仿宋_GB2312" w:eastAsia="仿宋_GB2312"/>
          <w:b w:val="0"/>
          <w:bCs w:val="0"/>
          <w:color w:val="auto"/>
          <w:kern w:val="0"/>
          <w:sz w:val="32"/>
          <w:szCs w:val="32"/>
        </w:rPr>
        <w:t>填报《通州区</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项目验收报告书》、</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项目工作总结、《通州区</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项目经费总决算表》</w:t>
      </w:r>
      <w:r>
        <w:rPr>
          <w:rFonts w:hint="eastAsia" w:ascii="仿宋_GB2312" w:eastAsia="仿宋_GB2312"/>
          <w:b w:val="0"/>
          <w:bCs w:val="0"/>
          <w:color w:val="auto"/>
          <w:kern w:val="0"/>
          <w:sz w:val="32"/>
          <w:szCs w:val="32"/>
          <w:lang w:eastAsia="zh-CN"/>
        </w:rPr>
        <w:t>、《</w:t>
      </w:r>
      <w:r>
        <w:rPr>
          <w:rFonts w:hint="eastAsia" w:ascii="仿宋_GB2312" w:eastAsia="仿宋_GB2312"/>
          <w:b w:val="0"/>
          <w:bCs w:val="0"/>
          <w:color w:val="auto"/>
          <w:kern w:val="0"/>
          <w:sz w:val="32"/>
          <w:szCs w:val="32"/>
        </w:rPr>
        <w:t>通州区</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w:t>
      </w:r>
      <w:r>
        <w:rPr>
          <w:rFonts w:hint="eastAsia" w:ascii="仿宋_GB2312" w:eastAsia="仿宋_GB2312"/>
          <w:b w:val="0"/>
          <w:bCs w:val="0"/>
          <w:color w:val="auto"/>
          <w:kern w:val="0"/>
          <w:sz w:val="32"/>
          <w:szCs w:val="32"/>
          <w:lang w:eastAsia="zh-CN"/>
        </w:rPr>
        <w:t>结题审计报告》</w:t>
      </w:r>
      <w:r>
        <w:rPr>
          <w:rFonts w:hint="eastAsia" w:ascii="仿宋_GB2312" w:eastAsia="仿宋_GB2312"/>
          <w:b w:val="0"/>
          <w:bCs w:val="0"/>
          <w:color w:val="auto"/>
          <w:kern w:val="0"/>
          <w:sz w:val="32"/>
          <w:szCs w:val="32"/>
        </w:rPr>
        <w:t>等材料，</w:t>
      </w:r>
      <w:r>
        <w:rPr>
          <w:rFonts w:hint="eastAsia" w:ascii="仿宋_GB2312" w:eastAsia="仿宋_GB2312"/>
          <w:b w:val="0"/>
          <w:bCs w:val="0"/>
          <w:color w:val="auto"/>
          <w:kern w:val="0"/>
          <w:sz w:val="32"/>
          <w:szCs w:val="32"/>
          <w:lang w:eastAsia="zh-CN"/>
        </w:rPr>
        <w:t>由区知识产权局</w:t>
      </w:r>
      <w:r>
        <w:rPr>
          <w:rFonts w:hint="eastAsia" w:ascii="仿宋_GB2312" w:eastAsia="仿宋_GB2312"/>
          <w:b w:val="0"/>
          <w:bCs w:val="0"/>
          <w:color w:val="auto"/>
          <w:kern w:val="0"/>
          <w:sz w:val="32"/>
          <w:szCs w:val="32"/>
        </w:rPr>
        <w:t>组织验收</w:t>
      </w:r>
      <w:r>
        <w:rPr>
          <w:rFonts w:hint="eastAsia" w:ascii="仿宋_GB2312" w:eastAsia="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val="0"/>
          <w:bCs w:val="0"/>
          <w:color w:val="auto"/>
          <w:kern w:val="0"/>
          <w:sz w:val="32"/>
          <w:szCs w:val="32"/>
          <w:lang w:eastAsia="zh-CN"/>
        </w:rPr>
      </w:pPr>
      <w:r>
        <w:rPr>
          <w:rFonts w:hint="eastAsia" w:ascii="仿宋_GB2312" w:eastAsia="仿宋_GB2312"/>
          <w:b w:val="0"/>
          <w:bCs w:val="0"/>
          <w:color w:val="auto"/>
          <w:kern w:val="0"/>
          <w:sz w:val="32"/>
          <w:szCs w:val="32"/>
        </w:rPr>
        <w:t>第十三条</w:t>
      </w:r>
      <w:r>
        <w:rPr>
          <w:rFonts w:hint="eastAsia" w:ascii="仿宋_GB2312" w:eastAsia="仿宋_GB2312"/>
          <w:b w:val="0"/>
          <w:bCs w:val="0"/>
          <w:color w:val="auto"/>
          <w:kern w:val="0"/>
          <w:sz w:val="32"/>
          <w:szCs w:val="32"/>
        </w:rPr>
        <w:t xml:space="preserve"> </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项目验收应当以签订的《通州区</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项目资助协议书》规定的内容、目标为依据</w:t>
      </w:r>
      <w:r>
        <w:rPr>
          <w:rFonts w:hint="eastAsia" w:ascii="仿宋_GB2312" w:eastAsia="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第十四条</w:t>
      </w:r>
      <w:r>
        <w:rPr>
          <w:rFonts w:hint="eastAsia" w:ascii="仿宋_GB2312" w:eastAsia="仿宋_GB2312"/>
          <w:b w:val="0"/>
          <w:bCs w:val="0"/>
          <w:color w:val="auto"/>
          <w:kern w:val="0"/>
          <w:sz w:val="32"/>
          <w:szCs w:val="32"/>
        </w:rPr>
        <w:t xml:space="preserve"> 因特殊原因不能如期验收的</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项目，项目</w:t>
      </w:r>
      <w:r>
        <w:rPr>
          <w:rFonts w:hint="eastAsia" w:ascii="仿宋_GB2312" w:eastAsia="仿宋_GB2312"/>
          <w:b w:val="0"/>
          <w:bCs w:val="0"/>
          <w:color w:val="auto"/>
          <w:kern w:val="0"/>
          <w:sz w:val="32"/>
          <w:szCs w:val="32"/>
          <w:lang w:eastAsia="zh-CN"/>
        </w:rPr>
        <w:t>承担</w:t>
      </w:r>
      <w:r>
        <w:rPr>
          <w:rFonts w:hint="eastAsia" w:ascii="仿宋_GB2312" w:eastAsia="仿宋_GB2312"/>
          <w:b w:val="0"/>
          <w:bCs w:val="0"/>
          <w:color w:val="auto"/>
          <w:kern w:val="0"/>
          <w:sz w:val="32"/>
          <w:szCs w:val="32"/>
        </w:rPr>
        <w:t>单位应当以书面报告的形式向</w:t>
      </w:r>
      <w:r>
        <w:rPr>
          <w:rFonts w:hint="eastAsia" w:ascii="仿宋_GB2312" w:eastAsia="仿宋_GB2312"/>
          <w:b w:val="0"/>
          <w:bCs w:val="0"/>
          <w:color w:val="auto"/>
          <w:kern w:val="0"/>
          <w:sz w:val="32"/>
          <w:szCs w:val="32"/>
          <w:lang w:eastAsia="zh-CN"/>
        </w:rPr>
        <w:t>区知识产权局</w:t>
      </w:r>
      <w:r>
        <w:rPr>
          <w:rFonts w:hint="eastAsia" w:ascii="仿宋_GB2312" w:eastAsia="仿宋_GB2312"/>
          <w:b w:val="0"/>
          <w:bCs w:val="0"/>
          <w:color w:val="auto"/>
          <w:kern w:val="0"/>
          <w:sz w:val="32"/>
          <w:szCs w:val="32"/>
        </w:rPr>
        <w:t>申请延期验收，经</w:t>
      </w:r>
      <w:r>
        <w:rPr>
          <w:rFonts w:hint="eastAsia" w:ascii="仿宋_GB2312" w:eastAsia="仿宋_GB2312"/>
          <w:b w:val="0"/>
          <w:bCs w:val="0"/>
          <w:color w:val="auto"/>
          <w:kern w:val="0"/>
          <w:sz w:val="32"/>
          <w:szCs w:val="32"/>
          <w:lang w:eastAsia="zh-CN"/>
        </w:rPr>
        <w:t>区知识产权局</w:t>
      </w:r>
      <w:r>
        <w:rPr>
          <w:rFonts w:hint="eastAsia" w:ascii="仿宋_GB2312" w:eastAsia="仿宋_GB2312"/>
          <w:b w:val="0"/>
          <w:bCs w:val="0"/>
          <w:color w:val="auto"/>
          <w:kern w:val="0"/>
          <w:sz w:val="32"/>
          <w:szCs w:val="32"/>
        </w:rPr>
        <w:t>确定处理意见后执行</w:t>
      </w:r>
      <w:r>
        <w:rPr>
          <w:rFonts w:hint="eastAsia" w:ascii="仿宋_GB2312" w:eastAsia="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val="0"/>
          <w:bCs w:val="0"/>
          <w:color w:val="auto"/>
          <w:kern w:val="0"/>
          <w:sz w:val="32"/>
          <w:szCs w:val="32"/>
          <w:lang w:eastAsia="zh-CN"/>
        </w:rPr>
      </w:pPr>
      <w:r>
        <w:rPr>
          <w:rFonts w:hint="eastAsia" w:ascii="仿宋_GB2312" w:eastAsia="仿宋_GB2312"/>
          <w:b w:val="0"/>
          <w:bCs w:val="0"/>
          <w:color w:val="auto"/>
          <w:kern w:val="0"/>
          <w:sz w:val="32"/>
          <w:szCs w:val="32"/>
        </w:rPr>
        <w:t>第十五条</w:t>
      </w:r>
      <w:r>
        <w:rPr>
          <w:rFonts w:hint="eastAsia" w:ascii="仿宋_GB2312" w:eastAsia="仿宋_GB2312"/>
          <w:b w:val="0"/>
          <w:bCs w:val="0"/>
          <w:color w:val="auto"/>
          <w:kern w:val="0"/>
          <w:sz w:val="32"/>
          <w:szCs w:val="32"/>
        </w:rPr>
        <w:t xml:space="preserve"> </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项目存在下列情况之一</w:t>
      </w:r>
      <w:r>
        <w:rPr>
          <w:rFonts w:hint="eastAsia" w:ascii="仿宋_GB2312" w:eastAsia="仿宋_GB2312"/>
          <w:b w:val="0"/>
          <w:bCs w:val="0"/>
          <w:color w:val="auto"/>
          <w:kern w:val="0"/>
          <w:sz w:val="32"/>
          <w:szCs w:val="32"/>
          <w:lang w:eastAsia="zh-CN"/>
        </w:rPr>
        <w:t>的，</w:t>
      </w:r>
      <w:r>
        <w:rPr>
          <w:rFonts w:hint="eastAsia" w:ascii="仿宋_GB2312" w:eastAsia="仿宋_GB2312"/>
          <w:b w:val="0"/>
          <w:bCs w:val="0"/>
          <w:color w:val="auto"/>
          <w:kern w:val="0"/>
          <w:sz w:val="32"/>
          <w:szCs w:val="32"/>
        </w:rPr>
        <w:t>不得通过验收</w:t>
      </w:r>
      <w:r>
        <w:rPr>
          <w:rFonts w:hint="eastAsia" w:ascii="仿宋_GB2312" w:eastAsia="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（一）</w:t>
      </w:r>
      <w:r>
        <w:rPr>
          <w:rFonts w:hint="eastAsia" w:ascii="仿宋_GB2312" w:eastAsia="仿宋_GB2312"/>
          <w:b w:val="0"/>
          <w:bCs w:val="0"/>
          <w:color w:val="auto"/>
          <w:kern w:val="0"/>
          <w:sz w:val="32"/>
          <w:szCs w:val="32"/>
          <w:lang w:eastAsia="zh-CN"/>
        </w:rPr>
        <w:t>项目完成情况未达到</w:t>
      </w:r>
      <w:r>
        <w:rPr>
          <w:rFonts w:hint="eastAsia" w:ascii="仿宋_GB2312" w:eastAsia="仿宋_GB2312"/>
          <w:b w:val="0"/>
          <w:bCs w:val="0"/>
          <w:color w:val="auto"/>
          <w:kern w:val="0"/>
          <w:sz w:val="32"/>
          <w:szCs w:val="32"/>
        </w:rPr>
        <w:t>《通州区</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项目资助协议书》规定任务</w:t>
      </w:r>
      <w:r>
        <w:rPr>
          <w:rFonts w:hint="eastAsia" w:ascii="仿宋_GB2312" w:eastAsia="仿宋_GB2312"/>
          <w:b w:val="0"/>
          <w:bCs w:val="0"/>
          <w:color w:val="auto"/>
          <w:kern w:val="0"/>
          <w:sz w:val="32"/>
          <w:szCs w:val="32"/>
          <w:lang w:eastAsia="zh-CN"/>
        </w:rPr>
        <w:t>目标</w:t>
      </w:r>
      <w:r>
        <w:rPr>
          <w:rFonts w:hint="eastAsia" w:ascii="仿宋_GB2312" w:eastAsia="仿宋_GB2312"/>
          <w:b w:val="0"/>
          <w:bCs w:val="0"/>
          <w:color w:val="auto"/>
          <w:kern w:val="0"/>
          <w:sz w:val="32"/>
          <w:szCs w:val="32"/>
        </w:rPr>
        <w:t>85%；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（二）提供的验收文件材料数据不真实；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color w:val="auto"/>
          <w:kern w:val="0"/>
          <w:sz w:val="32"/>
          <w:szCs w:val="32"/>
          <w:lang w:eastAsia="zh-CN"/>
        </w:rPr>
      </w:pPr>
      <w:r>
        <w:rPr>
          <w:rFonts w:hint="eastAsia" w:ascii="仿宋_GB2312" w:eastAsia="仿宋_GB2312"/>
          <w:b w:val="0"/>
          <w:bCs w:val="0"/>
          <w:color w:val="auto"/>
          <w:kern w:val="0"/>
          <w:sz w:val="32"/>
          <w:szCs w:val="32"/>
        </w:rPr>
        <w:t>（三）擅自修改《通州区</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项目资助协议书》中考核指标内容</w:t>
      </w:r>
      <w:r>
        <w:rPr>
          <w:rFonts w:hint="eastAsia" w:ascii="仿宋_GB2312" w:eastAsia="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val="0"/>
          <w:bCs w:val="0"/>
          <w:color w:val="auto"/>
          <w:kern w:val="0"/>
          <w:sz w:val="32"/>
          <w:szCs w:val="32"/>
          <w:lang w:eastAsia="zh-CN"/>
        </w:rPr>
      </w:pPr>
      <w:r>
        <w:rPr>
          <w:rFonts w:hint="eastAsia" w:ascii="仿宋_GB2312" w:eastAsia="仿宋_GB2312"/>
          <w:b w:val="0"/>
          <w:bCs w:val="0"/>
          <w:color w:val="auto"/>
          <w:kern w:val="0"/>
          <w:sz w:val="32"/>
          <w:szCs w:val="32"/>
        </w:rPr>
        <w:t>第十六条</w:t>
      </w:r>
      <w:r>
        <w:rPr>
          <w:rFonts w:hint="eastAsia" w:ascii="仿宋_GB2312" w:eastAsia="仿宋_GB2312"/>
          <w:b w:val="0"/>
          <w:bCs w:val="0"/>
          <w:color w:val="auto"/>
          <w:kern w:val="0"/>
          <w:sz w:val="32"/>
          <w:szCs w:val="32"/>
        </w:rPr>
        <w:t xml:space="preserve"> 对验收未能通过的</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w:t>
      </w:r>
      <w:r>
        <w:rPr>
          <w:rFonts w:hint="eastAsia" w:ascii="仿宋_GB2312" w:eastAsia="仿宋_GB2312"/>
          <w:b w:val="0"/>
          <w:bCs w:val="0"/>
          <w:color w:val="auto"/>
          <w:kern w:val="0"/>
          <w:sz w:val="32"/>
          <w:szCs w:val="32"/>
          <w:lang w:eastAsia="zh-CN"/>
        </w:rPr>
        <w:t>区知识产权局</w:t>
      </w:r>
      <w:r>
        <w:rPr>
          <w:rFonts w:hint="eastAsia" w:ascii="仿宋_GB2312" w:eastAsia="仿宋_GB2312"/>
          <w:b w:val="0"/>
          <w:bCs w:val="0"/>
          <w:color w:val="auto"/>
          <w:kern w:val="0"/>
          <w:sz w:val="32"/>
          <w:szCs w:val="32"/>
        </w:rPr>
        <w:t>将延期半年重新组织验收</w:t>
      </w:r>
      <w:r>
        <w:rPr>
          <w:rFonts w:hint="eastAsia" w:ascii="仿宋_GB2312" w:eastAsia="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第十七条</w:t>
      </w:r>
      <w:r>
        <w:rPr>
          <w:rFonts w:hint="eastAsia" w:ascii="仿宋_GB2312" w:eastAsia="仿宋_GB2312"/>
          <w:b w:val="0"/>
          <w:bCs w:val="0"/>
          <w:color w:val="auto"/>
          <w:kern w:val="0"/>
          <w:sz w:val="32"/>
          <w:szCs w:val="32"/>
        </w:rPr>
        <w:t xml:space="preserve"> 对二次验收未能通过的项目单位，</w:t>
      </w:r>
      <w:r>
        <w:rPr>
          <w:rFonts w:hint="eastAsia" w:ascii="仿宋_GB2312" w:eastAsia="仿宋_GB2312"/>
          <w:b w:val="0"/>
          <w:bCs w:val="0"/>
          <w:color w:val="auto"/>
          <w:kern w:val="0"/>
          <w:sz w:val="32"/>
          <w:szCs w:val="32"/>
          <w:lang w:eastAsia="zh-CN"/>
        </w:rPr>
        <w:t>区知识产权局</w:t>
      </w:r>
      <w:r>
        <w:rPr>
          <w:rFonts w:hint="eastAsia" w:ascii="仿宋_GB2312" w:eastAsia="仿宋_GB2312"/>
          <w:b w:val="0"/>
          <w:bCs w:val="0"/>
          <w:color w:val="auto"/>
          <w:kern w:val="0"/>
          <w:sz w:val="32"/>
          <w:szCs w:val="32"/>
        </w:rPr>
        <w:t>将不再受理该单位以后三年内</w:t>
      </w:r>
      <w:r>
        <w:rPr>
          <w:rFonts w:hint="eastAsia" w:ascii="仿宋_GB2312" w:eastAsia="仿宋_GB2312"/>
          <w:b w:val="0"/>
          <w:bCs w:val="0"/>
          <w:color w:val="auto"/>
          <w:kern w:val="0"/>
          <w:sz w:val="32"/>
          <w:szCs w:val="32"/>
          <w:lang w:eastAsia="zh-CN"/>
        </w:rPr>
        <w:t>专利技术成果产业化</w:t>
      </w:r>
      <w:r>
        <w:rPr>
          <w:rFonts w:hint="eastAsia" w:ascii="仿宋_GB2312" w:eastAsia="仿宋_GB2312"/>
          <w:b w:val="0"/>
          <w:bCs w:val="0"/>
          <w:color w:val="auto"/>
          <w:kern w:val="0"/>
          <w:sz w:val="32"/>
          <w:szCs w:val="32"/>
        </w:rPr>
        <w:t>项目的申报</w:t>
      </w:r>
      <w:r>
        <w:rPr>
          <w:rFonts w:hint="eastAsia" w:ascii="仿宋_GB2312" w:eastAsia="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第十八条</w:t>
      </w:r>
      <w:r>
        <w:rPr>
          <w:rFonts w:hint="eastAsia" w:ascii="仿宋_GB2312" w:eastAsia="仿宋_GB2312"/>
          <w:b w:val="0"/>
          <w:bCs w:val="0"/>
          <w:color w:val="auto"/>
          <w:kern w:val="0"/>
          <w:sz w:val="32"/>
          <w:szCs w:val="32"/>
          <w:lang w:val="en-US" w:eastAsia="zh-CN"/>
        </w:rPr>
        <w:t xml:space="preserve"> </w:t>
      </w:r>
      <w:r>
        <w:rPr>
          <w:rFonts w:hint="eastAsia" w:ascii="仿宋_GB2312" w:eastAsia="仿宋_GB2312"/>
          <w:b w:val="0"/>
          <w:bCs w:val="0"/>
          <w:color w:val="auto"/>
          <w:kern w:val="0"/>
          <w:sz w:val="32"/>
          <w:szCs w:val="32"/>
          <w:lang w:eastAsia="zh-CN"/>
        </w:rPr>
        <w:t>项目执行达到验收标准，经区市场监督管理局（知识产权局）局长办公会审议通过后，项目通过结题验收，并向项目承担单位下达项目完成确认书。</w:t>
      </w:r>
      <w:r>
        <w:rPr>
          <w:rFonts w:hint="eastAsia" w:ascii="仿宋_GB2312" w:eastAsia="仿宋_GB2312"/>
          <w:b w:val="0"/>
          <w:bCs w:val="0"/>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Lines="50" w:line="560" w:lineRule="exact"/>
        <w:ind w:firstLine="643" w:firstLineChars="200"/>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第五章 附则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第十九条</w:t>
      </w:r>
      <w:r>
        <w:rPr>
          <w:rFonts w:hint="eastAsia" w:ascii="仿宋_GB2312" w:eastAsia="仿宋_GB2312"/>
          <w:b w:val="0"/>
          <w:bCs w:val="0"/>
          <w:color w:val="auto"/>
          <w:sz w:val="32"/>
          <w:szCs w:val="32"/>
        </w:rPr>
        <w:t xml:space="preserve"> 本办法由</w:t>
      </w:r>
      <w:r>
        <w:rPr>
          <w:rFonts w:hint="eastAsia" w:ascii="仿宋_GB2312" w:eastAsia="仿宋_GB2312"/>
          <w:b w:val="0"/>
          <w:bCs w:val="0"/>
          <w:color w:val="auto"/>
          <w:sz w:val="32"/>
          <w:szCs w:val="32"/>
          <w:lang w:eastAsia="zh-CN"/>
        </w:rPr>
        <w:t>通州</w:t>
      </w:r>
      <w:r>
        <w:rPr>
          <w:rFonts w:hint="eastAsia" w:ascii="仿宋_GB2312" w:eastAsia="仿宋_GB2312"/>
          <w:b w:val="0"/>
          <w:bCs w:val="0"/>
          <w:color w:val="auto"/>
          <w:kern w:val="0"/>
          <w:sz w:val="32"/>
          <w:szCs w:val="32"/>
          <w:lang w:eastAsia="zh-CN"/>
        </w:rPr>
        <w:t>区知识产权局</w:t>
      </w:r>
      <w:r>
        <w:rPr>
          <w:rFonts w:hint="eastAsia" w:ascii="仿宋_GB2312" w:eastAsia="仿宋_GB2312"/>
          <w:b w:val="0"/>
          <w:bCs w:val="0"/>
          <w:color w:val="auto"/>
          <w:sz w:val="32"/>
          <w:szCs w:val="32"/>
        </w:rPr>
        <w:t>负责解释。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第二十条</w:t>
      </w:r>
      <w:r>
        <w:rPr>
          <w:rFonts w:hint="eastAsia" w:ascii="仿宋_GB2312" w:eastAsia="仿宋_GB2312"/>
          <w:b w:val="0"/>
          <w:bCs w:val="0"/>
          <w:color w:val="auto"/>
          <w:sz w:val="32"/>
          <w:szCs w:val="32"/>
        </w:rPr>
        <w:t xml:space="preserve"> 本办法自</w:t>
      </w:r>
      <w:r>
        <w:rPr>
          <w:rFonts w:hint="eastAsia" w:ascii="仿宋_GB2312" w:eastAsia="仿宋_GB2312"/>
          <w:b w:val="0"/>
          <w:bCs w:val="0"/>
          <w:color w:val="auto"/>
          <w:sz w:val="32"/>
          <w:szCs w:val="32"/>
          <w:lang w:val="en-US" w:eastAsia="zh-CN"/>
        </w:rPr>
        <w:t>2021</w:t>
      </w:r>
      <w:r>
        <w:rPr>
          <w:rFonts w:hint="eastAsia" w:ascii="仿宋_GB2312" w:hAnsi="Arial" w:eastAsia="仿宋_GB2312" w:cs="Arial"/>
          <w:b w:val="0"/>
          <w:bCs w:val="0"/>
          <w:color w:val="auto"/>
          <w:sz w:val="32"/>
          <w:szCs w:val="32"/>
        </w:rPr>
        <w:t>年</w:t>
      </w:r>
      <w:r>
        <w:rPr>
          <w:rFonts w:hint="eastAsia" w:ascii="仿宋_GB2312" w:hAnsi="Arial" w:eastAsia="仿宋_GB2312" w:cs="Arial"/>
          <w:b w:val="0"/>
          <w:bCs w:val="0"/>
          <w:color w:val="auto"/>
          <w:sz w:val="32"/>
          <w:szCs w:val="32"/>
          <w:lang w:val="en-US" w:eastAsia="zh-CN"/>
        </w:rPr>
        <w:t>1</w:t>
      </w:r>
      <w:r>
        <w:rPr>
          <w:rFonts w:hint="eastAsia" w:ascii="仿宋_GB2312" w:hAnsi="Arial" w:eastAsia="仿宋_GB2312" w:cs="Arial"/>
          <w:b w:val="0"/>
          <w:bCs w:val="0"/>
          <w:color w:val="auto"/>
          <w:sz w:val="32"/>
          <w:szCs w:val="32"/>
        </w:rPr>
        <w:t>月</w:t>
      </w:r>
      <w:r>
        <w:rPr>
          <w:rFonts w:hint="eastAsia" w:ascii="仿宋_GB2312" w:hAnsi="Arial" w:eastAsia="仿宋_GB2312" w:cs="Arial"/>
          <w:b w:val="0"/>
          <w:bCs w:val="0"/>
          <w:color w:val="auto"/>
          <w:sz w:val="32"/>
          <w:szCs w:val="32"/>
          <w:lang w:val="en-US" w:eastAsia="zh-CN"/>
        </w:rPr>
        <w:t>1</w:t>
      </w:r>
      <w:r>
        <w:rPr>
          <w:rFonts w:hint="eastAsia" w:ascii="仿宋_GB2312" w:hAnsi="Arial" w:eastAsia="仿宋_GB2312" w:cs="Arial"/>
          <w:b w:val="0"/>
          <w:bCs w:val="0"/>
          <w:color w:val="auto"/>
          <w:sz w:val="32"/>
          <w:szCs w:val="32"/>
        </w:rPr>
        <w:t>日起施行。</w:t>
      </w:r>
    </w:p>
    <w:p>
      <w:pPr>
        <w:pStyle w:val="9"/>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val="0"/>
          <w:bCs w:val="0"/>
          <w:color w:val="auto"/>
        </w:rPr>
      </w:pP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ascii="仿宋" w:hAnsi="仿宋" w:eastAsia="仿宋"/>
          <w:b w:val="0"/>
          <w:bCs w:val="0"/>
        </w:rPr>
      </w:pPr>
    </w:p>
    <w:p>
      <w:pPr>
        <w:pStyle w:val="9"/>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val="0"/>
          <w:bCs w:val="0"/>
        </w:rPr>
      </w:pPr>
    </w:p>
    <w:p>
      <w:pPr>
        <w:pStyle w:val="9"/>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val="0"/>
          <w:bCs w:val="0"/>
        </w:rPr>
      </w:pPr>
    </w:p>
    <w:p>
      <w:pPr>
        <w:pStyle w:val="9"/>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val="0"/>
          <w:bCs w:val="0"/>
        </w:rPr>
      </w:pP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仿宋_GB2312"/>
          <w:b w:val="0"/>
          <w:bCs w:val="0"/>
        </w:rPr>
      </w:pP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仿宋_GB2312"/>
          <w:b w:val="0"/>
          <w:bCs w:val="0"/>
        </w:rPr>
      </w:pPr>
    </w:p>
    <w:p>
      <w:pPr>
        <w:keepNext w:val="0"/>
        <w:keepLines w:val="0"/>
        <w:pageBreakBefore w:val="0"/>
        <w:kinsoku/>
        <w:wordWrap/>
        <w:overflowPunct/>
        <w:topLinePunct w:val="0"/>
        <w:autoSpaceDE/>
        <w:autoSpaceDN/>
        <w:bidi w:val="0"/>
        <w:adjustRightInd/>
        <w:snapToGrid/>
        <w:spacing w:line="560" w:lineRule="exact"/>
        <w:ind w:left="1248" w:right="-624" w:rightChars="-297" w:hanging="1247"/>
        <w:jc w:val="left"/>
        <w:textAlignment w:val="auto"/>
        <w:rPr>
          <w:rFonts w:ascii="仿宋_GB2312"/>
          <w:b w:val="0"/>
          <w:bCs w:val="0"/>
        </w:rPr>
      </w:pPr>
      <w:r>
        <w:rPr>
          <w:rFonts w:hint="eastAsia"/>
          <w:b w:val="0"/>
          <w:bCs w:val="0"/>
        </w:rPr>
        <w:t xml:space="preserve"> </w:t>
      </w: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554842"/>
    <w:rsid w:val="00026537"/>
    <w:rsid w:val="000A65E8"/>
    <w:rsid w:val="00115E13"/>
    <w:rsid w:val="00121D96"/>
    <w:rsid w:val="0017198C"/>
    <w:rsid w:val="00196218"/>
    <w:rsid w:val="001B6021"/>
    <w:rsid w:val="001D5E13"/>
    <w:rsid w:val="00245B23"/>
    <w:rsid w:val="002604A5"/>
    <w:rsid w:val="002C2300"/>
    <w:rsid w:val="003044E5"/>
    <w:rsid w:val="003832F8"/>
    <w:rsid w:val="003D7387"/>
    <w:rsid w:val="003F41B4"/>
    <w:rsid w:val="00432681"/>
    <w:rsid w:val="00445F27"/>
    <w:rsid w:val="00475D48"/>
    <w:rsid w:val="005043F7"/>
    <w:rsid w:val="00554842"/>
    <w:rsid w:val="00584745"/>
    <w:rsid w:val="005856D7"/>
    <w:rsid w:val="005B7B30"/>
    <w:rsid w:val="006200FA"/>
    <w:rsid w:val="00636C2B"/>
    <w:rsid w:val="00744172"/>
    <w:rsid w:val="007630B0"/>
    <w:rsid w:val="00770858"/>
    <w:rsid w:val="00770D7B"/>
    <w:rsid w:val="007767A8"/>
    <w:rsid w:val="00782504"/>
    <w:rsid w:val="00786393"/>
    <w:rsid w:val="008304BD"/>
    <w:rsid w:val="008A59C6"/>
    <w:rsid w:val="008F635A"/>
    <w:rsid w:val="00921679"/>
    <w:rsid w:val="00935D6B"/>
    <w:rsid w:val="009579D6"/>
    <w:rsid w:val="009706E2"/>
    <w:rsid w:val="009C068A"/>
    <w:rsid w:val="009F17BE"/>
    <w:rsid w:val="009F25B0"/>
    <w:rsid w:val="00A032D7"/>
    <w:rsid w:val="00A06E8D"/>
    <w:rsid w:val="00A14A74"/>
    <w:rsid w:val="00A3716E"/>
    <w:rsid w:val="00A63221"/>
    <w:rsid w:val="00AA40F5"/>
    <w:rsid w:val="00AC149D"/>
    <w:rsid w:val="00B26EB4"/>
    <w:rsid w:val="00B45F26"/>
    <w:rsid w:val="00B647BD"/>
    <w:rsid w:val="00BC461E"/>
    <w:rsid w:val="00BC698F"/>
    <w:rsid w:val="00BE5825"/>
    <w:rsid w:val="00C06F4E"/>
    <w:rsid w:val="00C10897"/>
    <w:rsid w:val="00C257FB"/>
    <w:rsid w:val="00C55448"/>
    <w:rsid w:val="00C735AF"/>
    <w:rsid w:val="00C96E5C"/>
    <w:rsid w:val="00CE7E0C"/>
    <w:rsid w:val="00D3351A"/>
    <w:rsid w:val="00D37A4E"/>
    <w:rsid w:val="00D92573"/>
    <w:rsid w:val="00E20C63"/>
    <w:rsid w:val="00EB469B"/>
    <w:rsid w:val="00EE1CE9"/>
    <w:rsid w:val="00F02CCE"/>
    <w:rsid w:val="00F03273"/>
    <w:rsid w:val="00F279CE"/>
    <w:rsid w:val="01137C7A"/>
    <w:rsid w:val="022328B4"/>
    <w:rsid w:val="07D93DE8"/>
    <w:rsid w:val="07E905CF"/>
    <w:rsid w:val="0A395FEC"/>
    <w:rsid w:val="0A617AB5"/>
    <w:rsid w:val="0BCF3051"/>
    <w:rsid w:val="133749F1"/>
    <w:rsid w:val="134F04C3"/>
    <w:rsid w:val="141661CD"/>
    <w:rsid w:val="1DAC43B9"/>
    <w:rsid w:val="1DC60DA6"/>
    <w:rsid w:val="207B2F2B"/>
    <w:rsid w:val="22624B54"/>
    <w:rsid w:val="262154E2"/>
    <w:rsid w:val="27500318"/>
    <w:rsid w:val="27EB7F38"/>
    <w:rsid w:val="28B31FC7"/>
    <w:rsid w:val="2BBC23C0"/>
    <w:rsid w:val="329026FD"/>
    <w:rsid w:val="34E442BB"/>
    <w:rsid w:val="36FC4058"/>
    <w:rsid w:val="37FA0886"/>
    <w:rsid w:val="3B061AF4"/>
    <w:rsid w:val="3B7F121D"/>
    <w:rsid w:val="3CBA02EB"/>
    <w:rsid w:val="3EB04A44"/>
    <w:rsid w:val="3F762AE5"/>
    <w:rsid w:val="44DB5CC2"/>
    <w:rsid w:val="47F62A3B"/>
    <w:rsid w:val="48612265"/>
    <w:rsid w:val="4A4B584C"/>
    <w:rsid w:val="4D5868C7"/>
    <w:rsid w:val="4E6461F7"/>
    <w:rsid w:val="538335C5"/>
    <w:rsid w:val="5B68354B"/>
    <w:rsid w:val="5FB97FEB"/>
    <w:rsid w:val="622D26B9"/>
    <w:rsid w:val="640143FC"/>
    <w:rsid w:val="66B91FC3"/>
    <w:rsid w:val="68912778"/>
    <w:rsid w:val="74253FBE"/>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9"/>
    <w:qFormat/>
    <w:locked/>
    <w:uiPriority w:val="0"/>
    <w:pPr>
      <w:spacing w:afterLines="50" w:line="560" w:lineRule="exact"/>
      <w:jc w:val="center"/>
      <w:outlineLvl w:val="0"/>
    </w:pPr>
    <w:rPr>
      <w:rFonts w:eastAsia="方正小标宋简体"/>
      <w:b/>
      <w:bCs/>
      <w:sz w:val="44"/>
      <w:szCs w:val="32"/>
    </w:rPr>
  </w:style>
  <w:style w:type="paragraph" w:customStyle="1" w:styleId="9">
    <w:name w:val="p0"/>
    <w:basedOn w:val="1"/>
    <w:qFormat/>
    <w:uiPriority w:val="99"/>
    <w:pPr>
      <w:widowControl/>
      <w:spacing w:line="345" w:lineRule="auto"/>
      <w:ind w:left="1" w:firstLine="419"/>
    </w:pPr>
    <w:rPr>
      <w:rFonts w:ascii="Times New Roman" w:hAnsi="Times New Roman"/>
      <w:kern w:val="0"/>
      <w:sz w:val="32"/>
      <w:szCs w:val="32"/>
    </w:rPr>
  </w:style>
  <w:style w:type="paragraph" w:customStyle="1" w:styleId="10">
    <w:name w:val="p16"/>
    <w:basedOn w:val="1"/>
    <w:qFormat/>
    <w:uiPriority w:val="99"/>
    <w:pPr>
      <w:widowControl/>
      <w:spacing w:line="345" w:lineRule="auto"/>
      <w:ind w:left="1" w:firstLine="624"/>
      <w:jc w:val="left"/>
    </w:pPr>
    <w:rPr>
      <w:rFonts w:ascii="楷体_GB2312" w:hAnsi="宋体" w:eastAsia="楷体_GB2312" w:cs="宋体"/>
      <w:kern w:val="0"/>
      <w:sz w:val="28"/>
      <w:szCs w:val="28"/>
    </w:rPr>
  </w:style>
  <w:style w:type="character" w:customStyle="1" w:styleId="11">
    <w:name w:val="15"/>
    <w:basedOn w:val="7"/>
    <w:qFormat/>
    <w:uiPriority w:val="99"/>
    <w:rPr>
      <w:rFonts w:ascii="Times New Roman" w:hAnsi="Times New Roman" w:cs="Times New Roman"/>
      <w:color w:val="0000FF"/>
      <w:u w:val="single"/>
    </w:rPr>
  </w:style>
  <w:style w:type="character" w:customStyle="1" w:styleId="12">
    <w:name w:val="批注框文本 Char"/>
    <w:basedOn w:val="7"/>
    <w:link w:val="3"/>
    <w:semiHidden/>
    <w:qFormat/>
    <w:locked/>
    <w:uiPriority w:val="99"/>
    <w:rPr>
      <w:rFonts w:cs="Times New Roman"/>
      <w:sz w:val="18"/>
      <w:szCs w:val="18"/>
    </w:rPr>
  </w:style>
  <w:style w:type="character" w:customStyle="1" w:styleId="13">
    <w:name w:val="页眉 Char"/>
    <w:basedOn w:val="7"/>
    <w:link w:val="5"/>
    <w:qFormat/>
    <w:locked/>
    <w:uiPriority w:val="99"/>
    <w:rPr>
      <w:rFonts w:cs="Times New Roman"/>
      <w:sz w:val="18"/>
      <w:szCs w:val="18"/>
    </w:rPr>
  </w:style>
  <w:style w:type="character" w:customStyle="1" w:styleId="14">
    <w:name w:val="页脚 Char"/>
    <w:basedOn w:val="7"/>
    <w:link w:val="4"/>
    <w:qFormat/>
    <w:locked/>
    <w:uiPriority w:val="99"/>
    <w:rPr>
      <w:rFonts w:cs="Times New Roman"/>
      <w:sz w:val="18"/>
      <w:szCs w:val="18"/>
    </w:rPr>
  </w:style>
  <w:style w:type="character" w:customStyle="1" w:styleId="15">
    <w:name w:val="日期 Char"/>
    <w:basedOn w:val="7"/>
    <w:link w:val="2"/>
    <w:semiHidden/>
    <w:qFormat/>
    <w:locked/>
    <w:uiPriority w:val="99"/>
    <w:rPr>
      <w:rFonts w:cs="Times New Roman"/>
    </w:rPr>
  </w:style>
  <w:style w:type="paragraph" w:customStyle="1" w:styleId="16">
    <w:name w:val="No Spacing"/>
    <w:link w:val="17"/>
    <w:qFormat/>
    <w:uiPriority w:val="99"/>
    <w:rPr>
      <w:rFonts w:ascii="Calibri" w:hAnsi="Calibri" w:eastAsia="宋体" w:cs="Times New Roman"/>
      <w:kern w:val="0"/>
      <w:sz w:val="22"/>
      <w:szCs w:val="22"/>
      <w:lang w:val="en-US" w:eastAsia="zh-CN" w:bidi="ar-SA"/>
    </w:rPr>
  </w:style>
  <w:style w:type="character" w:customStyle="1" w:styleId="17">
    <w:name w:val="无间隔 Char"/>
    <w:basedOn w:val="7"/>
    <w:link w:val="16"/>
    <w:qFormat/>
    <w:locked/>
    <w:uiPriority w:val="99"/>
    <w:rPr>
      <w:rFonts w:cs="Times New Roman"/>
      <w:sz w:val="22"/>
      <w:szCs w:val="22"/>
      <w:lang w:val="en-US" w:eastAsia="zh-CN" w:bidi="ar-SA"/>
    </w:rPr>
  </w:style>
  <w:style w:type="character" w:customStyle="1" w:styleId="18">
    <w:name w:val="标题 Char"/>
    <w:link w:val="6"/>
    <w:qFormat/>
    <w:locked/>
    <w:uiPriority w:val="0"/>
    <w:rPr>
      <w:rFonts w:eastAsia="方正小标宋简体"/>
      <w:b/>
      <w:bCs/>
      <w:sz w:val="44"/>
      <w:szCs w:val="32"/>
    </w:rPr>
  </w:style>
  <w:style w:type="character" w:customStyle="1" w:styleId="19">
    <w:name w:val="标题 Char1"/>
    <w:basedOn w:val="7"/>
    <w:link w:val="6"/>
    <w:qFormat/>
    <w:uiPriority w:val="0"/>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330</Words>
  <Characters>1885</Characters>
  <Lines>15</Lines>
  <Paragraphs>4</Paragraphs>
  <ScaleCrop>false</ScaleCrop>
  <LinksUpToDate>false</LinksUpToDate>
  <CharactersWithSpaces>2211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2017-10-13T01:14:00Z</dcterms:created>
  <dc:creator>Luxl36</dc:creator>
  <cp:lastModifiedBy>李渊</cp:lastModifiedBy>
  <cp:lastPrinted>2015-01-19T04:13:00Z</cp:lastPrinted>
  <dcterms:modified xsi:type="dcterms:W3CDTF">2020-12-22T07:02:09Z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