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微软雅黑" w:eastAsia="方正小标宋简体"/>
          <w:b/>
          <w:color w:val="404040"/>
          <w:sz w:val="44"/>
          <w:szCs w:val="44"/>
        </w:rPr>
      </w:pPr>
      <w:r>
        <w:rPr>
          <w:rStyle w:val="16"/>
          <w:rFonts w:hint="eastAsia" w:ascii="方正小标宋简体" w:hAnsi="方正小标宋简体" w:eastAsia="方正小标宋简体" w:cs="方正小标宋简体"/>
          <w:b w:val="0"/>
          <w:bCs/>
          <w:color w:val="333333"/>
          <w:kern w:val="0"/>
          <w:sz w:val="44"/>
          <w:szCs w:val="44"/>
          <w:shd w:val="clear" w:color="auto" w:fill="FFFFFF"/>
        </w:rPr>
        <w:t>《</w:t>
      </w:r>
      <w:r>
        <w:rPr>
          <w:rFonts w:hint="eastAsia" w:ascii="方正小标宋简体" w:hAnsi="微软雅黑" w:eastAsia="方正小标宋简体"/>
          <w:b/>
          <w:color w:val="404040"/>
          <w:sz w:val="44"/>
          <w:szCs w:val="44"/>
        </w:rPr>
        <w:t>北京服装学院（通州校区）设计小镇创新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微软雅黑" w:eastAsia="方正小标宋简体"/>
          <w:b/>
          <w:color w:val="404040"/>
          <w:sz w:val="44"/>
          <w:szCs w:val="44"/>
        </w:rPr>
      </w:pPr>
      <w:r>
        <w:rPr>
          <w:rFonts w:hint="eastAsia" w:ascii="方正小标宋简体" w:hAnsi="微软雅黑" w:eastAsia="方正小标宋简体"/>
          <w:b/>
          <w:color w:val="404040"/>
          <w:sz w:val="44"/>
          <w:szCs w:val="44"/>
        </w:rPr>
        <w:t>中心C5、D1楼改造项目城市更新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Style w:val="16"/>
          <w:rFonts w:hint="eastAsia" w:ascii="方正小标宋简体" w:hAnsi="方正小标宋简体" w:eastAsia="方正小标宋简体" w:cs="方正小标宋简体"/>
          <w:bCs/>
          <w:color w:val="333333"/>
          <w:kern w:val="0"/>
          <w:sz w:val="44"/>
          <w:szCs w:val="44"/>
          <w:shd w:val="clear" w:color="auto" w:fill="FFFFFF"/>
        </w:rPr>
      </w:pPr>
      <w:r>
        <w:rPr>
          <w:rFonts w:hint="eastAsia" w:ascii="方正小标宋简体" w:hAnsi="微软雅黑" w:eastAsia="方正小标宋简体"/>
          <w:b/>
          <w:color w:val="404040"/>
          <w:sz w:val="44"/>
          <w:szCs w:val="44"/>
        </w:rPr>
        <w:t>实施方案</w:t>
      </w:r>
      <w:r>
        <w:rPr>
          <w:rStyle w:val="16"/>
          <w:rFonts w:hint="eastAsia" w:ascii="方正小标宋简体" w:hAnsi="方正小标宋简体" w:eastAsia="方正小标宋简体" w:cs="方正小标宋简体"/>
          <w:b w:val="0"/>
          <w:bCs/>
          <w:color w:val="333333"/>
          <w:kern w:val="0"/>
          <w:sz w:val="44"/>
          <w:szCs w:val="44"/>
          <w:shd w:val="clear" w:color="auto" w:fill="FFFFFF"/>
        </w:rPr>
        <w:t>》</w:t>
      </w:r>
      <w:r>
        <w:rPr>
          <w:rStyle w:val="16"/>
          <w:rFonts w:hint="eastAsia" w:ascii="方正小标宋简体" w:hAnsi="方正小标宋简体" w:eastAsia="方正小标宋简体" w:cs="方正小标宋简体"/>
          <w:bCs/>
          <w:color w:val="333333"/>
          <w:kern w:val="0"/>
          <w:sz w:val="44"/>
          <w:szCs w:val="44"/>
          <w:shd w:val="clear" w:color="auto" w:fill="FFFFFF"/>
        </w:rPr>
        <w:t>起草说明</w:t>
      </w:r>
    </w:p>
    <w:p>
      <w:pPr>
        <w:spacing w:line="560" w:lineRule="exact"/>
        <w:jc w:val="center"/>
        <w:outlineLvl w:val="0"/>
        <w:rPr>
          <w:rStyle w:val="16"/>
          <w:rFonts w:hint="eastAsia" w:ascii="方正小标宋简体" w:hAnsi="方正小标宋简体" w:eastAsia="方正小标宋简体" w:cs="方正小标宋简体"/>
          <w:bCs/>
          <w:color w:val="333333"/>
          <w:kern w:val="0"/>
          <w:sz w:val="36"/>
          <w:szCs w:val="36"/>
          <w:shd w:val="clear" w:color="auto" w:fill="FFFFFF"/>
        </w:rPr>
      </w:pPr>
    </w:p>
    <w:p>
      <w:pPr>
        <w:pageBreakBefore w:val="0"/>
        <w:kinsoku/>
        <w:wordWrap/>
        <w:overflowPunct/>
        <w:topLinePunct w:val="0"/>
        <w:autoSpaceDE/>
        <w:autoSpaceDN/>
        <w:bidi w:val="0"/>
        <w:adjustRightInd/>
        <w:snapToGrid/>
        <w:spacing w:beforeLines="5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一、制定背景</w:t>
      </w:r>
    </w:p>
    <w:p>
      <w:pPr>
        <w:pStyle w:val="3"/>
        <w:pageBreakBefore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项目背景：</w:t>
      </w:r>
      <w:r>
        <w:rPr>
          <w:rFonts w:hint="eastAsia" w:ascii="仿宋_GB2312" w:hAnsi="仿宋_GB2312" w:eastAsia="仿宋_GB2312" w:cs="仿宋_GB2312"/>
          <w:b w:val="0"/>
          <w:bCs/>
          <w:sz w:val="32"/>
          <w:szCs w:val="32"/>
        </w:rPr>
        <w:t>北京服装学院（通州校区）选址城市副中心设计小镇，功能定位为时尚艺术赋能区，采取包括设计小镇创新中心地块等三个地块的一校多址方案，带动区域产业整体发展。</w:t>
      </w:r>
    </w:p>
    <w:p>
      <w:pPr>
        <w:pStyle w:val="3"/>
        <w:pageBreakBefore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项目区位：</w:t>
      </w:r>
      <w:r>
        <w:rPr>
          <w:rFonts w:hint="eastAsia" w:ascii="仿宋_GB2312" w:hAnsi="仿宋_GB2312" w:eastAsia="仿宋_GB2312" w:cs="仿宋_GB2312"/>
          <w:b w:val="0"/>
          <w:bCs/>
          <w:sz w:val="32"/>
          <w:szCs w:val="32"/>
        </w:rPr>
        <w:t>北京服装学院（通州校区）设计小镇创新中心改造项目位于北京城市副中心1102街区西北部，东至张凤路，西至现状路，南至四环医药，北至京塘路辅路，项目总用地面积约225亩，现状地上建筑面积约19.74万平方米。项目拟分二期四批次实施城市更新，满足北京服装学院办学需要。</w:t>
      </w:r>
    </w:p>
    <w:p>
      <w:pPr>
        <w:pageBreakBefore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更新实施范围：</w:t>
      </w:r>
      <w:r>
        <w:rPr>
          <w:rFonts w:hint="eastAsia" w:ascii="仿宋_GB2312" w:hAnsi="仿宋_GB2312" w:eastAsia="仿宋_GB2312" w:cs="仿宋_GB2312"/>
          <w:bCs/>
          <w:sz w:val="32"/>
          <w:szCs w:val="32"/>
        </w:rPr>
        <w:t>本次城市更新项目实施范围为北京服装学院（通州校区）设计小镇创新中心C5、D1楼。</w:t>
      </w:r>
    </w:p>
    <w:p>
      <w:pPr>
        <w:pageBreakBefore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更新目标：</w:t>
      </w:r>
      <w:r>
        <w:rPr>
          <w:rFonts w:hint="eastAsia" w:ascii="仿宋_GB2312" w:hAnsi="仿宋_GB2312" w:eastAsia="仿宋_GB2312" w:cs="仿宋_GB2312"/>
          <w:bCs/>
          <w:sz w:val="32"/>
          <w:szCs w:val="32"/>
        </w:rPr>
        <w:t>C5楼由厂房及附属配套办公更新为学生宿舍，D1楼综合办公楼更新为办公楼，用作培训基地。为推动项目的顺利实施，实施主体北京宏泰旸投资有限公司按照《北京市城市更新条例》及《通州区城市更新项目实施方案申报及联合审查的实施意见（试行）》相关要求，编制了《北京服装学院（通州校区）设计小镇创新中心C5、D1楼改造项目城市更新实施方案》（以下简称“实施方案”）。</w:t>
      </w:r>
    </w:p>
    <w:p>
      <w:pPr>
        <w:pStyle w:val="17"/>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主要内容说明</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项目城市更新实施方案包括十个章节，主要内容如下。</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第一章为项目背景 </w:t>
      </w:r>
      <w:r>
        <w:rPr>
          <w:rFonts w:hint="eastAsia" w:ascii="仿宋_GB2312" w:hAnsi="仿宋_GB2312" w:eastAsia="仿宋_GB2312" w:cs="仿宋_GB2312"/>
          <w:b w:val="0"/>
          <w:bCs/>
          <w:sz w:val="32"/>
          <w:szCs w:val="32"/>
        </w:rPr>
        <w:t>北京服装学院以设计、时尚创意为特色，与设计小镇功能定位及创新生态高度契合，北京服装学院在城市副中心设计小镇采取一校多址方案，打造文化艺术高地，以时尚赋能经济社会发展。设计小镇创新中心地块用地面积约225亩，现状地上建筑约19.74万平方米，产权单位为北京宏泰旸投资有限公司。根据北京服装学院办学需要，结合规划设计进度及既有建筑利用状况，北京服装学院（通州校区）设计小镇创新中心改造项目城市更新计划分二期四批次实施，一期以既有建筑更新为主，分三批次实施，二期以拆旧建新建筑为主，一批次实施。一期一批次为C5、D1楼改造项目。</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第二章为项目基本情况 </w:t>
      </w:r>
      <w:r>
        <w:rPr>
          <w:rFonts w:hint="eastAsia" w:ascii="仿宋_GB2312" w:hAnsi="仿宋_GB2312" w:eastAsia="仿宋_GB2312" w:cs="仿宋_GB2312"/>
          <w:b w:val="0"/>
          <w:bCs/>
          <w:sz w:val="32"/>
          <w:szCs w:val="32"/>
        </w:rPr>
        <w:t>项目位于通州区光华路甲1号院，C5楼由厂房及附属配套办公改为学生宿舍，D1楼由综合办公楼改为办公楼，用作培训基地。产权单位北京宏泰旸投资有限公司为北京通州发展集团有限公司全资子公司，北京通州发展集团有限公司同意以北京宏泰旸投资有限公司为实施主体，实施城市更新</w:t>
      </w:r>
      <w:r>
        <w:rPr>
          <w:rFonts w:ascii="仿宋_GB2312" w:hAnsi="仿宋_GB2312" w:eastAsia="仿宋_GB2312" w:cs="仿宋_GB2312"/>
          <w:b w:val="0"/>
          <w:bCs/>
          <w:sz w:val="32"/>
          <w:szCs w:val="32"/>
        </w:rPr>
        <w:t>工作</w:t>
      </w:r>
      <w:r>
        <w:rPr>
          <w:rFonts w:hint="eastAsia" w:ascii="仿宋_GB2312" w:hAnsi="仿宋_GB2312" w:eastAsia="仿宋_GB2312" w:cs="仿宋_GB2312"/>
          <w:b w:val="0"/>
          <w:bCs/>
          <w:sz w:val="32"/>
          <w:szCs w:val="32"/>
        </w:rPr>
        <w:t>。</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第三章为现状评估调查 </w:t>
      </w:r>
      <w:r>
        <w:rPr>
          <w:rFonts w:hint="eastAsia" w:ascii="仿宋_GB2312" w:hAnsi="仿宋_GB2312" w:eastAsia="仿宋_GB2312" w:cs="仿宋_GB2312"/>
          <w:b w:val="0"/>
          <w:bCs/>
          <w:sz w:val="32"/>
          <w:szCs w:val="32"/>
        </w:rPr>
        <w:t>项目用地为工业用地，权利性质为出让，用地面积约225亩。C5楼为独栋楼，建筑面积6563.53平方米，处于毛坯空置状态，实施主体已完成房屋建筑结构综合安全性鉴定，在更新改造中将按照行业设计规范进行结构加固处理。D1楼为独栋楼，建筑面积5523.93平方米，处于精装修空置状态。</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第四章为设计方案 </w:t>
      </w:r>
      <w:r>
        <w:rPr>
          <w:rFonts w:hint="eastAsia" w:ascii="仿宋_GB2312" w:hAnsi="仿宋_GB2312" w:eastAsia="仿宋_GB2312" w:cs="仿宋_GB2312"/>
          <w:b w:val="0"/>
          <w:bCs/>
          <w:sz w:val="32"/>
          <w:szCs w:val="32"/>
        </w:rPr>
        <w:t>项目执行国家、地方、行业现行建筑设计法规、标准及规定，在满足安全、消防、抗震等规范要求的前提下委托北京市建筑设计研究院股份有限公司开展设计方案编制工作。C5楼建筑功能从厂房及附属配套办公更新为学生宿舍，改造更新后建筑规模为6621平米，较更新改造前增加57.47平方米，C5楼学生宿舍设置4人间标准宿舍71间，3人间宿舍30间，无障碍2人间2间，共有宿舍103间，满足378人住宿。D1楼对外装修工程中的涂料工程、幕墙工程和首层局部台阶工程进行改造，不涉及内部平面功能改造和建筑面积的增加。</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第五章为搬迁安置方案</w:t>
      </w:r>
      <w:r>
        <w:rPr>
          <w:rFonts w:hint="eastAsia" w:ascii="仿宋_GB2312" w:hAnsi="仿宋_GB2312" w:eastAsia="仿宋_GB2312" w:cs="仿宋_GB2312"/>
          <w:b w:val="0"/>
          <w:bCs/>
          <w:sz w:val="32"/>
          <w:szCs w:val="32"/>
        </w:rPr>
        <w:t xml:space="preserve"> 设计小镇创新中心于现有租赁企业50家，租赁企业搬迁安置已签约45家，剩余5家已同意签订搬迁安置协议，正在办理相关手续。C5、D1楼处于空置状态，不涉及搬迁安置。</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hAnsi="宋体"/>
          <w:sz w:val="32"/>
          <w:szCs w:val="32"/>
        </w:rPr>
      </w:pPr>
      <w:r>
        <w:rPr>
          <w:rFonts w:hint="eastAsia" w:ascii="仿宋_GB2312" w:hAnsi="仿宋_GB2312" w:eastAsia="仿宋_GB2312" w:cs="仿宋_GB2312"/>
          <w:sz w:val="32"/>
          <w:szCs w:val="32"/>
        </w:rPr>
        <w:t xml:space="preserve">第六章为用地分析 </w:t>
      </w:r>
      <w:r>
        <w:rPr>
          <w:rFonts w:hint="eastAsia" w:ascii="仿宋_GB2312" w:hAnsi="仿宋_GB2312" w:eastAsia="仿宋_GB2312" w:cs="仿宋_GB2312"/>
          <w:b w:val="0"/>
          <w:bCs/>
          <w:sz w:val="32"/>
          <w:szCs w:val="32"/>
        </w:rPr>
        <w:t>设计小镇创新中心规划用地性质以M4工业研发为主，辅以少量B4综合性商业金融服务业用地，新编规划用地性质为教育科研用地。现状建筑用途转换符合政策要求。本项目实施主体已申请实行五年过渡期政策，在五年内继续按原工业用途及权利类型使用土地，后续将按政府批准的用地方式办理用地及不动产登记等手续。</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hAnsi="宋体"/>
          <w:sz w:val="32"/>
          <w:szCs w:val="32"/>
        </w:rPr>
      </w:pPr>
      <w:r>
        <w:rPr>
          <w:rFonts w:hint="eastAsia" w:ascii="仿宋_GB2312" w:hAnsi="仿宋_GB2312" w:eastAsia="仿宋_GB2312" w:cs="仿宋_GB2312"/>
          <w:sz w:val="32"/>
          <w:szCs w:val="32"/>
        </w:rPr>
        <w:t>第七章为资金方案</w:t>
      </w:r>
      <w:r>
        <w:rPr>
          <w:rFonts w:hint="eastAsia" w:ascii="仿宋_GB2312" w:hAnsi="仿宋_GB2312" w:eastAsia="仿宋_GB2312" w:cs="仿宋_GB2312"/>
          <w:b w:val="0"/>
          <w:bCs/>
          <w:sz w:val="32"/>
          <w:szCs w:val="32"/>
        </w:rPr>
        <w:t xml:space="preserve"> 明确项目总投资包括工程费、工程建设其他费、预备费等，项目总投资估算为4351.12万元，具体投资额将随着工作深度的进展做合理的调整。本项目投资拟由市财政资金投入。 </w:t>
      </w:r>
      <w:r>
        <w:rPr>
          <w:rFonts w:hint="eastAsia" w:ascii="仿宋_GB2312" w:hAnsi="仿宋_GB2312" w:eastAsia="仿宋_GB2312" w:cs="仿宋_GB2312"/>
          <w:bCs/>
          <w:sz w:val="32"/>
          <w:szCs w:val="32"/>
        </w:rPr>
        <w:t xml:space="preserve">                         </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sz w:val="32"/>
          <w:szCs w:val="32"/>
        </w:rPr>
      </w:pPr>
      <w:r>
        <w:rPr>
          <w:rFonts w:hint="eastAsia" w:ascii="仿宋_GB2312" w:hAnsi="仿宋_GB2312" w:eastAsia="仿宋_GB2312" w:cs="仿宋_GB2312"/>
          <w:sz w:val="32"/>
          <w:szCs w:val="32"/>
        </w:rPr>
        <w:t>第八章为实施管理</w:t>
      </w:r>
      <w:r>
        <w:rPr>
          <w:rFonts w:hint="eastAsia" w:ascii="仿宋_GB2312" w:hAnsi="仿宋_GB2312" w:eastAsia="仿宋_GB2312" w:cs="仿宋_GB2312"/>
          <w:b w:val="0"/>
          <w:bCs/>
          <w:sz w:val="32"/>
          <w:szCs w:val="32"/>
        </w:rPr>
        <w:t xml:space="preserve"> 项目前期工作、建设投资、运营管理等全部相关内容由项目实施主体组织开展，项目计划建设周期12个月，实施进度将根据实际进度进行调整。</w:t>
      </w:r>
    </w:p>
    <w:p>
      <w:pPr>
        <w:pStyle w:val="7"/>
        <w:pageBreakBefore w:val="0"/>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第九章为结论及建议 </w:t>
      </w:r>
      <w:r>
        <w:rPr>
          <w:rFonts w:hint="eastAsia" w:ascii="仿宋_GB2312" w:hAnsi="仿宋_GB2312" w:eastAsia="仿宋_GB2312" w:cs="仿宋_GB2312"/>
          <w:b w:val="0"/>
          <w:bCs/>
          <w:sz w:val="32"/>
          <w:szCs w:val="32"/>
        </w:rPr>
        <w:t>项目实施主体已开展现状评估调查，委托规划设计方案，编制项目城市更新实施方案，协商表决同意项目纳入到通州区城市更新项目实施库，后续将按照城市更新政策要求实施更新改造。本项目的实施对推动北京服装学院（通州校区）的建设具有积极影响，项目以时尚赋能经济社会发展、为形成新质生产力增势赋能，具备良好的投资效益和巨大的社会效益，具备可行性，建议实施本项目。</w:t>
      </w:r>
    </w:p>
    <w:p>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sz w:val="32"/>
          <w:szCs w:val="32"/>
        </w:rPr>
      </w:pPr>
      <w:r>
        <w:rPr>
          <w:rFonts w:hint="eastAsia" w:ascii="仿宋_GB2312" w:hAnsi="仿宋_GB2312" w:eastAsia="仿宋_GB2312" w:cs="仿宋_GB2312"/>
          <w:b/>
          <w:sz w:val="32"/>
          <w:szCs w:val="32"/>
        </w:rPr>
        <w:t>第十章为附件</w:t>
      </w:r>
      <w:r>
        <w:rPr>
          <w:rFonts w:hint="eastAsia" w:ascii="仿宋_GB2312" w:hAnsi="仿宋_GB2312" w:eastAsia="仿宋_GB2312" w:cs="仿宋_GB2312"/>
          <w:bCs/>
          <w:sz w:val="32"/>
          <w:szCs w:val="32"/>
        </w:rPr>
        <w:t xml:space="preserve"> 主要为政府及实施主体相关会议纪要。</w:t>
      </w:r>
    </w:p>
    <w:p>
      <w:pPr>
        <w:pStyle w:val="8"/>
        <w:pageBreakBefore w:val="0"/>
        <w:kinsoku/>
        <w:wordWrap/>
        <w:overflowPunct/>
        <w:topLinePunct w:val="0"/>
        <w:autoSpaceDE/>
        <w:autoSpaceDN/>
        <w:bidi w:val="0"/>
        <w:adjustRightInd/>
        <w:snapToGrid/>
        <w:spacing w:line="560" w:lineRule="exact"/>
        <w:textAlignment w:val="auto"/>
        <w:rPr>
          <w:sz w:val="32"/>
          <w:szCs w:val="32"/>
        </w:rPr>
      </w:pPr>
    </w:p>
    <w:p>
      <w:pPr>
        <w:pageBreakBefore w:val="0"/>
        <w:kinsoku/>
        <w:wordWrap/>
        <w:overflowPunct/>
        <w:topLinePunct w:val="0"/>
        <w:autoSpaceDE/>
        <w:autoSpaceDN/>
        <w:bidi w:val="0"/>
        <w:adjustRightInd/>
        <w:snapToGrid/>
        <w:spacing w:line="560" w:lineRule="exact"/>
        <w:textAlignment w:val="auto"/>
        <w:rPr>
          <w:sz w:val="32"/>
          <w:szCs w:val="32"/>
        </w:rPr>
      </w:pPr>
    </w:p>
    <w:p>
      <w:pPr>
        <w:pStyle w:val="17"/>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bCs/>
          <w:sz w:val="32"/>
          <w:szCs w:val="32"/>
        </w:rPr>
      </w:pPr>
    </w:p>
    <w:p>
      <w:pPr>
        <w:pStyle w:val="17"/>
        <w:pageBreakBefore w:val="0"/>
        <w:kinsoku/>
        <w:wordWrap/>
        <w:overflowPunct/>
        <w:topLinePunct w:val="0"/>
        <w:autoSpaceDE/>
        <w:autoSpaceDN/>
        <w:bidi w:val="0"/>
        <w:adjustRightInd/>
        <w:snapToGrid/>
        <w:spacing w:line="560" w:lineRule="exact"/>
        <w:ind w:firstLine="3200" w:firstLineChars="1000"/>
        <w:jc w:val="left"/>
        <w:textAlignment w:val="auto"/>
        <w:rPr>
          <w:rFonts w:ascii="仿宋_GB2312" w:hAnsi="仿宋_GB2312" w:eastAsia="仿宋_GB2312" w:cs="仿宋_GB2312"/>
          <w:bCs/>
          <w:sz w:val="32"/>
          <w:szCs w:val="32"/>
        </w:rPr>
      </w:pPr>
      <w:bookmarkStart w:id="0" w:name="_GoBack"/>
      <w:bookmarkEnd w:id="0"/>
      <w:r>
        <w:rPr>
          <w:rFonts w:hint="eastAsia" w:ascii="仿宋_GB2312" w:hAnsi="仿宋_GB2312" w:eastAsia="仿宋_GB2312" w:cs="仿宋_GB2312"/>
          <w:bCs/>
          <w:sz w:val="32"/>
          <w:szCs w:val="32"/>
          <w:lang w:eastAsia="zh-CN"/>
        </w:rPr>
        <w:t>北京市</w:t>
      </w:r>
      <w:r>
        <w:rPr>
          <w:rFonts w:hint="eastAsia" w:ascii="仿宋_GB2312" w:hAnsi="仿宋_GB2312" w:eastAsia="仿宋_GB2312" w:cs="仿宋_GB2312"/>
          <w:bCs/>
          <w:sz w:val="32"/>
          <w:szCs w:val="32"/>
        </w:rPr>
        <w:t>通州区住房和城乡建设委员会</w:t>
      </w:r>
    </w:p>
    <w:p>
      <w:pPr>
        <w:pStyle w:val="17"/>
        <w:pageBreakBefore w:val="0"/>
        <w:kinsoku/>
        <w:wordWrap/>
        <w:overflowPunct/>
        <w:topLinePunct w:val="0"/>
        <w:autoSpaceDE/>
        <w:autoSpaceDN/>
        <w:bidi w:val="0"/>
        <w:adjustRightInd/>
        <w:snapToGrid/>
        <w:spacing w:line="560" w:lineRule="exact"/>
        <w:ind w:left="2625" w:leftChars="1250"/>
        <w:jc w:val="left"/>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                  2025年3月</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日</w:t>
      </w:r>
    </w:p>
    <w:sectPr>
      <w:footerReference r:id="rId3" w:type="default"/>
      <w:pgSz w:w="11906" w:h="16838"/>
      <w:pgMar w:top="1247" w:right="1474" w:bottom="130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Plotter">
    <w:altName w:val="Segoe Print"/>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EAFF7"/>
    <w:multiLevelType w:val="singleLevel"/>
    <w:tmpl w:val="C77EAFF7"/>
    <w:lvl w:ilvl="0" w:tentative="0">
      <w:start w:val="1"/>
      <w:numFmt w:val="decimal"/>
      <w:suff w:val="nothing"/>
      <w:lvlText w:val="%1."/>
      <w:lvlJc w:val="left"/>
      <w:pPr>
        <w:ind w:left="425" w:hanging="425"/>
      </w:pPr>
      <w:rPr>
        <w:rFonts w:hint="default"/>
      </w:rPr>
    </w:lvl>
  </w:abstractNum>
  <w:abstractNum w:abstractNumId="1">
    <w:nsid w:val="21B6E914"/>
    <w:multiLevelType w:val="singleLevel"/>
    <w:tmpl w:val="21B6E91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JjMjM0ZGFjY2ZjNGQxNWRmOGM1NjY2YWYzODVkNWIifQ=="/>
  </w:docVars>
  <w:rsids>
    <w:rsidRoot w:val="40743CDB"/>
    <w:rsid w:val="00030151"/>
    <w:rsid w:val="0005286E"/>
    <w:rsid w:val="000708D4"/>
    <w:rsid w:val="0008058A"/>
    <w:rsid w:val="00096EA7"/>
    <w:rsid w:val="000B7E7D"/>
    <w:rsid w:val="000C751B"/>
    <w:rsid w:val="000E0F36"/>
    <w:rsid w:val="00100A25"/>
    <w:rsid w:val="00103C6B"/>
    <w:rsid w:val="00120B12"/>
    <w:rsid w:val="001212E1"/>
    <w:rsid w:val="00125386"/>
    <w:rsid w:val="00176868"/>
    <w:rsid w:val="001A57FC"/>
    <w:rsid w:val="001C6FEA"/>
    <w:rsid w:val="001E18A1"/>
    <w:rsid w:val="001F6606"/>
    <w:rsid w:val="002074BB"/>
    <w:rsid w:val="00236754"/>
    <w:rsid w:val="002405D7"/>
    <w:rsid w:val="00243AC1"/>
    <w:rsid w:val="0025258A"/>
    <w:rsid w:val="00292545"/>
    <w:rsid w:val="0029672E"/>
    <w:rsid w:val="002E20B9"/>
    <w:rsid w:val="002F142B"/>
    <w:rsid w:val="003073F7"/>
    <w:rsid w:val="00332508"/>
    <w:rsid w:val="0034436B"/>
    <w:rsid w:val="003A67EE"/>
    <w:rsid w:val="003B4977"/>
    <w:rsid w:val="003E0CB4"/>
    <w:rsid w:val="003F0DFE"/>
    <w:rsid w:val="003F49CF"/>
    <w:rsid w:val="00404FD9"/>
    <w:rsid w:val="00423503"/>
    <w:rsid w:val="004305C3"/>
    <w:rsid w:val="004770DB"/>
    <w:rsid w:val="004C750A"/>
    <w:rsid w:val="004F40C8"/>
    <w:rsid w:val="004F58BD"/>
    <w:rsid w:val="00520E52"/>
    <w:rsid w:val="00541A7E"/>
    <w:rsid w:val="00542EC8"/>
    <w:rsid w:val="00560C08"/>
    <w:rsid w:val="005C0B3E"/>
    <w:rsid w:val="005D3D14"/>
    <w:rsid w:val="005E4FFD"/>
    <w:rsid w:val="005F67C8"/>
    <w:rsid w:val="006104D2"/>
    <w:rsid w:val="006124DB"/>
    <w:rsid w:val="006542C3"/>
    <w:rsid w:val="00684931"/>
    <w:rsid w:val="006871BA"/>
    <w:rsid w:val="006B675F"/>
    <w:rsid w:val="006F5C6B"/>
    <w:rsid w:val="0071749E"/>
    <w:rsid w:val="00721A20"/>
    <w:rsid w:val="0073754F"/>
    <w:rsid w:val="00754A00"/>
    <w:rsid w:val="0075758B"/>
    <w:rsid w:val="00793D47"/>
    <w:rsid w:val="0079412B"/>
    <w:rsid w:val="007D59C5"/>
    <w:rsid w:val="00800B87"/>
    <w:rsid w:val="0080320E"/>
    <w:rsid w:val="008075C0"/>
    <w:rsid w:val="0083165E"/>
    <w:rsid w:val="00857F8B"/>
    <w:rsid w:val="00863279"/>
    <w:rsid w:val="008744D5"/>
    <w:rsid w:val="008B6256"/>
    <w:rsid w:val="008C22D9"/>
    <w:rsid w:val="008C7479"/>
    <w:rsid w:val="008D5041"/>
    <w:rsid w:val="008E6FB6"/>
    <w:rsid w:val="0090001C"/>
    <w:rsid w:val="0090043C"/>
    <w:rsid w:val="0092032F"/>
    <w:rsid w:val="00920B6A"/>
    <w:rsid w:val="00922E1F"/>
    <w:rsid w:val="00933879"/>
    <w:rsid w:val="00964F4C"/>
    <w:rsid w:val="00974ADB"/>
    <w:rsid w:val="009B4A00"/>
    <w:rsid w:val="009C479C"/>
    <w:rsid w:val="00A17F3E"/>
    <w:rsid w:val="00A35F91"/>
    <w:rsid w:val="00A74DFC"/>
    <w:rsid w:val="00A974B7"/>
    <w:rsid w:val="00AF0984"/>
    <w:rsid w:val="00B11FCF"/>
    <w:rsid w:val="00B20AA1"/>
    <w:rsid w:val="00B365EC"/>
    <w:rsid w:val="00B44F27"/>
    <w:rsid w:val="00B564DC"/>
    <w:rsid w:val="00B8600C"/>
    <w:rsid w:val="00B8614F"/>
    <w:rsid w:val="00BA4EA6"/>
    <w:rsid w:val="00BA78C2"/>
    <w:rsid w:val="00BB32C1"/>
    <w:rsid w:val="00BC13B4"/>
    <w:rsid w:val="00BD3DF2"/>
    <w:rsid w:val="00BD4CE2"/>
    <w:rsid w:val="00C13D3C"/>
    <w:rsid w:val="00C14F13"/>
    <w:rsid w:val="00C467A7"/>
    <w:rsid w:val="00C723EC"/>
    <w:rsid w:val="00C81CFE"/>
    <w:rsid w:val="00C9110C"/>
    <w:rsid w:val="00CA581F"/>
    <w:rsid w:val="00CB4A1A"/>
    <w:rsid w:val="00CC2892"/>
    <w:rsid w:val="00CC2EE4"/>
    <w:rsid w:val="00D00FA6"/>
    <w:rsid w:val="00D26459"/>
    <w:rsid w:val="00D316FF"/>
    <w:rsid w:val="00DB3037"/>
    <w:rsid w:val="00DC44B0"/>
    <w:rsid w:val="00DE23E3"/>
    <w:rsid w:val="00E04B49"/>
    <w:rsid w:val="00E53622"/>
    <w:rsid w:val="00E61FDB"/>
    <w:rsid w:val="00E753E3"/>
    <w:rsid w:val="00E95964"/>
    <w:rsid w:val="00EC62A2"/>
    <w:rsid w:val="00EE0812"/>
    <w:rsid w:val="00F15469"/>
    <w:rsid w:val="00F21C4C"/>
    <w:rsid w:val="00F44655"/>
    <w:rsid w:val="00F75E6E"/>
    <w:rsid w:val="00FD18CF"/>
    <w:rsid w:val="00FF2086"/>
    <w:rsid w:val="00FF2815"/>
    <w:rsid w:val="09614B25"/>
    <w:rsid w:val="0C754F0B"/>
    <w:rsid w:val="17546EDF"/>
    <w:rsid w:val="1A426E93"/>
    <w:rsid w:val="1BB60420"/>
    <w:rsid w:val="1D860B2F"/>
    <w:rsid w:val="20A34A1A"/>
    <w:rsid w:val="21595009"/>
    <w:rsid w:val="21F02CC4"/>
    <w:rsid w:val="23330579"/>
    <w:rsid w:val="28ED55CA"/>
    <w:rsid w:val="29036568"/>
    <w:rsid w:val="29697F6D"/>
    <w:rsid w:val="2A6D5C7B"/>
    <w:rsid w:val="2AFA1B5E"/>
    <w:rsid w:val="2B204A27"/>
    <w:rsid w:val="2DC36905"/>
    <w:rsid w:val="308101AD"/>
    <w:rsid w:val="323F1743"/>
    <w:rsid w:val="33073A6F"/>
    <w:rsid w:val="3C3B4C56"/>
    <w:rsid w:val="3C5943ED"/>
    <w:rsid w:val="3E3E20A6"/>
    <w:rsid w:val="40743CDB"/>
    <w:rsid w:val="408D06A0"/>
    <w:rsid w:val="40EB6FE1"/>
    <w:rsid w:val="42BB3841"/>
    <w:rsid w:val="43A808A2"/>
    <w:rsid w:val="44AB7059"/>
    <w:rsid w:val="4B4F2FC1"/>
    <w:rsid w:val="4B6D7523"/>
    <w:rsid w:val="4B9921D8"/>
    <w:rsid w:val="4D434FA0"/>
    <w:rsid w:val="554C27D8"/>
    <w:rsid w:val="58730170"/>
    <w:rsid w:val="596F22E6"/>
    <w:rsid w:val="61150C9C"/>
    <w:rsid w:val="6258395C"/>
    <w:rsid w:val="63CE3D27"/>
    <w:rsid w:val="65A62730"/>
    <w:rsid w:val="65A71E9D"/>
    <w:rsid w:val="67990DDB"/>
    <w:rsid w:val="6D71400C"/>
    <w:rsid w:val="6F611F79"/>
    <w:rsid w:val="756F5447"/>
    <w:rsid w:val="76567929"/>
    <w:rsid w:val="7C705946"/>
    <w:rsid w:val="7FE8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link w:val="19"/>
    <w:semiHidden/>
    <w:unhideWhenUsed/>
    <w:qFormat/>
    <w:uiPriority w:val="0"/>
    <w:pPr>
      <w:spacing w:before="260" w:after="260" w:line="416" w:lineRule="auto"/>
      <w:outlineLvl w:val="1"/>
    </w:pPr>
    <w:rPr>
      <w:rFonts w:asciiTheme="majorHAnsi" w:hAnsiTheme="majorHAnsi" w:eastAsiaTheme="majorEastAsia" w:cstheme="majorBidi"/>
      <w:bCs/>
      <w:sz w:val="32"/>
      <w:szCs w:val="32"/>
    </w:rPr>
  </w:style>
  <w:style w:type="paragraph" w:styleId="3">
    <w:name w:val="heading 3"/>
    <w:basedOn w:val="1"/>
    <w:next w:val="1"/>
    <w:qFormat/>
    <w:uiPriority w:val="0"/>
    <w:pPr>
      <w:keepNext/>
      <w:keepLines/>
      <w:outlineLvl w:val="2"/>
    </w:pPr>
    <w:rPr>
      <w:b/>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目录 11"/>
    <w:basedOn w:val="1"/>
    <w:next w:val="1"/>
    <w:qFormat/>
    <w:uiPriority w:val="0"/>
    <w:pPr>
      <w:widowControl/>
      <w:wordWrap w:val="0"/>
    </w:pPr>
    <w:rPr>
      <w:rFonts w:ascii="Calibri" w:hAnsi="Calibri" w:cs="Calibri"/>
      <w:kern w:val="0"/>
      <w:szCs w:val="21"/>
    </w:rPr>
  </w:style>
  <w:style w:type="paragraph" w:styleId="6">
    <w:name w:val="Body Text Indent"/>
    <w:basedOn w:val="1"/>
    <w:qFormat/>
    <w:uiPriority w:val="99"/>
    <w:pPr>
      <w:spacing w:line="440" w:lineRule="exact"/>
      <w:ind w:firstLine="480" w:firstLineChars="200"/>
    </w:pPr>
    <w:rPr>
      <w:rFonts w:ascii="宋体" w:hAnsi="宋体"/>
      <w:bCs/>
      <w:sz w:val="24"/>
      <w:szCs w:val="30"/>
    </w:rPr>
  </w:style>
  <w:style w:type="paragraph" w:styleId="7">
    <w:name w:val="Plain Text"/>
    <w:basedOn w:val="1"/>
    <w:next w:val="8"/>
    <w:qFormat/>
    <w:uiPriority w:val="99"/>
    <w:rPr>
      <w:rFonts w:ascii="宋体" w:hAnsi="Plotter"/>
      <w:b/>
      <w:szCs w:val="28"/>
    </w:rPr>
  </w:style>
  <w:style w:type="paragraph" w:styleId="8">
    <w:name w:val="index 9"/>
    <w:basedOn w:val="1"/>
    <w:next w:val="1"/>
    <w:semiHidden/>
    <w:qFormat/>
    <w:uiPriority w:val="0"/>
    <w:pPr>
      <w:jc w:val="left"/>
    </w:pPr>
    <w:rPr>
      <w:rFonts w:ascii="仿宋_GB2312" w:eastAsia="仿宋_GB2312" w:cs="仿宋_GB2312"/>
      <w:sz w:val="32"/>
      <w:szCs w:val="32"/>
    </w:rPr>
  </w:style>
  <w:style w:type="paragraph" w:styleId="9">
    <w:name w:val="Body Text Indent 2"/>
    <w:basedOn w:val="1"/>
    <w:qFormat/>
    <w:uiPriority w:val="0"/>
    <w:pPr>
      <w:spacing w:after="120" w:line="480" w:lineRule="auto"/>
      <w:ind w:left="420" w:leftChars="200"/>
    </w:p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rFonts w:ascii="Times New Roman" w:hAnsi="Times New Roman" w:cs="Times New Roman"/>
      <w:sz w:val="24"/>
      <w:szCs w:val="24"/>
    </w:rPr>
  </w:style>
  <w:style w:type="paragraph" w:styleId="13">
    <w:name w:val="Body Text First Indent 2"/>
    <w:basedOn w:val="6"/>
    <w:qFormat/>
    <w:uiPriority w:val="0"/>
    <w:pPr>
      <w:ind w:firstLine="420"/>
    </w:pPr>
  </w:style>
  <w:style w:type="character" w:styleId="16">
    <w:name w:val="Strong"/>
    <w:qFormat/>
    <w:uiPriority w:val="0"/>
    <w:rPr>
      <w:b/>
    </w:rPr>
  </w:style>
  <w:style w:type="paragraph" w:customStyle="1" w:styleId="17">
    <w:name w:val="BodyText"/>
    <w:basedOn w:val="1"/>
    <w:next w:val="18"/>
    <w:qFormat/>
    <w:uiPriority w:val="0"/>
    <w:pPr>
      <w:widowControl/>
    </w:pPr>
    <w:rPr>
      <w:rFonts w:ascii="Times New Roman" w:hAnsi="Times New Roman" w:eastAsia="楷体_GB2312" w:cs="Times New Roman"/>
      <w:sz w:val="32"/>
    </w:rPr>
  </w:style>
  <w:style w:type="paragraph" w:customStyle="1" w:styleId="18">
    <w:name w:val="BodyText2"/>
    <w:basedOn w:val="1"/>
    <w:qFormat/>
    <w:uiPriority w:val="0"/>
    <w:pPr>
      <w:spacing w:after="120" w:line="480" w:lineRule="auto"/>
    </w:pPr>
  </w:style>
  <w:style w:type="character" w:customStyle="1" w:styleId="19">
    <w:name w:val="标题 2 Char"/>
    <w:basedOn w:val="15"/>
    <w:link w:val="2"/>
    <w:semiHidden/>
    <w:qFormat/>
    <w:uiPriority w:val="0"/>
    <w:rPr>
      <w:rFonts w:asciiTheme="majorHAnsi" w:hAnsiTheme="majorHAnsi" w:eastAsiaTheme="majorEastAsia" w:cstheme="majorBidi"/>
      <w:b/>
      <w:bCs/>
      <w:kern w:val="2"/>
      <w:sz w:val="32"/>
      <w:szCs w:val="32"/>
    </w:rPr>
  </w:style>
  <w:style w:type="character" w:customStyle="1" w:styleId="20">
    <w:name w:val="页眉 Char"/>
    <w:basedOn w:val="15"/>
    <w:link w:val="11"/>
    <w:qFormat/>
    <w:uiPriority w:val="0"/>
    <w:rPr>
      <w:rFonts w:asciiTheme="minorHAnsi" w:hAnsiTheme="minorHAnsi" w:eastAsiaTheme="minorEastAsia" w:cstheme="minorBidi"/>
      <w:kern w:val="2"/>
      <w:sz w:val="18"/>
      <w:szCs w:val="18"/>
    </w:rPr>
  </w:style>
  <w:style w:type="character" w:customStyle="1" w:styleId="21">
    <w:name w:val="页脚 Char"/>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304</Words>
  <Characters>1737</Characters>
  <Lines>14</Lines>
  <Paragraphs>4</Paragraphs>
  <TotalTime>76</TotalTime>
  <ScaleCrop>false</ScaleCrop>
  <LinksUpToDate>false</LinksUpToDate>
  <CharactersWithSpaces>2037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2023-05-29T01:02:00Z</dcterms:created>
  <dc:creator>sck913</dc:creator>
  <cp:lastModifiedBy>Administrator</cp:lastModifiedBy>
  <dcterms:modified xsi:type="dcterms:W3CDTF">2025-03-04T01:55:52Z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BF2F690BB31E456992B9507B9E56872B_13</vt:lpwstr>
  </property>
  <property fmtid="{D5CDD505-2E9C-101B-9397-08002B2CF9AE}" pid="4" name="KSOTemplateDocerSaveRecord">
    <vt:lpwstr>eyJoZGlkIjoiZTg4ZDllODM4YjZlNDQyZDBmZDdjMGNhMDU0Y2U1YjAiLCJ1c2VySWQiOiIzNTcyNTgwODgifQ==</vt:lpwstr>
  </property>
</Properties>
</file>