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/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通州区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区级</w:t>
      </w:r>
      <w:r>
        <w:rPr>
          <w:rFonts w:hint="eastAsia" w:ascii="方正小标宋简体" w:eastAsia="方正小标宋简体"/>
          <w:sz w:val="32"/>
          <w:szCs w:val="32"/>
        </w:rPr>
        <w:t>城市地下饮用水水源保护区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调整划分方案</w:t>
      </w:r>
    </w:p>
    <w:tbl>
      <w:tblPr>
        <w:tblStyle w:val="8"/>
        <w:tblW w:w="15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1660"/>
        <w:gridCol w:w="1336"/>
        <w:gridCol w:w="6459"/>
        <w:gridCol w:w="3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77" w:type="dxa"/>
            <w:vMerge w:val="restart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水源井编号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一级保护区范围</w:t>
            </w:r>
          </w:p>
        </w:tc>
        <w:tc>
          <w:tcPr>
            <w:tcW w:w="9693" w:type="dxa"/>
            <w:gridSpan w:val="2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二级保护区范围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Merge w:val="continue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调整前</w:t>
            </w:r>
          </w:p>
        </w:tc>
        <w:tc>
          <w:tcPr>
            <w:tcW w:w="1336" w:type="dxa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调整后</w:t>
            </w:r>
          </w:p>
        </w:tc>
        <w:tc>
          <w:tcPr>
            <w:tcW w:w="6459" w:type="dxa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调整前</w:t>
            </w:r>
          </w:p>
        </w:tc>
        <w:tc>
          <w:tcPr>
            <w:tcW w:w="3234" w:type="dxa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da-DK"/>
              </w:rPr>
              <w:t>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水源1、水源3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以水源井为核心的200米范围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以水源井为核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  <w:lang w:val="da-DK"/>
              </w:rPr>
              <w:t>心的30</w:t>
            </w: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米范围</w:t>
            </w:r>
          </w:p>
        </w:tc>
        <w:tc>
          <w:tcPr>
            <w:tcW w:w="6459" w:type="dxa"/>
            <w:vMerge w:val="restart"/>
            <w:shd w:val="clear" w:color="auto" w:fill="auto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堡东路与潮白河大堤路交叉点，沿运潮减河南堤向东515米为起点，沿运潮减河南堤向西至S229宋梁路，沿S229向北至京秦铁路，沿京秦铁路向东，至京秦铁路与镇工业区路的正南向延长线相交处，沿镇工业区路向北至京榆旧线，沿京榆旧线向西至任港路，沿任港路向北至京榆旧路，沿京榆旧路向西至兴榆路，沿兴榆路向北至辛疃路，沿辛疃路向东至宋翟路，沿</w:t>
            </w:r>
            <w:r>
              <w:rPr>
                <w:rFonts w:hint="eastAsia" w:ascii="仿宋_GB2312" w:hAnsi="仿宋_GB2312" w:eastAsia="仿宋_GB2312" w:cs="仿宋_GB2312"/>
                <w:spacing w:val="3"/>
                <w:szCs w:val="21"/>
              </w:rPr>
              <w:t>宋翟路至北堤路，沿北堤路向东至北堤路终点，向正东至区界，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沿区界向南至以傍8水源井为中心半径为100m的圆与区界在南端的交点，沿傍8与水源10水源井为中心半径为100m的圆边界至起点形成的闭合范围（不含一级保护区范围）</w:t>
            </w:r>
          </w:p>
        </w:tc>
        <w:tc>
          <w:tcPr>
            <w:tcW w:w="3234" w:type="dxa"/>
            <w:vAlign w:val="center"/>
          </w:tcPr>
          <w:p>
            <w:pPr>
              <w:keepNext/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以水源井为核心的300米范围（不含一级保护区范围）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  <w:lang w:val="da-DK"/>
              </w:rPr>
              <w:t>水源6、水源9、水源10、水源18、水</w:t>
            </w: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源19、水源30、水源31、傍3、傍8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以水源井为核心的100米范围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</w:p>
        </w:tc>
        <w:tc>
          <w:tcPr>
            <w:tcW w:w="6459" w:type="dxa"/>
            <w:vMerge w:val="continue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不设二级保护区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水源2、水源12、水源21、水源22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未划分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未划分</w:t>
            </w:r>
          </w:p>
        </w:tc>
        <w:tc>
          <w:tcPr>
            <w:tcW w:w="3234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以水源井为核心的300米范围（不含一级保护区范围）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  <w:lang w:val="da-DK"/>
              </w:rPr>
              <w:t>水源4、水源7、水源16、水源20、傍河1、深8、深9、补压8、补压10、补</w:t>
            </w: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压15、补压16、补压20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未划分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未划分</w:t>
            </w:r>
          </w:p>
        </w:tc>
        <w:tc>
          <w:tcPr>
            <w:tcW w:w="3234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不设二级保护区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da-DK"/>
              </w:rPr>
              <w:t>深6、深7、</w:t>
            </w:r>
            <w:r>
              <w:rPr>
                <w:rFonts w:hint="eastAsia" w:ascii="仿宋_GB2312" w:hAnsi="仿宋_GB2312" w:eastAsia="仿宋_GB2312" w:cs="仿宋_GB2312"/>
                <w:spacing w:val="-6"/>
                <w:lang w:val="da-DK"/>
              </w:rPr>
              <w:t>基岩1、基岩3、基岩4、基</w:t>
            </w:r>
            <w:r>
              <w:rPr>
                <w:rFonts w:hint="eastAsia" w:ascii="仿宋_GB2312" w:hAnsi="仿宋_GB2312" w:eastAsia="仿宋_GB2312" w:cs="仿宋_GB2312"/>
                <w:spacing w:val="4"/>
                <w:lang w:val="da-DK"/>
              </w:rPr>
              <w:t>岩5、基岩6、基岩7、基岩8、基岩9、</w:t>
            </w:r>
            <w:r>
              <w:rPr>
                <w:rFonts w:hint="eastAsia" w:ascii="仿宋_GB2312" w:hAnsi="仿宋_GB2312" w:eastAsia="仿宋_GB2312" w:cs="仿宋_GB2312"/>
                <w:lang w:val="da-DK"/>
              </w:rPr>
              <w:t>基岩10、基岩12、基岩13、基岩14、基岩15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以水源井为核心的50米范围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不设二级保护区</w:t>
            </w:r>
          </w:p>
        </w:tc>
        <w:tc>
          <w:tcPr>
            <w:tcW w:w="3234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da-DK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da-DK"/>
              </w:rPr>
              <w:t>不设二级保护区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通州区东联环水厂水源保护区划定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9"/>
        <w:tblW w:w="1321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12"/>
        <w:gridCol w:w="1710"/>
        <w:gridCol w:w="3120"/>
        <w:gridCol w:w="273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水源地名称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地理位置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一级保护区范围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二级保护区范围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准保护区范围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东联环水厂水源地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潞城镇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以水源井为核心的30米范围。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</w:tr>
    </w:tbl>
    <w:p>
      <w:pPr>
        <w:tabs>
          <w:tab w:val="left" w:pos="105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mU1YjJkMThhMzFkZGM1NWJmMTBhYWQ1Yjk2OWUifQ=="/>
  </w:docVars>
  <w:rsids>
    <w:rsidRoot w:val="286E2A73"/>
    <w:rsid w:val="02466537"/>
    <w:rsid w:val="04377D64"/>
    <w:rsid w:val="198C3132"/>
    <w:rsid w:val="1BFB0BE4"/>
    <w:rsid w:val="1CA14C7D"/>
    <w:rsid w:val="20D155EF"/>
    <w:rsid w:val="240D1FFB"/>
    <w:rsid w:val="286E2A73"/>
    <w:rsid w:val="324D3621"/>
    <w:rsid w:val="38944F97"/>
    <w:rsid w:val="3C9C5120"/>
    <w:rsid w:val="3E475539"/>
    <w:rsid w:val="5C856C8D"/>
    <w:rsid w:val="65F36F4D"/>
    <w:rsid w:val="66A66F37"/>
    <w:rsid w:val="6A590DE0"/>
    <w:rsid w:val="6FE92C37"/>
    <w:rsid w:val="71203028"/>
    <w:rsid w:val="772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Calibri" w:hAnsi="Calibri" w:eastAsia="楷体_GB2312"/>
      <w:sz w:val="32"/>
      <w:szCs w:val="22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kern w:val="0"/>
    </w:r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1209</Characters>
  <Lines>0</Lines>
  <Paragraphs>0</Paragraphs>
  <TotalTime>3</TotalTime>
  <ScaleCrop>false</ScaleCrop>
  <LinksUpToDate>false</LinksUpToDate>
  <CharactersWithSpaces>1211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2023-05-05T08:24:00Z</dcterms:created>
  <dc:creator>Administrator</dc:creator>
  <cp:lastModifiedBy>lenovo</cp:lastModifiedBy>
  <dcterms:modified xsi:type="dcterms:W3CDTF">2023-05-17T07:42:08Z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60A6E54AF5444F5AB597C1671B650F47_13</vt:lpwstr>
  </property>
</Properties>
</file>