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bidi w:val="0"/>
        <w:spacing w:beforeAutospacing="0" w:afterAutospacing="0"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《北京市通州区（城市副中心）气候投融资试点三年行动方案（2023-2025年）》的起草说明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baseline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baseline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一、起草背景及过程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trike w:val="0"/>
          <w:dstrike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全面贯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彻党中央、国务院关于碳达峰、碳中和系列重大决策部署，推进通州区气候投融资试点工作开展，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我局牵头编制完成《北京市通州区（城市副中心）气候投融资试点三年行动方案（2023-2025年）》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，主要包括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指导思想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、主要目标、组织领导、重点任务、保障措施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个方面。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行动方案向相关单位进行了征求意见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baseline"/>
        <w:outlineLvl w:val="9"/>
        <w:rPr>
          <w:rFonts w:hint="eastAsia" w:ascii="黑体" w:hAnsi="黑体" w:eastAsia="黑体" w:cs="黑体"/>
          <w:strike w:val="0"/>
          <w:dstrike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trike w:val="0"/>
          <w:dstrike w:val="0"/>
          <w:sz w:val="32"/>
          <w:szCs w:val="32"/>
        </w:rPr>
        <w:t>二、</w:t>
      </w:r>
      <w:r>
        <w:rPr>
          <w:rFonts w:hint="eastAsia" w:ascii="黑体" w:hAnsi="黑体" w:eastAsia="黑体" w:cs="黑体"/>
          <w:strike w:val="0"/>
          <w:dstrike w:val="0"/>
          <w:sz w:val="32"/>
          <w:szCs w:val="32"/>
          <w:lang w:eastAsia="zh-CN"/>
        </w:rPr>
        <w:t>主要内容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napToGrid w:val="0"/>
        <w:spacing w:after="0" w:line="560" w:lineRule="exact"/>
        <w:ind w:left="0" w:firstLine="640" w:firstLineChars="200"/>
        <w:jc w:val="both"/>
        <w:textAlignment w:val="auto"/>
        <w:rPr>
          <w:rFonts w:hint="default" w:ascii="楷体_GB2312" w:hAnsi="楷体_GB2312" w:eastAsia="楷体_GB2312" w:cs="楷体_GB2312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楷体_GB2312" w:hAnsi="楷体_GB2312" w:eastAsia="楷体_GB2312" w:cs="楷体_GB2312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成立通州区气候投融资试点工作领导小组，统筹协调全区气候投融资试点相关工作，明确领导小组组织架构。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napToGrid w:val="0"/>
        <w:spacing w:after="0" w:line="560" w:lineRule="exact"/>
        <w:ind w:left="0" w:firstLine="640" w:firstLineChars="200"/>
        <w:jc w:val="both"/>
        <w:textAlignment w:val="auto"/>
        <w:rPr>
          <w:rFonts w:hint="default" w:ascii="楷体_GB2312" w:hAnsi="楷体_GB2312" w:eastAsia="楷体_GB2312" w:cs="楷体_GB2312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楷体_GB2312" w:hAnsi="楷体_GB2312" w:eastAsia="楷体_GB2312" w:cs="楷体_GB2312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重点任务及保障措施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napToGrid w:val="0"/>
        <w:spacing w:after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1.建立系列工作机制。主要涉及4项工作任务，包括打造政金企合作对接新机制、建立气候信息披露机制、建立应对气候变化审核机制和建立长效评估机制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napToGrid w:val="0"/>
        <w:spacing w:after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2.明确减缓气候变化工作的重点领域。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主要涉及8项工作任务，包括坚决遏制“两高”项目盲目发展、构建绿色低碳产业体系、大力发展可再生能源、打造以绿色建筑为特色的双碳标杆新城、打造低碳的交通出行体系、打造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zh-CN" w:eastAsia="zh-CN" w:bidi="ar-SA"/>
        </w:rPr>
        <w:t>应对气候变化韧性城市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标杆、打造绿色低碳发展典型示范、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zh-CN" w:eastAsia="zh-CN" w:bidi="ar-SA"/>
        </w:rPr>
        <w:t>提升城市系统碳汇能力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napToGrid w:val="0"/>
        <w:spacing w:after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3.创新开发气候友好型绿色金融产品。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主要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涉及3项工作任务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包括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加快气候投融资产品创新、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发展绿色保险和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积极参与发展碳金融市场工作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napToGrid w:val="0"/>
        <w:spacing w:after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4.构建利于气候投融资发展的政策协同环境。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主要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涉及4项工作任务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主要包括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</w:rPr>
        <w:t>强化气候投融资政策协同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加大绿色建筑领域的政策支持、加强财政金融政策支持、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</w:rPr>
        <w:t>推动气候投融资政策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</w:rPr>
        <w:t>标准体系建设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napToGrid w:val="0"/>
        <w:spacing w:after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5.培育完善的气候投融资体系。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主要涉及4项工作任务，主要包括建设面向全球的国家级绿色交易所、建设通州区气候投融资项目库、探索构建企业碳信用评价体系、健全温室气体统计监测与企业碳核算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napToGrid w:val="0"/>
        <w:spacing w:after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6.加强人才队伍建设和国际交流合作。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主要涉及3项工作任务，主要包括加强人才队伍建设、创新人才引进机制，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en-US" w:bidi="ar-SA"/>
        </w:rPr>
        <w:t>加强国际交流与合作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napToGrid w:val="0"/>
        <w:spacing w:after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7.保障措施。从加强组织领导、严格考核评估、确保资金投入和加大公众参与4个方面提出保障措施，为试点工作的有效实施提供保障。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三、任务要求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eastAsia="仿宋_GB2312" w:cs="楷体_GB2312"/>
          <w:color w:val="0000FF"/>
          <w:sz w:val="32"/>
          <w:szCs w:val="32"/>
        </w:rPr>
      </w:pPr>
      <w:r>
        <w:rPr>
          <w:rFonts w:hint="eastAsia" w:ascii="仿宋_GB2312" w:eastAsia="仿宋_GB2312" w:cs="楷体_GB2312"/>
          <w:color w:val="auto"/>
          <w:sz w:val="32"/>
          <w:szCs w:val="32"/>
        </w:rPr>
        <w:t>以生态文明建设为统领，准确把握</w:t>
      </w:r>
      <w:r>
        <w:rPr>
          <w:rFonts w:hint="eastAsia" w:ascii="仿宋_GB2312" w:eastAsia="仿宋_GB2312" w:cs="楷体_GB2312"/>
          <w:color w:val="auto"/>
          <w:sz w:val="32"/>
          <w:szCs w:val="32"/>
          <w:lang w:val="en-US" w:eastAsia="zh-CN"/>
        </w:rPr>
        <w:t>双碳战略和应对气候变化</w:t>
      </w:r>
      <w:r>
        <w:rPr>
          <w:rFonts w:hint="eastAsia" w:ascii="仿宋_GB2312" w:eastAsia="仿宋_GB2312" w:cs="楷体_GB2312"/>
          <w:color w:val="auto"/>
          <w:sz w:val="32"/>
          <w:szCs w:val="32"/>
        </w:rPr>
        <w:t>的新形势、新要求，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依托北京市绿色金融发展优势，开展气候投融资先行先试，</w:t>
      </w:r>
      <w:r>
        <w:rPr>
          <w:rFonts w:hint="eastAsia" w:ascii="仿宋_GB2312" w:hAnsi="仿宋_GB2312" w:eastAsia="仿宋_GB2312" w:cs="仿宋_GB2312"/>
          <w:sz w:val="32"/>
          <w:szCs w:val="32"/>
        </w:rPr>
        <w:t>拓展应对气候变化领域项目建设场景，推进气候投融资产品与服务创新，在经济社会发展的各领域、全周期深度融入绿色低碳理念，构建有利于气候投融资的政策支持体系和市场运行环境，发挥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金融机构在应对气候变化、气候风险防控方面的重要作用，为建设绿色低碳副中心注入全新动力。</w:t>
      </w:r>
    </w:p>
    <w:p>
      <w:pPr>
        <w:pStyle w:val="6"/>
        <w:rPr>
          <w:rFonts w:hint="eastAsia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jYTNiNmJjMTZmNDA2NDU3YmRiNGM0NWQyYmYxNTUifQ=="/>
  </w:docVars>
  <w:rsids>
    <w:rsidRoot w:val="470C7C80"/>
    <w:rsid w:val="470C7C80"/>
    <w:rsid w:val="6B5A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0" w:name="Body Text First Indent 2"/>
    <w:lsdException w:unhideWhenUsed="0" w:uiPriority="0" w:semiHidden="0" w:name="Note Heading"/>
    <w:lsdException w:qFormat="1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3"/>
    <w:qFormat/>
    <w:uiPriority w:val="99"/>
    <w:pPr>
      <w:ind w:firstLine="420"/>
    </w:p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customStyle="1" w:styleId="4">
    <w:name w:val="Body Text 21"/>
    <w:basedOn w:val="1"/>
    <w:qFormat/>
    <w:uiPriority w:val="0"/>
    <w:pPr>
      <w:spacing w:line="360" w:lineRule="auto"/>
      <w:ind w:firstLine="200" w:firstLineChars="200"/>
    </w:pPr>
    <w:rPr>
      <w:sz w:val="21"/>
      <w:szCs w:val="21"/>
    </w:rPr>
  </w:style>
  <w:style w:type="paragraph" w:styleId="5">
    <w:name w:val="Body Text 2"/>
    <w:basedOn w:val="1"/>
    <w:unhideWhenUsed/>
    <w:qFormat/>
    <w:uiPriority w:val="0"/>
    <w:pPr>
      <w:ind w:firstLine="200" w:firstLineChars="200"/>
    </w:pPr>
    <w:rPr>
      <w:rFonts w:eastAsia="楷体_GB2312"/>
      <w:sz w:val="32"/>
    </w:rPr>
  </w:style>
  <w:style w:type="paragraph" w:styleId="6">
    <w:name w:val="Body Text First Indent"/>
    <w:basedOn w:val="3"/>
    <w:next w:val="7"/>
    <w:unhideWhenUsed/>
    <w:qFormat/>
    <w:uiPriority w:val="99"/>
    <w:pPr>
      <w:ind w:firstLine="420" w:firstLineChars="100"/>
    </w:pPr>
    <w:rPr>
      <w:rFonts w:eastAsia="宋体" w:cs="宋体"/>
      <w:sz w:val="30"/>
    </w:rPr>
  </w:style>
  <w:style w:type="paragraph" w:styleId="7">
    <w:name w:val="Body Text First Indent 2"/>
    <w:basedOn w:val="1"/>
    <w:next w:val="1"/>
    <w:semiHidden/>
    <w:unhideWhenUsed/>
    <w:qFormat/>
    <w:uiPriority w:val="0"/>
    <w:pPr>
      <w:adjustRightInd w:val="0"/>
      <w:snapToGrid w:val="0"/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2022-10-25T02:45:00Z</dcterms:created>
  <dc:creator>苏天浩</dc:creator>
  <cp:lastModifiedBy>苏天浩</cp:lastModifiedBy>
  <dcterms:modified xsi:type="dcterms:W3CDTF">2022-10-25T02:46:42Z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126C10B9D0844EF1B1D4CC9858BC111A</vt:lpwstr>
  </property>
</Properties>
</file>