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44"/>
          <w:szCs w:val="44"/>
        </w:rPr>
        <w:t>北京城市副中心促进金融业发展措施</w:t>
      </w:r>
    </w:p>
    <w:p>
      <w:pPr>
        <w:spacing w:line="560" w:lineRule="exact"/>
        <w:outlineLvl w:val="1"/>
        <w:rPr>
          <w:rFonts w:ascii="仿宋_GB2312" w:hAnsi="Cambria"/>
          <w:bCs/>
          <w:color w:val="000000"/>
          <w:szCs w:val="32"/>
        </w:rPr>
      </w:pPr>
    </w:p>
    <w:p>
      <w:pPr>
        <w:spacing w:line="560" w:lineRule="exact"/>
        <w:ind w:firstLine="640" w:firstLineChars="200"/>
        <w:outlineLvl w:val="1"/>
        <w:rPr>
          <w:rFonts w:ascii="仿宋_GB2312" w:hAnsi="Cambria"/>
          <w:bCs/>
          <w:color w:val="000000"/>
          <w:szCs w:val="32"/>
        </w:rPr>
      </w:pPr>
      <w:r>
        <w:rPr>
          <w:rFonts w:hint="eastAsia" w:ascii="仿宋_GB2312" w:hAnsi="Cambria"/>
          <w:bCs/>
          <w:color w:val="000000"/>
          <w:szCs w:val="32"/>
        </w:rPr>
        <w:t>为落实《北京城市总体规划（</w:t>
      </w:r>
      <w:r>
        <w:rPr>
          <w:rFonts w:ascii="仿宋_GB2312" w:hAnsi="Cambria"/>
          <w:bCs/>
          <w:color w:val="000000"/>
          <w:szCs w:val="32"/>
        </w:rPr>
        <w:t>2016</w:t>
      </w:r>
      <w:r>
        <w:rPr>
          <w:rFonts w:hint="eastAsia" w:ascii="仿宋_GB2312" w:hAnsi="Cambria"/>
          <w:bCs/>
          <w:color w:val="000000"/>
          <w:szCs w:val="32"/>
        </w:rPr>
        <w:t>年</w:t>
      </w:r>
      <w:r>
        <w:rPr>
          <w:rFonts w:ascii="仿宋_GB2312" w:hAnsi="Cambria"/>
          <w:bCs/>
          <w:color w:val="000000"/>
          <w:szCs w:val="32"/>
        </w:rPr>
        <w:t>—2035</w:t>
      </w:r>
      <w:r>
        <w:rPr>
          <w:rFonts w:hint="eastAsia" w:ascii="仿宋_GB2312" w:hAnsi="Cambria"/>
          <w:bCs/>
          <w:color w:val="000000"/>
          <w:szCs w:val="32"/>
        </w:rPr>
        <w:t>年）》、《北京城市副中心控制性详细规划（街区层面）（</w:t>
      </w:r>
      <w:r>
        <w:rPr>
          <w:rFonts w:ascii="仿宋_GB2312" w:hAnsi="Cambria"/>
          <w:bCs/>
          <w:color w:val="000000"/>
          <w:szCs w:val="32"/>
        </w:rPr>
        <w:t>2016</w:t>
      </w:r>
      <w:r>
        <w:rPr>
          <w:rFonts w:hint="eastAsia" w:ascii="仿宋_GB2312" w:hAnsi="Cambria"/>
          <w:bCs/>
          <w:color w:val="000000"/>
          <w:szCs w:val="32"/>
        </w:rPr>
        <w:t>年</w:t>
      </w:r>
      <w:r>
        <w:rPr>
          <w:rFonts w:ascii="仿宋_GB2312" w:hAnsi="Cambria"/>
          <w:bCs/>
          <w:color w:val="000000"/>
          <w:szCs w:val="32"/>
        </w:rPr>
        <w:t>—2035</w:t>
      </w:r>
      <w:r>
        <w:rPr>
          <w:rFonts w:hint="eastAsia" w:ascii="仿宋_GB2312" w:hAnsi="Cambria"/>
          <w:bCs/>
          <w:color w:val="000000"/>
          <w:szCs w:val="32"/>
        </w:rPr>
        <w:t>年）》和北京城市副中心</w:t>
      </w:r>
      <w:r>
        <w:rPr>
          <w:rFonts w:ascii="仿宋_GB2312" w:hAnsi="Cambria"/>
          <w:bCs/>
          <w:color w:val="000000"/>
          <w:szCs w:val="32"/>
        </w:rPr>
        <w:t>“</w:t>
      </w:r>
      <w:r>
        <w:rPr>
          <w:rFonts w:hint="eastAsia" w:ascii="仿宋_GB2312" w:hAnsi="Cambria"/>
          <w:bCs/>
          <w:color w:val="000000"/>
          <w:szCs w:val="32"/>
        </w:rPr>
        <w:t>十四五</w:t>
      </w:r>
      <w:r>
        <w:rPr>
          <w:rFonts w:ascii="仿宋_GB2312" w:hAnsi="Cambria"/>
          <w:bCs/>
          <w:color w:val="000000"/>
          <w:szCs w:val="32"/>
        </w:rPr>
        <w:t>”</w:t>
      </w:r>
      <w:r>
        <w:rPr>
          <w:rFonts w:hint="eastAsia" w:ascii="仿宋_GB2312" w:hAnsi="Cambria"/>
          <w:bCs/>
          <w:color w:val="000000"/>
          <w:szCs w:val="32"/>
        </w:rPr>
        <w:t>规划，强化北京城市副中心功能定位，承接非首都功能疏解，高水平建设全球财富管理中心和绿色金融国际中心的重要承载区，打造京津冀协同发展桥头堡，推进通州区与廊坊北三县地区协同发展，制定本措施。</w:t>
      </w:r>
    </w:p>
    <w:p>
      <w:pPr>
        <w:spacing w:line="560" w:lineRule="exact"/>
        <w:ind w:firstLine="643" w:firstLineChars="200"/>
        <w:outlineLvl w:val="1"/>
        <w:rPr>
          <w:rFonts w:ascii="仿宋_GB2312" w:hAnsi="Cambria"/>
          <w:bCs/>
          <w:color w:val="000000"/>
          <w:szCs w:val="32"/>
        </w:rPr>
      </w:pPr>
      <w:r>
        <w:rPr>
          <w:rFonts w:hint="eastAsia" w:ascii="仿宋_GB2312" w:hAnsi="Cambria"/>
          <w:b/>
          <w:color w:val="000000"/>
          <w:szCs w:val="32"/>
        </w:rPr>
        <w:t>第一条</w:t>
      </w:r>
      <w:r>
        <w:rPr>
          <w:rFonts w:ascii="仿宋_GB2312" w:hAnsi="Cambria"/>
          <w:b/>
          <w:color w:val="000000"/>
          <w:szCs w:val="32"/>
        </w:rPr>
        <w:t xml:space="preserve"> </w:t>
      </w:r>
      <w:r>
        <w:rPr>
          <w:rFonts w:hint="eastAsia" w:ascii="仿宋_GB2312" w:hAnsi="Cambria"/>
          <w:b/>
          <w:color w:val="000000"/>
          <w:szCs w:val="32"/>
        </w:rPr>
        <w:t>金融机构开办及展业支持</w:t>
      </w:r>
    </w:p>
    <w:p>
      <w:pPr>
        <w:spacing w:line="560" w:lineRule="exact"/>
        <w:ind w:firstLine="640" w:firstLineChars="200"/>
        <w:outlineLvl w:val="1"/>
        <w:rPr>
          <w:rFonts w:ascii="仿宋_GB2312" w:hAnsi="Cambria"/>
          <w:bCs/>
          <w:color w:val="000000"/>
          <w:szCs w:val="32"/>
        </w:rPr>
      </w:pPr>
      <w:r>
        <w:rPr>
          <w:rFonts w:hint="eastAsia" w:ascii="仿宋_GB2312" w:hAnsi="Cambria"/>
          <w:bCs/>
          <w:color w:val="000000"/>
          <w:szCs w:val="32"/>
        </w:rPr>
        <w:t>对符合城市副中心财富管理、绿色金融、金融科技等功能定位的内外资持牌法人金融机构、专业服务机构，按实收资本或资产管理规模，给予最高</w:t>
      </w:r>
      <w:r>
        <w:rPr>
          <w:rFonts w:ascii="仿宋_GB2312" w:hAnsi="Cambria"/>
          <w:bCs/>
          <w:color w:val="000000"/>
          <w:szCs w:val="32"/>
        </w:rPr>
        <w:t>6000</w:t>
      </w:r>
      <w:r>
        <w:rPr>
          <w:rFonts w:hint="eastAsia" w:ascii="仿宋_GB2312" w:hAnsi="Cambria"/>
          <w:bCs/>
          <w:color w:val="000000"/>
          <w:szCs w:val="32"/>
        </w:rPr>
        <w:t>万元区级</w:t>
      </w:r>
      <w:r>
        <w:rPr>
          <w:rFonts w:hint="default" w:ascii="仿宋_GB2312" w:hAnsi="Cambria"/>
          <w:bCs/>
          <w:color w:val="000000"/>
          <w:szCs w:val="32"/>
        </w:rPr>
        <w:t>开办</w:t>
      </w:r>
      <w:r>
        <w:rPr>
          <w:rFonts w:hint="default" w:ascii="仿宋_GB2312" w:hAnsi="Cambria"/>
          <w:bCs/>
          <w:color w:val="000000"/>
          <w:szCs w:val="32"/>
          <w:lang w:eastAsia="zh-CN"/>
        </w:rPr>
        <w:t>资金支持</w:t>
      </w:r>
      <w:r>
        <w:rPr>
          <w:rFonts w:hint="eastAsia" w:ascii="仿宋_GB2312" w:hAnsi="Cambria"/>
          <w:bCs/>
          <w:color w:val="000000"/>
          <w:szCs w:val="32"/>
        </w:rPr>
        <w:t>及最高</w:t>
      </w:r>
      <w:r>
        <w:rPr>
          <w:rFonts w:ascii="仿宋_GB2312" w:hAnsi="Cambria"/>
          <w:bCs/>
          <w:color w:val="000000"/>
          <w:szCs w:val="32"/>
        </w:rPr>
        <w:t>3000</w:t>
      </w:r>
      <w:r>
        <w:rPr>
          <w:rFonts w:hint="eastAsia" w:ascii="仿宋_GB2312" w:hAnsi="Cambria"/>
          <w:bCs/>
          <w:color w:val="000000"/>
          <w:szCs w:val="32"/>
        </w:rPr>
        <w:t>万元租、购、自建办公用房</w:t>
      </w:r>
      <w:r>
        <w:rPr>
          <w:rFonts w:hint="default" w:ascii="仿宋_GB2312" w:hAnsi="Cambria"/>
          <w:bCs/>
          <w:color w:val="000000"/>
          <w:szCs w:val="32"/>
        </w:rPr>
        <w:t>资金</w:t>
      </w:r>
      <w:r>
        <w:rPr>
          <w:rFonts w:hint="eastAsia" w:ascii="仿宋_GB2312" w:hAnsi="Cambria"/>
          <w:bCs/>
          <w:color w:val="000000"/>
          <w:szCs w:val="32"/>
          <w:lang w:eastAsia="zh-CN"/>
        </w:rPr>
        <w:t>支持</w:t>
      </w:r>
      <w:r>
        <w:rPr>
          <w:rFonts w:hint="eastAsia" w:ascii="仿宋_GB2312" w:hAnsi="Cambria"/>
          <w:bCs/>
          <w:color w:val="000000"/>
          <w:szCs w:val="32"/>
        </w:rPr>
        <w:t>。对金融机构业务总部及银行专营机构，给予最高</w:t>
      </w:r>
      <w:r>
        <w:rPr>
          <w:rFonts w:ascii="仿宋_GB2312" w:hAnsi="Cambria"/>
          <w:bCs/>
          <w:color w:val="000000"/>
          <w:szCs w:val="32"/>
        </w:rPr>
        <w:t>500</w:t>
      </w:r>
      <w:r>
        <w:rPr>
          <w:rFonts w:hint="eastAsia" w:ascii="仿宋_GB2312" w:hAnsi="Cambria"/>
          <w:bCs/>
          <w:color w:val="000000"/>
          <w:szCs w:val="32"/>
        </w:rPr>
        <w:t>万元区级</w:t>
      </w:r>
      <w:r>
        <w:rPr>
          <w:rFonts w:hint="default" w:ascii="仿宋_GB2312" w:hAnsi="Cambria"/>
          <w:bCs/>
          <w:color w:val="000000"/>
          <w:szCs w:val="32"/>
          <w:lang w:eastAsia="zh-CN"/>
        </w:rPr>
        <w:t>资金支持</w:t>
      </w:r>
      <w:r>
        <w:rPr>
          <w:rFonts w:hint="eastAsia" w:ascii="仿宋_GB2312" w:hAnsi="Cambria"/>
          <w:bCs/>
          <w:color w:val="000000"/>
          <w:szCs w:val="32"/>
        </w:rPr>
        <w:t>。</w:t>
      </w:r>
      <w:r>
        <w:rPr>
          <w:rFonts w:ascii="仿宋_GB2312" w:hAnsi="Cambria"/>
          <w:bCs/>
          <w:color w:val="000000"/>
          <w:szCs w:val="32"/>
        </w:rPr>
        <w:t xml:space="preserve"> </w:t>
      </w:r>
    </w:p>
    <w:p>
      <w:pPr>
        <w:spacing w:line="560" w:lineRule="exact"/>
        <w:ind w:firstLine="643" w:firstLineChars="200"/>
        <w:outlineLvl w:val="1"/>
        <w:rPr>
          <w:rFonts w:ascii="仿宋_GB2312" w:hAnsi="Cambria"/>
          <w:b/>
          <w:color w:val="000000"/>
          <w:szCs w:val="32"/>
        </w:rPr>
      </w:pPr>
      <w:r>
        <w:rPr>
          <w:rFonts w:hint="eastAsia" w:ascii="仿宋_GB2312" w:hAnsi="Cambria"/>
          <w:b/>
          <w:color w:val="000000"/>
          <w:szCs w:val="32"/>
        </w:rPr>
        <w:t>第二条</w:t>
      </w:r>
      <w:r>
        <w:rPr>
          <w:rFonts w:ascii="仿宋_GB2312" w:hAnsi="Cambria"/>
          <w:b/>
          <w:color w:val="000000"/>
          <w:szCs w:val="32"/>
        </w:rPr>
        <w:t xml:space="preserve"> </w:t>
      </w:r>
      <w:r>
        <w:rPr>
          <w:rFonts w:hint="eastAsia" w:ascii="仿宋_GB2312" w:hAnsi="Cambria"/>
          <w:b/>
          <w:color w:val="000000"/>
          <w:szCs w:val="32"/>
        </w:rPr>
        <w:t>优质地方金融组织及专业服务机构发展支持</w:t>
      </w:r>
    </w:p>
    <w:p>
      <w:pPr>
        <w:spacing w:line="560" w:lineRule="exact"/>
        <w:ind w:firstLine="640" w:firstLineChars="200"/>
        <w:outlineLvl w:val="1"/>
        <w:rPr>
          <w:rFonts w:ascii="仿宋_GB2312" w:hAnsi="Cambria"/>
          <w:bCs/>
          <w:color w:val="000000"/>
          <w:szCs w:val="32"/>
        </w:rPr>
      </w:pPr>
      <w:r>
        <w:rPr>
          <w:rFonts w:hint="eastAsia" w:ascii="仿宋_GB2312" w:hAnsi="Cambria"/>
          <w:bCs/>
          <w:color w:val="000000"/>
          <w:szCs w:val="32"/>
        </w:rPr>
        <w:t>对融资担保、融资租赁、商业保理、交易场所等优质地方金融组织及专业服务机构，实收资本不低于</w:t>
      </w:r>
      <w:r>
        <w:rPr>
          <w:rFonts w:ascii="仿宋_GB2312" w:hAnsi="Cambria"/>
          <w:bCs/>
          <w:color w:val="000000"/>
          <w:szCs w:val="32"/>
        </w:rPr>
        <w:t>1</w:t>
      </w:r>
      <w:r>
        <w:rPr>
          <w:rFonts w:hint="eastAsia" w:ascii="仿宋_GB2312" w:hAnsi="Cambria"/>
          <w:bCs/>
          <w:color w:val="000000"/>
          <w:szCs w:val="32"/>
        </w:rPr>
        <w:t>亿元的，按实收资本的</w:t>
      </w:r>
      <w:r>
        <w:rPr>
          <w:rFonts w:ascii="仿宋_GB2312" w:hAnsi="Cambria"/>
          <w:bCs/>
          <w:color w:val="000000"/>
          <w:szCs w:val="32"/>
        </w:rPr>
        <w:t>5</w:t>
      </w:r>
      <w:r>
        <w:rPr>
          <w:rFonts w:hint="eastAsia" w:ascii="仿宋_GB2312" w:hAnsi="Cambria"/>
          <w:bCs/>
          <w:color w:val="000000"/>
          <w:szCs w:val="32"/>
        </w:rPr>
        <w:t>‰、增资额度的</w:t>
      </w:r>
      <w:r>
        <w:rPr>
          <w:rFonts w:ascii="仿宋_GB2312" w:hAnsi="Cambria"/>
          <w:bCs/>
          <w:color w:val="000000"/>
          <w:szCs w:val="32"/>
        </w:rPr>
        <w:t>2</w:t>
      </w:r>
      <w:r>
        <w:rPr>
          <w:rFonts w:hint="eastAsia" w:ascii="仿宋_GB2312" w:hAnsi="Cambria"/>
          <w:bCs/>
          <w:color w:val="000000"/>
          <w:szCs w:val="32"/>
        </w:rPr>
        <w:t>‰给予区级</w:t>
      </w:r>
      <w:r>
        <w:rPr>
          <w:rFonts w:hint="default" w:ascii="仿宋_GB2312" w:hAnsi="Cambria"/>
          <w:bCs/>
          <w:color w:val="000000"/>
          <w:szCs w:val="32"/>
        </w:rPr>
        <w:t>资金支持</w:t>
      </w:r>
      <w:r>
        <w:rPr>
          <w:rFonts w:hint="eastAsia" w:ascii="仿宋_GB2312" w:hAnsi="Cambria"/>
          <w:bCs/>
          <w:color w:val="000000"/>
          <w:szCs w:val="32"/>
        </w:rPr>
        <w:t>。</w:t>
      </w:r>
    </w:p>
    <w:p>
      <w:pPr>
        <w:spacing w:line="560" w:lineRule="exact"/>
        <w:ind w:firstLine="643" w:firstLineChars="200"/>
        <w:outlineLvl w:val="1"/>
        <w:rPr>
          <w:rFonts w:ascii="仿宋_GB2312" w:hAnsi="Cambria"/>
          <w:bCs/>
          <w:color w:val="000000"/>
          <w:szCs w:val="32"/>
        </w:rPr>
      </w:pPr>
      <w:r>
        <w:rPr>
          <w:rFonts w:hint="eastAsia" w:ascii="仿宋_GB2312" w:hAnsi="Cambria"/>
          <w:b/>
          <w:color w:val="000000"/>
          <w:szCs w:val="32"/>
        </w:rPr>
        <w:t>第三条</w:t>
      </w:r>
      <w:r>
        <w:rPr>
          <w:rFonts w:ascii="仿宋_GB2312" w:hAnsi="Cambria"/>
          <w:b/>
          <w:color w:val="000000"/>
          <w:szCs w:val="32"/>
        </w:rPr>
        <w:tab/>
      </w:r>
      <w:r>
        <w:rPr>
          <w:rFonts w:ascii="仿宋_GB2312" w:hAnsi="Cambria"/>
          <w:b/>
          <w:color w:val="000000"/>
          <w:szCs w:val="32"/>
        </w:rPr>
        <w:t xml:space="preserve"> </w:t>
      </w:r>
      <w:r>
        <w:rPr>
          <w:rFonts w:hint="eastAsia" w:ascii="仿宋_GB2312" w:hAnsi="Cambria"/>
          <w:b/>
          <w:color w:val="000000"/>
          <w:szCs w:val="32"/>
        </w:rPr>
        <w:t>高层次金融人才服务支持</w:t>
      </w:r>
    </w:p>
    <w:p>
      <w:pPr>
        <w:spacing w:line="560" w:lineRule="exact"/>
        <w:ind w:firstLine="640" w:firstLineChars="200"/>
        <w:outlineLvl w:val="1"/>
        <w:rPr>
          <w:rFonts w:ascii="仿宋_GB2312" w:hAnsi="Cambria"/>
          <w:bCs/>
          <w:color w:val="000000"/>
          <w:szCs w:val="32"/>
        </w:rPr>
      </w:pPr>
      <w:r>
        <w:rPr>
          <w:rFonts w:hint="eastAsia" w:ascii="仿宋_GB2312" w:hAnsi="Cambria"/>
          <w:bCs/>
          <w:color w:val="000000"/>
          <w:szCs w:val="32"/>
        </w:rPr>
        <w:t>对高层次金融人才，参照国内最优政策给予激励。对重点金融企业符合条件的人才，给予一定数量进京落户指标，在人才住房、交通出行、职业发展、子女教育、医疗服务等方面提供优质服务。</w:t>
      </w:r>
    </w:p>
    <w:p>
      <w:pPr>
        <w:spacing w:line="560" w:lineRule="exact"/>
        <w:ind w:firstLine="643" w:firstLineChars="200"/>
        <w:outlineLvl w:val="1"/>
        <w:rPr>
          <w:rFonts w:ascii="仿宋_GB2312" w:hAnsi="Cambria"/>
          <w:b/>
          <w:color w:val="000000"/>
          <w:szCs w:val="32"/>
        </w:rPr>
      </w:pPr>
      <w:r>
        <w:rPr>
          <w:rFonts w:hint="eastAsia" w:ascii="仿宋_GB2312" w:hAnsi="Cambria"/>
          <w:b/>
          <w:color w:val="000000"/>
          <w:szCs w:val="32"/>
        </w:rPr>
        <w:t>第四条</w:t>
      </w:r>
      <w:r>
        <w:rPr>
          <w:rFonts w:ascii="仿宋_GB2312" w:hAnsi="Cambria"/>
          <w:b/>
          <w:color w:val="000000"/>
          <w:szCs w:val="32"/>
        </w:rPr>
        <w:t xml:space="preserve"> </w:t>
      </w:r>
      <w:r>
        <w:rPr>
          <w:rFonts w:hint="eastAsia" w:ascii="仿宋_GB2312" w:hAnsi="Cambria"/>
          <w:b/>
          <w:color w:val="000000"/>
          <w:szCs w:val="32"/>
        </w:rPr>
        <w:t>优质基金机构发展支持</w:t>
      </w:r>
    </w:p>
    <w:p>
      <w:pPr>
        <w:spacing w:line="560" w:lineRule="exact"/>
        <w:ind w:firstLine="640" w:firstLineChars="200"/>
        <w:outlineLvl w:val="1"/>
        <w:rPr>
          <w:rFonts w:ascii="仿宋_GB2312" w:hAnsi="Cambria"/>
          <w:bCs/>
          <w:color w:val="000000"/>
          <w:szCs w:val="32"/>
        </w:rPr>
      </w:pPr>
      <w:r>
        <w:rPr>
          <w:rFonts w:hint="eastAsia" w:ascii="仿宋_GB2312" w:hAnsi="Cambria"/>
          <w:bCs/>
          <w:color w:val="000000"/>
          <w:szCs w:val="32"/>
        </w:rPr>
        <w:t>对投资规模</w:t>
      </w:r>
      <w:r>
        <w:rPr>
          <w:rFonts w:ascii="仿宋_GB2312" w:hAnsi="Cambria"/>
          <w:bCs/>
          <w:color w:val="000000"/>
          <w:szCs w:val="32"/>
        </w:rPr>
        <w:t>1</w:t>
      </w:r>
      <w:r>
        <w:rPr>
          <w:rFonts w:hint="eastAsia" w:ascii="仿宋_GB2312" w:hAnsi="Cambria"/>
          <w:bCs/>
          <w:color w:val="000000"/>
          <w:szCs w:val="32"/>
        </w:rPr>
        <w:t>亿元以上创业投资、股权投资等机构，给予管理人最高</w:t>
      </w:r>
      <w:r>
        <w:rPr>
          <w:rFonts w:ascii="仿宋_GB2312" w:hAnsi="Cambria"/>
          <w:bCs/>
          <w:color w:val="000000"/>
          <w:szCs w:val="32"/>
        </w:rPr>
        <w:t>2000</w:t>
      </w:r>
      <w:r>
        <w:rPr>
          <w:rFonts w:hint="eastAsia" w:ascii="仿宋_GB2312" w:hAnsi="Cambria"/>
          <w:bCs/>
          <w:color w:val="000000"/>
          <w:szCs w:val="32"/>
        </w:rPr>
        <w:t>万元区级</w:t>
      </w:r>
      <w:r>
        <w:rPr>
          <w:rFonts w:hint="default" w:ascii="仿宋_GB2312" w:hAnsi="Cambria"/>
          <w:bCs/>
          <w:color w:val="000000"/>
          <w:szCs w:val="32"/>
        </w:rPr>
        <w:t>资金支持</w:t>
      </w:r>
      <w:r>
        <w:rPr>
          <w:rFonts w:hint="eastAsia" w:ascii="仿宋_GB2312" w:hAnsi="Cambria"/>
          <w:bCs/>
          <w:color w:val="000000"/>
          <w:szCs w:val="32"/>
        </w:rPr>
        <w:t>。</w:t>
      </w:r>
    </w:p>
    <w:p>
      <w:pPr>
        <w:spacing w:line="560" w:lineRule="exact"/>
        <w:ind w:firstLine="643" w:firstLineChars="200"/>
        <w:outlineLvl w:val="1"/>
        <w:rPr>
          <w:rFonts w:ascii="仿宋_GB2312" w:hAnsi="Cambria"/>
          <w:b/>
          <w:color w:val="000000"/>
          <w:szCs w:val="32"/>
        </w:rPr>
      </w:pPr>
      <w:r>
        <w:rPr>
          <w:rFonts w:hint="eastAsia" w:ascii="仿宋_GB2312" w:hAnsi="Cambria"/>
          <w:b/>
          <w:color w:val="000000"/>
          <w:szCs w:val="32"/>
        </w:rPr>
        <w:t>第五条</w:t>
      </w:r>
      <w:r>
        <w:rPr>
          <w:rFonts w:ascii="仿宋_GB2312" w:hAnsi="Cambria"/>
          <w:b/>
          <w:color w:val="000000"/>
          <w:szCs w:val="32"/>
        </w:rPr>
        <w:t xml:space="preserve"> </w:t>
      </w:r>
      <w:r>
        <w:rPr>
          <w:rFonts w:hint="eastAsia" w:ascii="仿宋_GB2312" w:hAnsi="Cambria"/>
          <w:b/>
          <w:color w:val="000000"/>
          <w:szCs w:val="32"/>
        </w:rPr>
        <w:t>多层次资本市场融资支持</w:t>
      </w:r>
    </w:p>
    <w:p>
      <w:pPr>
        <w:spacing w:line="560" w:lineRule="exact"/>
        <w:ind w:firstLine="640" w:firstLineChars="200"/>
        <w:outlineLvl w:val="1"/>
        <w:rPr>
          <w:rFonts w:ascii="仿宋_GB2312" w:hAnsi="Cambria"/>
          <w:bCs/>
          <w:color w:val="000000"/>
          <w:szCs w:val="32"/>
        </w:rPr>
      </w:pPr>
      <w:r>
        <w:rPr>
          <w:rFonts w:hint="eastAsia" w:ascii="仿宋_GB2312" w:hAnsi="Cambria"/>
          <w:bCs/>
          <w:color w:val="000000"/>
          <w:szCs w:val="32"/>
        </w:rPr>
        <w:t>对在国内外主要交易所以首发、转板、并购等方式上市的企业，对境外上市公司境内主要经营实体，给予最高</w:t>
      </w:r>
      <w:r>
        <w:rPr>
          <w:rFonts w:ascii="仿宋_GB2312" w:hAnsi="Cambria"/>
          <w:bCs/>
          <w:color w:val="000000"/>
          <w:szCs w:val="32"/>
        </w:rPr>
        <w:t>700</w:t>
      </w:r>
      <w:r>
        <w:rPr>
          <w:rFonts w:hint="eastAsia" w:ascii="仿宋_GB2312" w:hAnsi="Cambria"/>
          <w:bCs/>
          <w:color w:val="000000"/>
          <w:szCs w:val="32"/>
        </w:rPr>
        <w:t>万元</w:t>
      </w:r>
      <w:r>
        <w:rPr>
          <w:rFonts w:hint="default" w:ascii="仿宋_GB2312" w:hAnsi="Cambria"/>
          <w:bCs/>
          <w:color w:val="000000"/>
          <w:szCs w:val="32"/>
        </w:rPr>
        <w:t>区级资金支持</w:t>
      </w:r>
      <w:r>
        <w:rPr>
          <w:rFonts w:hint="eastAsia" w:ascii="仿宋_GB2312" w:hAnsi="Cambria"/>
          <w:bCs/>
          <w:color w:val="000000"/>
          <w:szCs w:val="32"/>
        </w:rPr>
        <w:t>。对在境内外成功发行债务工具融资的企业，给予最高</w:t>
      </w:r>
      <w:r>
        <w:rPr>
          <w:rFonts w:ascii="仿宋_GB2312" w:hAnsi="Cambria"/>
          <w:bCs/>
          <w:color w:val="000000"/>
          <w:szCs w:val="32"/>
        </w:rPr>
        <w:t>400</w:t>
      </w:r>
      <w:r>
        <w:rPr>
          <w:rFonts w:hint="eastAsia" w:ascii="仿宋_GB2312" w:hAnsi="Cambria"/>
          <w:bCs/>
          <w:color w:val="000000"/>
          <w:szCs w:val="32"/>
        </w:rPr>
        <w:t>万元</w:t>
      </w:r>
      <w:r>
        <w:rPr>
          <w:rFonts w:hint="default" w:ascii="仿宋_GB2312" w:hAnsi="Cambria"/>
          <w:bCs/>
          <w:color w:val="000000"/>
          <w:szCs w:val="32"/>
        </w:rPr>
        <w:t>区级资金支持</w:t>
      </w:r>
      <w:r>
        <w:rPr>
          <w:rFonts w:hint="eastAsia" w:ascii="仿宋_GB2312" w:hAnsi="Cambria"/>
          <w:bCs/>
          <w:color w:val="000000"/>
          <w:szCs w:val="32"/>
        </w:rPr>
        <w:t>。</w:t>
      </w:r>
    </w:p>
    <w:p>
      <w:pPr>
        <w:spacing w:line="560" w:lineRule="exact"/>
        <w:ind w:firstLine="643" w:firstLineChars="200"/>
        <w:outlineLvl w:val="1"/>
        <w:rPr>
          <w:rFonts w:ascii="仿宋_GB2312" w:hAnsi="Cambria"/>
          <w:b/>
          <w:color w:val="000000"/>
          <w:szCs w:val="32"/>
        </w:rPr>
      </w:pPr>
      <w:r>
        <w:rPr>
          <w:rFonts w:hint="eastAsia" w:ascii="仿宋_GB2312" w:hAnsi="Cambria"/>
          <w:b/>
          <w:color w:val="000000"/>
          <w:szCs w:val="32"/>
        </w:rPr>
        <w:t>第六条</w:t>
      </w:r>
      <w:r>
        <w:rPr>
          <w:rFonts w:ascii="仿宋_GB2312" w:hAnsi="Cambria"/>
          <w:b/>
          <w:color w:val="000000"/>
          <w:szCs w:val="32"/>
        </w:rPr>
        <w:tab/>
      </w:r>
      <w:r>
        <w:rPr>
          <w:rFonts w:ascii="仿宋_GB2312" w:hAnsi="Cambria"/>
          <w:b/>
          <w:color w:val="000000"/>
          <w:szCs w:val="32"/>
        </w:rPr>
        <w:t xml:space="preserve"> </w:t>
      </w:r>
      <w:r>
        <w:rPr>
          <w:rFonts w:hint="eastAsia" w:ascii="仿宋_GB2312" w:hAnsi="Cambria"/>
          <w:b/>
          <w:color w:val="000000"/>
          <w:szCs w:val="32"/>
        </w:rPr>
        <w:t>金融企业综合贡献支持</w:t>
      </w:r>
    </w:p>
    <w:p>
      <w:pPr>
        <w:spacing w:line="560" w:lineRule="exact"/>
        <w:ind w:firstLine="640" w:firstLineChars="200"/>
        <w:outlineLvl w:val="1"/>
        <w:rPr>
          <w:rFonts w:ascii="仿宋_GB2312" w:hAnsi="Cambria"/>
          <w:bCs/>
          <w:color w:val="000000"/>
          <w:szCs w:val="32"/>
        </w:rPr>
      </w:pPr>
      <w:r>
        <w:rPr>
          <w:rFonts w:hint="eastAsia" w:ascii="仿宋_GB2312" w:hAnsi="Cambria"/>
          <w:bCs/>
          <w:color w:val="000000"/>
          <w:szCs w:val="32"/>
        </w:rPr>
        <w:t>视</w:t>
      </w:r>
      <w:r>
        <w:rPr>
          <w:rFonts w:hint="default" w:ascii="仿宋_GB2312" w:hAnsi="Cambria"/>
          <w:bCs/>
          <w:color w:val="000000"/>
          <w:szCs w:val="32"/>
        </w:rPr>
        <w:t>具体</w:t>
      </w:r>
      <w:r>
        <w:rPr>
          <w:rFonts w:hint="eastAsia" w:ascii="仿宋_GB2312" w:hAnsi="Cambria"/>
          <w:bCs/>
          <w:color w:val="000000"/>
          <w:szCs w:val="32"/>
        </w:rPr>
        <w:t>情况</w:t>
      </w:r>
      <w:r>
        <w:rPr>
          <w:rFonts w:hint="default" w:ascii="仿宋_GB2312" w:hAnsi="Cambria"/>
          <w:bCs/>
          <w:color w:val="000000"/>
          <w:szCs w:val="32"/>
        </w:rPr>
        <w:t>给</w:t>
      </w:r>
      <w:r>
        <w:rPr>
          <w:rFonts w:hint="eastAsia" w:ascii="仿宋_GB2312" w:hAnsi="Cambria"/>
          <w:bCs/>
          <w:color w:val="000000"/>
          <w:szCs w:val="32"/>
        </w:rPr>
        <w:t>予</w:t>
      </w:r>
      <w:r>
        <w:rPr>
          <w:rFonts w:hint="default" w:ascii="仿宋_GB2312" w:hAnsi="Cambria"/>
          <w:bCs/>
          <w:color w:val="000000"/>
          <w:szCs w:val="32"/>
        </w:rPr>
        <w:t>资金</w:t>
      </w:r>
      <w:r>
        <w:rPr>
          <w:rFonts w:hint="eastAsia" w:ascii="仿宋_GB2312" w:hAnsi="Cambria"/>
          <w:bCs/>
          <w:color w:val="000000"/>
          <w:szCs w:val="32"/>
          <w:lang w:eastAsia="zh-CN"/>
        </w:rPr>
        <w:t>支持</w:t>
      </w:r>
      <w:r>
        <w:rPr>
          <w:rFonts w:hint="eastAsia" w:ascii="仿宋_GB2312" w:hAnsi="Cambria"/>
          <w:bCs/>
          <w:color w:val="000000"/>
          <w:szCs w:val="32"/>
        </w:rPr>
        <w:t>。</w:t>
      </w:r>
    </w:p>
    <w:p>
      <w:pPr>
        <w:spacing w:line="560" w:lineRule="exact"/>
        <w:ind w:firstLine="643" w:firstLineChars="200"/>
        <w:outlineLvl w:val="1"/>
        <w:rPr>
          <w:rFonts w:ascii="仿宋_GB2312" w:hAnsi="Cambria"/>
          <w:b/>
          <w:color w:val="000000"/>
          <w:szCs w:val="32"/>
        </w:rPr>
      </w:pPr>
      <w:r>
        <w:rPr>
          <w:rFonts w:hint="eastAsia" w:ascii="仿宋_GB2312" w:hAnsi="Cambria"/>
          <w:b/>
          <w:color w:val="000000"/>
          <w:szCs w:val="32"/>
        </w:rPr>
        <w:t>第七条</w:t>
      </w:r>
      <w:r>
        <w:rPr>
          <w:rFonts w:ascii="仿宋_GB2312" w:hAnsi="Cambria"/>
          <w:b/>
          <w:color w:val="000000"/>
          <w:szCs w:val="32"/>
        </w:rPr>
        <w:t xml:space="preserve"> </w:t>
      </w:r>
      <w:r>
        <w:rPr>
          <w:rFonts w:hint="eastAsia" w:ascii="仿宋_GB2312" w:hAnsi="Cambria"/>
          <w:b/>
          <w:color w:val="000000"/>
          <w:szCs w:val="32"/>
        </w:rPr>
        <w:t>附则</w:t>
      </w:r>
    </w:p>
    <w:p>
      <w:pPr>
        <w:spacing w:line="560" w:lineRule="exact"/>
        <w:ind w:firstLine="640" w:firstLineChars="200"/>
        <w:outlineLvl w:val="1"/>
        <w:rPr>
          <w:rFonts w:ascii="仿宋_GB2312" w:hAnsi="仿宋"/>
          <w:bCs/>
          <w:szCs w:val="32"/>
        </w:rPr>
      </w:pPr>
      <w:r>
        <w:rPr>
          <w:rFonts w:hint="eastAsia" w:ascii="仿宋_GB2312" w:hAnsi="Cambria"/>
          <w:bCs/>
          <w:color w:val="000000"/>
          <w:szCs w:val="32"/>
        </w:rPr>
        <w:t>重点金融机构、重点金融组织的个性化政策需求，可采取</w:t>
      </w:r>
      <w:r>
        <w:rPr>
          <w:rFonts w:ascii="仿宋_GB2312" w:hAnsi="Cambria"/>
          <w:bCs/>
          <w:color w:val="000000"/>
          <w:szCs w:val="32"/>
        </w:rPr>
        <w:t>“</w:t>
      </w:r>
      <w:r>
        <w:rPr>
          <w:rFonts w:hint="eastAsia" w:ascii="仿宋_GB2312" w:hAnsi="Cambria"/>
          <w:bCs/>
          <w:color w:val="000000"/>
          <w:szCs w:val="32"/>
        </w:rPr>
        <w:t>一企一策</w:t>
      </w:r>
      <w:r>
        <w:rPr>
          <w:rFonts w:ascii="仿宋_GB2312" w:hAnsi="Cambria"/>
          <w:bCs/>
          <w:color w:val="000000"/>
          <w:szCs w:val="32"/>
        </w:rPr>
        <w:t>”</w:t>
      </w:r>
      <w:r>
        <w:rPr>
          <w:rFonts w:hint="eastAsia" w:ascii="仿宋_GB2312" w:hAnsi="Cambria"/>
          <w:bCs/>
          <w:color w:val="000000"/>
          <w:szCs w:val="32"/>
        </w:rPr>
        <w:t>的方式予以支持。符合市级政策</w:t>
      </w:r>
      <w:r>
        <w:rPr>
          <w:rFonts w:hint="default" w:ascii="仿宋_GB2312" w:hAnsi="Cambria"/>
          <w:bCs/>
          <w:color w:val="000000"/>
          <w:szCs w:val="32"/>
        </w:rPr>
        <w:t>支持条件的</w:t>
      </w:r>
      <w:r>
        <w:rPr>
          <w:rFonts w:hint="eastAsia" w:ascii="仿宋_GB2312" w:hAnsi="Cambria"/>
          <w:bCs/>
          <w:color w:val="000000"/>
          <w:szCs w:val="32"/>
        </w:rPr>
        <w:t>，</w:t>
      </w:r>
      <w:r>
        <w:rPr>
          <w:rFonts w:hint="default" w:ascii="仿宋_GB2312" w:hAnsi="Cambria"/>
          <w:bCs/>
          <w:color w:val="000000"/>
          <w:szCs w:val="32"/>
        </w:rPr>
        <w:t>鼓励</w:t>
      </w:r>
      <w:r>
        <w:rPr>
          <w:rFonts w:hint="eastAsia" w:ascii="仿宋_GB2312" w:hAnsi="Cambria"/>
          <w:bCs/>
          <w:color w:val="000000"/>
          <w:szCs w:val="32"/>
        </w:rPr>
        <w:t>企业同步申请。本措施自发布之日起至</w:t>
      </w:r>
      <w:r>
        <w:rPr>
          <w:rFonts w:ascii="仿宋_GB2312" w:hAnsi="Cambria"/>
          <w:bCs/>
          <w:color w:val="000000"/>
          <w:szCs w:val="32"/>
        </w:rPr>
        <w:t>2025</w:t>
      </w:r>
      <w:r>
        <w:rPr>
          <w:rFonts w:hint="eastAsia" w:ascii="仿宋_GB2312" w:hAnsi="Cambria"/>
          <w:bCs/>
          <w:color w:val="000000"/>
          <w:szCs w:val="32"/>
        </w:rPr>
        <w:t>年</w:t>
      </w:r>
      <w:r>
        <w:rPr>
          <w:rFonts w:ascii="仿宋_GB2312" w:hAnsi="Cambria"/>
          <w:bCs/>
          <w:color w:val="000000"/>
          <w:szCs w:val="32"/>
        </w:rPr>
        <w:t>12</w:t>
      </w:r>
      <w:r>
        <w:rPr>
          <w:rFonts w:hint="eastAsia" w:ascii="仿宋_GB2312" w:hAnsi="Cambria"/>
          <w:bCs/>
          <w:color w:val="000000"/>
          <w:szCs w:val="32"/>
        </w:rPr>
        <w:t>月</w:t>
      </w:r>
      <w:r>
        <w:rPr>
          <w:rFonts w:ascii="仿宋_GB2312" w:hAnsi="Cambria"/>
          <w:bCs/>
          <w:color w:val="000000"/>
          <w:szCs w:val="32"/>
        </w:rPr>
        <w:t>31</w:t>
      </w:r>
      <w:r>
        <w:rPr>
          <w:rFonts w:hint="eastAsia" w:ascii="仿宋_GB2312" w:hAnsi="Cambria"/>
          <w:bCs/>
          <w:color w:val="000000"/>
          <w:szCs w:val="32"/>
        </w:rPr>
        <w:t>日止。由区金融办负责解释。执行过程中如遇国家及北京市重大政策变动，上述政策将相应调整。</w:t>
      </w:r>
    </w:p>
    <w:p>
      <w:pPr>
        <w:spacing w:line="560" w:lineRule="exact"/>
        <w:ind w:firstLine="640" w:firstLineChars="200"/>
        <w:rPr>
          <w:rFonts w:ascii="仿宋_GB2312" w:hAnsi="黑体" w:cs="仿宋"/>
          <w:color w:val="000000"/>
          <w:szCs w:val="32"/>
        </w:rPr>
      </w:pPr>
    </w:p>
    <w:p/>
    <w:sectPr>
      <w:footerReference r:id="rId3" w:type="default"/>
      <w:pgSz w:w="11906" w:h="16838"/>
      <w:pgMar w:top="1440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5884725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AD"/>
    <w:rsid w:val="00001A41"/>
    <w:rsid w:val="00001C0A"/>
    <w:rsid w:val="000035C0"/>
    <w:rsid w:val="00005C28"/>
    <w:rsid w:val="00007923"/>
    <w:rsid w:val="00010ECB"/>
    <w:rsid w:val="000123A7"/>
    <w:rsid w:val="00017000"/>
    <w:rsid w:val="000215E8"/>
    <w:rsid w:val="00022424"/>
    <w:rsid w:val="00022CCE"/>
    <w:rsid w:val="000271C9"/>
    <w:rsid w:val="00027D3F"/>
    <w:rsid w:val="00032A17"/>
    <w:rsid w:val="00036B51"/>
    <w:rsid w:val="0003702E"/>
    <w:rsid w:val="00037A04"/>
    <w:rsid w:val="00042FBE"/>
    <w:rsid w:val="00046BF6"/>
    <w:rsid w:val="000506CF"/>
    <w:rsid w:val="000518AA"/>
    <w:rsid w:val="00056E4E"/>
    <w:rsid w:val="00057699"/>
    <w:rsid w:val="00057FF1"/>
    <w:rsid w:val="000621EE"/>
    <w:rsid w:val="00067A33"/>
    <w:rsid w:val="00071B66"/>
    <w:rsid w:val="00077CD5"/>
    <w:rsid w:val="000817C3"/>
    <w:rsid w:val="000922A9"/>
    <w:rsid w:val="0009692C"/>
    <w:rsid w:val="00097C8C"/>
    <w:rsid w:val="000A2B2B"/>
    <w:rsid w:val="000A2E03"/>
    <w:rsid w:val="000A580B"/>
    <w:rsid w:val="000A61AC"/>
    <w:rsid w:val="000B21C7"/>
    <w:rsid w:val="000B7255"/>
    <w:rsid w:val="000C07CB"/>
    <w:rsid w:val="000C0B4C"/>
    <w:rsid w:val="000C24E9"/>
    <w:rsid w:val="000C59FD"/>
    <w:rsid w:val="000C5BEE"/>
    <w:rsid w:val="000D0158"/>
    <w:rsid w:val="000D070A"/>
    <w:rsid w:val="000D3C9B"/>
    <w:rsid w:val="000D625A"/>
    <w:rsid w:val="000E18F7"/>
    <w:rsid w:val="000E3E95"/>
    <w:rsid w:val="000E75A8"/>
    <w:rsid w:val="000F17AD"/>
    <w:rsid w:val="000F28EA"/>
    <w:rsid w:val="000F7819"/>
    <w:rsid w:val="000F78B0"/>
    <w:rsid w:val="000F7CD8"/>
    <w:rsid w:val="000F7D64"/>
    <w:rsid w:val="001035E7"/>
    <w:rsid w:val="001264CB"/>
    <w:rsid w:val="001334B4"/>
    <w:rsid w:val="001420CA"/>
    <w:rsid w:val="00145B49"/>
    <w:rsid w:val="00145D16"/>
    <w:rsid w:val="00153E97"/>
    <w:rsid w:val="0015419C"/>
    <w:rsid w:val="001549E4"/>
    <w:rsid w:val="00155BD5"/>
    <w:rsid w:val="001618FE"/>
    <w:rsid w:val="0016448E"/>
    <w:rsid w:val="00164689"/>
    <w:rsid w:val="00170B21"/>
    <w:rsid w:val="001735DE"/>
    <w:rsid w:val="00176D65"/>
    <w:rsid w:val="001770EB"/>
    <w:rsid w:val="00177CE0"/>
    <w:rsid w:val="00180497"/>
    <w:rsid w:val="00181178"/>
    <w:rsid w:val="00187954"/>
    <w:rsid w:val="00191A41"/>
    <w:rsid w:val="00194B37"/>
    <w:rsid w:val="001A026C"/>
    <w:rsid w:val="001A4D57"/>
    <w:rsid w:val="001A6D1B"/>
    <w:rsid w:val="001B2114"/>
    <w:rsid w:val="001B552E"/>
    <w:rsid w:val="001B6467"/>
    <w:rsid w:val="001B6C98"/>
    <w:rsid w:val="001C2F08"/>
    <w:rsid w:val="001C5C5D"/>
    <w:rsid w:val="001C660B"/>
    <w:rsid w:val="001D12D1"/>
    <w:rsid w:val="001D1A99"/>
    <w:rsid w:val="001D336A"/>
    <w:rsid w:val="001D7408"/>
    <w:rsid w:val="001E4412"/>
    <w:rsid w:val="001E61B0"/>
    <w:rsid w:val="001E6554"/>
    <w:rsid w:val="001F16B7"/>
    <w:rsid w:val="001F180F"/>
    <w:rsid w:val="001F3AFA"/>
    <w:rsid w:val="001F4BBD"/>
    <w:rsid w:val="001F65A5"/>
    <w:rsid w:val="001F6737"/>
    <w:rsid w:val="001F6A2B"/>
    <w:rsid w:val="002017FF"/>
    <w:rsid w:val="00202CC7"/>
    <w:rsid w:val="00204864"/>
    <w:rsid w:val="00206039"/>
    <w:rsid w:val="00213E9B"/>
    <w:rsid w:val="00221640"/>
    <w:rsid w:val="00223623"/>
    <w:rsid w:val="00223D80"/>
    <w:rsid w:val="002252A7"/>
    <w:rsid w:val="002346FC"/>
    <w:rsid w:val="00234A66"/>
    <w:rsid w:val="00236587"/>
    <w:rsid w:val="0024102E"/>
    <w:rsid w:val="002435A9"/>
    <w:rsid w:val="00251C81"/>
    <w:rsid w:val="0025254F"/>
    <w:rsid w:val="002556B0"/>
    <w:rsid w:val="00263C04"/>
    <w:rsid w:val="00266005"/>
    <w:rsid w:val="002777EE"/>
    <w:rsid w:val="0028203B"/>
    <w:rsid w:val="00284625"/>
    <w:rsid w:val="00295682"/>
    <w:rsid w:val="00295F62"/>
    <w:rsid w:val="002A262A"/>
    <w:rsid w:val="002A4587"/>
    <w:rsid w:val="002A67C7"/>
    <w:rsid w:val="002A67DB"/>
    <w:rsid w:val="002A700E"/>
    <w:rsid w:val="002A73CA"/>
    <w:rsid w:val="002B0C82"/>
    <w:rsid w:val="002B26F3"/>
    <w:rsid w:val="002C0D18"/>
    <w:rsid w:val="002C4516"/>
    <w:rsid w:val="002C46D3"/>
    <w:rsid w:val="002C6890"/>
    <w:rsid w:val="002C6F75"/>
    <w:rsid w:val="002C7BC7"/>
    <w:rsid w:val="002D4687"/>
    <w:rsid w:val="002D6936"/>
    <w:rsid w:val="002D6AB2"/>
    <w:rsid w:val="002D6B85"/>
    <w:rsid w:val="002D7D37"/>
    <w:rsid w:val="002E122E"/>
    <w:rsid w:val="002E32E9"/>
    <w:rsid w:val="002E6688"/>
    <w:rsid w:val="002E691B"/>
    <w:rsid w:val="002E7C95"/>
    <w:rsid w:val="00300B63"/>
    <w:rsid w:val="00301A9B"/>
    <w:rsid w:val="00303325"/>
    <w:rsid w:val="00305CCD"/>
    <w:rsid w:val="00307EF0"/>
    <w:rsid w:val="0031163B"/>
    <w:rsid w:val="003159D4"/>
    <w:rsid w:val="0031651B"/>
    <w:rsid w:val="0032087E"/>
    <w:rsid w:val="00322CC3"/>
    <w:rsid w:val="00322FC0"/>
    <w:rsid w:val="00335993"/>
    <w:rsid w:val="003417AB"/>
    <w:rsid w:val="0034266E"/>
    <w:rsid w:val="00343407"/>
    <w:rsid w:val="00343ADB"/>
    <w:rsid w:val="00345EBE"/>
    <w:rsid w:val="003474C0"/>
    <w:rsid w:val="00350BFF"/>
    <w:rsid w:val="00351522"/>
    <w:rsid w:val="00352272"/>
    <w:rsid w:val="003566F0"/>
    <w:rsid w:val="00363587"/>
    <w:rsid w:val="00374D15"/>
    <w:rsid w:val="00375C59"/>
    <w:rsid w:val="00376035"/>
    <w:rsid w:val="003762DC"/>
    <w:rsid w:val="0038070A"/>
    <w:rsid w:val="003814BB"/>
    <w:rsid w:val="003819FF"/>
    <w:rsid w:val="0038269F"/>
    <w:rsid w:val="0038417C"/>
    <w:rsid w:val="00391A32"/>
    <w:rsid w:val="00391CE8"/>
    <w:rsid w:val="003955D0"/>
    <w:rsid w:val="003963E6"/>
    <w:rsid w:val="0039679C"/>
    <w:rsid w:val="003A22AC"/>
    <w:rsid w:val="003A425D"/>
    <w:rsid w:val="003B084C"/>
    <w:rsid w:val="003B11E5"/>
    <w:rsid w:val="003B331A"/>
    <w:rsid w:val="003B4299"/>
    <w:rsid w:val="003B5AB1"/>
    <w:rsid w:val="003C25DE"/>
    <w:rsid w:val="003C5A91"/>
    <w:rsid w:val="003C6E55"/>
    <w:rsid w:val="003D3F98"/>
    <w:rsid w:val="003D6A4A"/>
    <w:rsid w:val="003D722B"/>
    <w:rsid w:val="003E054E"/>
    <w:rsid w:val="003E5F14"/>
    <w:rsid w:val="003F0128"/>
    <w:rsid w:val="003F2DDE"/>
    <w:rsid w:val="003F5D86"/>
    <w:rsid w:val="003F7586"/>
    <w:rsid w:val="004026CF"/>
    <w:rsid w:val="00402D38"/>
    <w:rsid w:val="00403600"/>
    <w:rsid w:val="004046E3"/>
    <w:rsid w:val="00405565"/>
    <w:rsid w:val="00411CEF"/>
    <w:rsid w:val="00415896"/>
    <w:rsid w:val="00420FEC"/>
    <w:rsid w:val="0042372F"/>
    <w:rsid w:val="0042453D"/>
    <w:rsid w:val="00424A84"/>
    <w:rsid w:val="004340C4"/>
    <w:rsid w:val="004366C5"/>
    <w:rsid w:val="004370AD"/>
    <w:rsid w:val="0043755F"/>
    <w:rsid w:val="004420A3"/>
    <w:rsid w:val="0045015B"/>
    <w:rsid w:val="004517F1"/>
    <w:rsid w:val="004539A1"/>
    <w:rsid w:val="00454D83"/>
    <w:rsid w:val="00455307"/>
    <w:rsid w:val="00461003"/>
    <w:rsid w:val="004720C5"/>
    <w:rsid w:val="00477B24"/>
    <w:rsid w:val="0048017A"/>
    <w:rsid w:val="004802C9"/>
    <w:rsid w:val="004809DC"/>
    <w:rsid w:val="00486ECE"/>
    <w:rsid w:val="0049093C"/>
    <w:rsid w:val="00491C9E"/>
    <w:rsid w:val="00493421"/>
    <w:rsid w:val="004A5D41"/>
    <w:rsid w:val="004B0BE7"/>
    <w:rsid w:val="004B2D0C"/>
    <w:rsid w:val="004B3616"/>
    <w:rsid w:val="004B3E08"/>
    <w:rsid w:val="004C4DE4"/>
    <w:rsid w:val="004C7D71"/>
    <w:rsid w:val="004D11B7"/>
    <w:rsid w:val="004D26FA"/>
    <w:rsid w:val="004D2C78"/>
    <w:rsid w:val="004D5984"/>
    <w:rsid w:val="004E7DDE"/>
    <w:rsid w:val="004F1F49"/>
    <w:rsid w:val="004F3298"/>
    <w:rsid w:val="004F3C5C"/>
    <w:rsid w:val="004F48F2"/>
    <w:rsid w:val="004F4924"/>
    <w:rsid w:val="00503C24"/>
    <w:rsid w:val="00515C43"/>
    <w:rsid w:val="00515EB7"/>
    <w:rsid w:val="00517D8B"/>
    <w:rsid w:val="00520E7C"/>
    <w:rsid w:val="005210D8"/>
    <w:rsid w:val="00522B09"/>
    <w:rsid w:val="00525481"/>
    <w:rsid w:val="00525DAC"/>
    <w:rsid w:val="00530774"/>
    <w:rsid w:val="005312D6"/>
    <w:rsid w:val="00534422"/>
    <w:rsid w:val="00536A46"/>
    <w:rsid w:val="00542484"/>
    <w:rsid w:val="00544647"/>
    <w:rsid w:val="00545B5D"/>
    <w:rsid w:val="00553F1F"/>
    <w:rsid w:val="00561AFB"/>
    <w:rsid w:val="00562F1B"/>
    <w:rsid w:val="005635F6"/>
    <w:rsid w:val="00563763"/>
    <w:rsid w:val="00572116"/>
    <w:rsid w:val="00577A3C"/>
    <w:rsid w:val="005831B3"/>
    <w:rsid w:val="005861F6"/>
    <w:rsid w:val="005976B7"/>
    <w:rsid w:val="005A05E5"/>
    <w:rsid w:val="005A71EA"/>
    <w:rsid w:val="005B23EF"/>
    <w:rsid w:val="005B3EFF"/>
    <w:rsid w:val="005B7F9E"/>
    <w:rsid w:val="005D1320"/>
    <w:rsid w:val="005D60EC"/>
    <w:rsid w:val="005E3D78"/>
    <w:rsid w:val="005E5C8A"/>
    <w:rsid w:val="005E61EF"/>
    <w:rsid w:val="005F129E"/>
    <w:rsid w:val="005F2C18"/>
    <w:rsid w:val="00603377"/>
    <w:rsid w:val="006123DD"/>
    <w:rsid w:val="00613F2A"/>
    <w:rsid w:val="00616AFD"/>
    <w:rsid w:val="0062332D"/>
    <w:rsid w:val="00624C5E"/>
    <w:rsid w:val="00627466"/>
    <w:rsid w:val="006275D3"/>
    <w:rsid w:val="00630767"/>
    <w:rsid w:val="00631E98"/>
    <w:rsid w:val="00633C27"/>
    <w:rsid w:val="0064051C"/>
    <w:rsid w:val="00640E11"/>
    <w:rsid w:val="0064388D"/>
    <w:rsid w:val="00645F7C"/>
    <w:rsid w:val="006461BD"/>
    <w:rsid w:val="00650C89"/>
    <w:rsid w:val="0065478B"/>
    <w:rsid w:val="00660480"/>
    <w:rsid w:val="006624EE"/>
    <w:rsid w:val="006674E7"/>
    <w:rsid w:val="00671860"/>
    <w:rsid w:val="00675944"/>
    <w:rsid w:val="0067707F"/>
    <w:rsid w:val="006805E8"/>
    <w:rsid w:val="006815A4"/>
    <w:rsid w:val="00683E7A"/>
    <w:rsid w:val="0068484F"/>
    <w:rsid w:val="006873CD"/>
    <w:rsid w:val="00692B8A"/>
    <w:rsid w:val="00693BE3"/>
    <w:rsid w:val="006943EF"/>
    <w:rsid w:val="00695E33"/>
    <w:rsid w:val="006A2790"/>
    <w:rsid w:val="006A6E00"/>
    <w:rsid w:val="006B0267"/>
    <w:rsid w:val="006B24BB"/>
    <w:rsid w:val="006B273E"/>
    <w:rsid w:val="006B460A"/>
    <w:rsid w:val="006B4F03"/>
    <w:rsid w:val="006B63E5"/>
    <w:rsid w:val="006B6D25"/>
    <w:rsid w:val="006C0C96"/>
    <w:rsid w:val="006C1778"/>
    <w:rsid w:val="006C4E36"/>
    <w:rsid w:val="006C597C"/>
    <w:rsid w:val="006C5D8B"/>
    <w:rsid w:val="006C61C2"/>
    <w:rsid w:val="006D34A4"/>
    <w:rsid w:val="006D45BB"/>
    <w:rsid w:val="006E53DE"/>
    <w:rsid w:val="006E7A0B"/>
    <w:rsid w:val="006E7F87"/>
    <w:rsid w:val="006F0D9E"/>
    <w:rsid w:val="006F546A"/>
    <w:rsid w:val="00700AF5"/>
    <w:rsid w:val="00700C99"/>
    <w:rsid w:val="00701483"/>
    <w:rsid w:val="00701494"/>
    <w:rsid w:val="00702606"/>
    <w:rsid w:val="00707019"/>
    <w:rsid w:val="007110F2"/>
    <w:rsid w:val="00714A05"/>
    <w:rsid w:val="007161FB"/>
    <w:rsid w:val="007163E7"/>
    <w:rsid w:val="0071719B"/>
    <w:rsid w:val="00724638"/>
    <w:rsid w:val="00724F82"/>
    <w:rsid w:val="00725DCD"/>
    <w:rsid w:val="007271D9"/>
    <w:rsid w:val="00730811"/>
    <w:rsid w:val="007328F6"/>
    <w:rsid w:val="00734789"/>
    <w:rsid w:val="007418FD"/>
    <w:rsid w:val="00741AF3"/>
    <w:rsid w:val="0074248E"/>
    <w:rsid w:val="00743FA9"/>
    <w:rsid w:val="00745497"/>
    <w:rsid w:val="00755E48"/>
    <w:rsid w:val="00760E0F"/>
    <w:rsid w:val="007802D0"/>
    <w:rsid w:val="00780D44"/>
    <w:rsid w:val="00785A0B"/>
    <w:rsid w:val="007907D9"/>
    <w:rsid w:val="00792FF3"/>
    <w:rsid w:val="00795BBD"/>
    <w:rsid w:val="007A111C"/>
    <w:rsid w:val="007A2F1C"/>
    <w:rsid w:val="007A634A"/>
    <w:rsid w:val="007A6477"/>
    <w:rsid w:val="007B1E07"/>
    <w:rsid w:val="007B3B48"/>
    <w:rsid w:val="007B5C61"/>
    <w:rsid w:val="007B6FA7"/>
    <w:rsid w:val="007C06C9"/>
    <w:rsid w:val="007C1708"/>
    <w:rsid w:val="007C4A54"/>
    <w:rsid w:val="007C6106"/>
    <w:rsid w:val="007D279C"/>
    <w:rsid w:val="007D3773"/>
    <w:rsid w:val="007D3BC0"/>
    <w:rsid w:val="007E0FFE"/>
    <w:rsid w:val="007E1EC1"/>
    <w:rsid w:val="007E483A"/>
    <w:rsid w:val="007E65C3"/>
    <w:rsid w:val="007F1EDB"/>
    <w:rsid w:val="007F4793"/>
    <w:rsid w:val="007F5CAF"/>
    <w:rsid w:val="007F7E7E"/>
    <w:rsid w:val="00801BAE"/>
    <w:rsid w:val="00814044"/>
    <w:rsid w:val="0081617A"/>
    <w:rsid w:val="00827647"/>
    <w:rsid w:val="00831EBE"/>
    <w:rsid w:val="00832648"/>
    <w:rsid w:val="0083504F"/>
    <w:rsid w:val="0083509C"/>
    <w:rsid w:val="008354F9"/>
    <w:rsid w:val="00837AF0"/>
    <w:rsid w:val="00837C21"/>
    <w:rsid w:val="00844688"/>
    <w:rsid w:val="00850DC3"/>
    <w:rsid w:val="00851784"/>
    <w:rsid w:val="008519CC"/>
    <w:rsid w:val="00851F3C"/>
    <w:rsid w:val="00852919"/>
    <w:rsid w:val="00856E74"/>
    <w:rsid w:val="008622A8"/>
    <w:rsid w:val="008641A4"/>
    <w:rsid w:val="008658B1"/>
    <w:rsid w:val="0086598E"/>
    <w:rsid w:val="0087023B"/>
    <w:rsid w:val="00871E7E"/>
    <w:rsid w:val="0087230D"/>
    <w:rsid w:val="0087426C"/>
    <w:rsid w:val="0087723F"/>
    <w:rsid w:val="0088093A"/>
    <w:rsid w:val="0088365B"/>
    <w:rsid w:val="00885041"/>
    <w:rsid w:val="008935AF"/>
    <w:rsid w:val="00895B3C"/>
    <w:rsid w:val="00895E52"/>
    <w:rsid w:val="00896680"/>
    <w:rsid w:val="008A597D"/>
    <w:rsid w:val="008B54CE"/>
    <w:rsid w:val="008C449F"/>
    <w:rsid w:val="008C4551"/>
    <w:rsid w:val="008C5D2B"/>
    <w:rsid w:val="008C6A4C"/>
    <w:rsid w:val="008D1913"/>
    <w:rsid w:val="008D33FB"/>
    <w:rsid w:val="008D3F56"/>
    <w:rsid w:val="008F008C"/>
    <w:rsid w:val="008F10DF"/>
    <w:rsid w:val="008F1E54"/>
    <w:rsid w:val="008F2B63"/>
    <w:rsid w:val="008F69EB"/>
    <w:rsid w:val="008F6B3D"/>
    <w:rsid w:val="00900A21"/>
    <w:rsid w:val="0090358C"/>
    <w:rsid w:val="009127FB"/>
    <w:rsid w:val="00916752"/>
    <w:rsid w:val="00920818"/>
    <w:rsid w:val="00920CF5"/>
    <w:rsid w:val="00921E7B"/>
    <w:rsid w:val="009220BA"/>
    <w:rsid w:val="00922985"/>
    <w:rsid w:val="00925804"/>
    <w:rsid w:val="00930064"/>
    <w:rsid w:val="00930EDC"/>
    <w:rsid w:val="009359FA"/>
    <w:rsid w:val="00935D78"/>
    <w:rsid w:val="0093764A"/>
    <w:rsid w:val="00941521"/>
    <w:rsid w:val="00942CFF"/>
    <w:rsid w:val="009506D7"/>
    <w:rsid w:val="0095176E"/>
    <w:rsid w:val="00951901"/>
    <w:rsid w:val="00951CAF"/>
    <w:rsid w:val="00957736"/>
    <w:rsid w:val="00957BDE"/>
    <w:rsid w:val="0096462E"/>
    <w:rsid w:val="00964A74"/>
    <w:rsid w:val="009674EA"/>
    <w:rsid w:val="00967C01"/>
    <w:rsid w:val="00970A2F"/>
    <w:rsid w:val="00972C10"/>
    <w:rsid w:val="0097325D"/>
    <w:rsid w:val="0098438A"/>
    <w:rsid w:val="00993624"/>
    <w:rsid w:val="009937F7"/>
    <w:rsid w:val="009A1684"/>
    <w:rsid w:val="009A176F"/>
    <w:rsid w:val="009A229F"/>
    <w:rsid w:val="009A3084"/>
    <w:rsid w:val="009A40A1"/>
    <w:rsid w:val="009A43EE"/>
    <w:rsid w:val="009A466B"/>
    <w:rsid w:val="009A479F"/>
    <w:rsid w:val="009A5680"/>
    <w:rsid w:val="009A6C6D"/>
    <w:rsid w:val="009C1AF2"/>
    <w:rsid w:val="009C1DD9"/>
    <w:rsid w:val="009C6F53"/>
    <w:rsid w:val="009D0445"/>
    <w:rsid w:val="009D4476"/>
    <w:rsid w:val="009D4EE1"/>
    <w:rsid w:val="009D5974"/>
    <w:rsid w:val="009D5BF5"/>
    <w:rsid w:val="009E512F"/>
    <w:rsid w:val="009E67B7"/>
    <w:rsid w:val="009F1BF6"/>
    <w:rsid w:val="00A0046C"/>
    <w:rsid w:val="00A0401A"/>
    <w:rsid w:val="00A06F54"/>
    <w:rsid w:val="00A10639"/>
    <w:rsid w:val="00A118F4"/>
    <w:rsid w:val="00A12ADC"/>
    <w:rsid w:val="00A12FF9"/>
    <w:rsid w:val="00A13BE1"/>
    <w:rsid w:val="00A140DF"/>
    <w:rsid w:val="00A14B53"/>
    <w:rsid w:val="00A209D8"/>
    <w:rsid w:val="00A27597"/>
    <w:rsid w:val="00A40515"/>
    <w:rsid w:val="00A40A2A"/>
    <w:rsid w:val="00A44639"/>
    <w:rsid w:val="00A45091"/>
    <w:rsid w:val="00A504FC"/>
    <w:rsid w:val="00A62F89"/>
    <w:rsid w:val="00A6545A"/>
    <w:rsid w:val="00A704B8"/>
    <w:rsid w:val="00A74EA2"/>
    <w:rsid w:val="00A755C3"/>
    <w:rsid w:val="00A80821"/>
    <w:rsid w:val="00A8725F"/>
    <w:rsid w:val="00A9071C"/>
    <w:rsid w:val="00A91E09"/>
    <w:rsid w:val="00A920C3"/>
    <w:rsid w:val="00A942C8"/>
    <w:rsid w:val="00A96A94"/>
    <w:rsid w:val="00AA0C4D"/>
    <w:rsid w:val="00AA0F6D"/>
    <w:rsid w:val="00AA13D6"/>
    <w:rsid w:val="00AA23B7"/>
    <w:rsid w:val="00AA5341"/>
    <w:rsid w:val="00AA7452"/>
    <w:rsid w:val="00AB09EA"/>
    <w:rsid w:val="00AB1B05"/>
    <w:rsid w:val="00AB336C"/>
    <w:rsid w:val="00AB39E0"/>
    <w:rsid w:val="00AB72C3"/>
    <w:rsid w:val="00AC2C8D"/>
    <w:rsid w:val="00AC3B48"/>
    <w:rsid w:val="00AC4D6D"/>
    <w:rsid w:val="00AD4B84"/>
    <w:rsid w:val="00AD5D9E"/>
    <w:rsid w:val="00AD7571"/>
    <w:rsid w:val="00AE5F04"/>
    <w:rsid w:val="00AE61EC"/>
    <w:rsid w:val="00AE65DE"/>
    <w:rsid w:val="00AE7AB9"/>
    <w:rsid w:val="00AF0033"/>
    <w:rsid w:val="00AF27EB"/>
    <w:rsid w:val="00AF3F5E"/>
    <w:rsid w:val="00B02160"/>
    <w:rsid w:val="00B03780"/>
    <w:rsid w:val="00B07134"/>
    <w:rsid w:val="00B20F40"/>
    <w:rsid w:val="00B244FF"/>
    <w:rsid w:val="00B26AD5"/>
    <w:rsid w:val="00B27A45"/>
    <w:rsid w:val="00B311C5"/>
    <w:rsid w:val="00B324FC"/>
    <w:rsid w:val="00B36CA7"/>
    <w:rsid w:val="00B42193"/>
    <w:rsid w:val="00B45739"/>
    <w:rsid w:val="00B5088E"/>
    <w:rsid w:val="00B555BA"/>
    <w:rsid w:val="00B627C5"/>
    <w:rsid w:val="00B634D7"/>
    <w:rsid w:val="00B658AF"/>
    <w:rsid w:val="00B76CA6"/>
    <w:rsid w:val="00B8081F"/>
    <w:rsid w:val="00B8120F"/>
    <w:rsid w:val="00B8183B"/>
    <w:rsid w:val="00B83CBC"/>
    <w:rsid w:val="00B8466B"/>
    <w:rsid w:val="00B91F3C"/>
    <w:rsid w:val="00B95D2D"/>
    <w:rsid w:val="00BA17F1"/>
    <w:rsid w:val="00BA2A8D"/>
    <w:rsid w:val="00BA2C54"/>
    <w:rsid w:val="00BA76C7"/>
    <w:rsid w:val="00BA7A8E"/>
    <w:rsid w:val="00BB1183"/>
    <w:rsid w:val="00BB1965"/>
    <w:rsid w:val="00BB43B0"/>
    <w:rsid w:val="00BB46C2"/>
    <w:rsid w:val="00BB52C7"/>
    <w:rsid w:val="00BC0A62"/>
    <w:rsid w:val="00BC2AC3"/>
    <w:rsid w:val="00BC3165"/>
    <w:rsid w:val="00BC426E"/>
    <w:rsid w:val="00BC46A4"/>
    <w:rsid w:val="00BD1D58"/>
    <w:rsid w:val="00BD380D"/>
    <w:rsid w:val="00BD3EAE"/>
    <w:rsid w:val="00BE20E1"/>
    <w:rsid w:val="00BE4350"/>
    <w:rsid w:val="00BF15D2"/>
    <w:rsid w:val="00BF24D9"/>
    <w:rsid w:val="00BF4100"/>
    <w:rsid w:val="00BF68D4"/>
    <w:rsid w:val="00C0483A"/>
    <w:rsid w:val="00C13394"/>
    <w:rsid w:val="00C13660"/>
    <w:rsid w:val="00C20588"/>
    <w:rsid w:val="00C238D6"/>
    <w:rsid w:val="00C25379"/>
    <w:rsid w:val="00C36AF5"/>
    <w:rsid w:val="00C3760F"/>
    <w:rsid w:val="00C464CF"/>
    <w:rsid w:val="00C51348"/>
    <w:rsid w:val="00C523F9"/>
    <w:rsid w:val="00C62D22"/>
    <w:rsid w:val="00C6420C"/>
    <w:rsid w:val="00C6432C"/>
    <w:rsid w:val="00C6672D"/>
    <w:rsid w:val="00C73AC3"/>
    <w:rsid w:val="00C749AB"/>
    <w:rsid w:val="00C7661C"/>
    <w:rsid w:val="00C819D8"/>
    <w:rsid w:val="00C83C86"/>
    <w:rsid w:val="00C84557"/>
    <w:rsid w:val="00C869E3"/>
    <w:rsid w:val="00C87630"/>
    <w:rsid w:val="00C90521"/>
    <w:rsid w:val="00C90AF2"/>
    <w:rsid w:val="00C93C00"/>
    <w:rsid w:val="00C97376"/>
    <w:rsid w:val="00CA0CF7"/>
    <w:rsid w:val="00CA6AEE"/>
    <w:rsid w:val="00CB1BEC"/>
    <w:rsid w:val="00CB7758"/>
    <w:rsid w:val="00CC1752"/>
    <w:rsid w:val="00CC34EE"/>
    <w:rsid w:val="00CC7CC3"/>
    <w:rsid w:val="00CC7FCF"/>
    <w:rsid w:val="00CD2344"/>
    <w:rsid w:val="00CD7C85"/>
    <w:rsid w:val="00CE0EF7"/>
    <w:rsid w:val="00CE1FB5"/>
    <w:rsid w:val="00CE4A44"/>
    <w:rsid w:val="00CE53F2"/>
    <w:rsid w:val="00CE5805"/>
    <w:rsid w:val="00CF212A"/>
    <w:rsid w:val="00CF5A16"/>
    <w:rsid w:val="00D017DA"/>
    <w:rsid w:val="00D107C0"/>
    <w:rsid w:val="00D13166"/>
    <w:rsid w:val="00D132AE"/>
    <w:rsid w:val="00D13FE9"/>
    <w:rsid w:val="00D15672"/>
    <w:rsid w:val="00D17103"/>
    <w:rsid w:val="00D20F12"/>
    <w:rsid w:val="00D231A0"/>
    <w:rsid w:val="00D233B9"/>
    <w:rsid w:val="00D23E73"/>
    <w:rsid w:val="00D31282"/>
    <w:rsid w:val="00D3239E"/>
    <w:rsid w:val="00D32EF0"/>
    <w:rsid w:val="00D3624C"/>
    <w:rsid w:val="00D37DB0"/>
    <w:rsid w:val="00D4381C"/>
    <w:rsid w:val="00D51AD5"/>
    <w:rsid w:val="00D61A2E"/>
    <w:rsid w:val="00D660AE"/>
    <w:rsid w:val="00D71CAD"/>
    <w:rsid w:val="00D74769"/>
    <w:rsid w:val="00D749D4"/>
    <w:rsid w:val="00D75658"/>
    <w:rsid w:val="00D81A88"/>
    <w:rsid w:val="00D83B21"/>
    <w:rsid w:val="00D853AD"/>
    <w:rsid w:val="00D86C69"/>
    <w:rsid w:val="00D916D1"/>
    <w:rsid w:val="00DA23B6"/>
    <w:rsid w:val="00DB298D"/>
    <w:rsid w:val="00DB42EE"/>
    <w:rsid w:val="00DB4590"/>
    <w:rsid w:val="00DB4F36"/>
    <w:rsid w:val="00DB628A"/>
    <w:rsid w:val="00DB7F5E"/>
    <w:rsid w:val="00DC1045"/>
    <w:rsid w:val="00DC3F55"/>
    <w:rsid w:val="00DC6049"/>
    <w:rsid w:val="00DC7919"/>
    <w:rsid w:val="00DD4074"/>
    <w:rsid w:val="00DE2379"/>
    <w:rsid w:val="00DE623B"/>
    <w:rsid w:val="00DE70A1"/>
    <w:rsid w:val="00DE734D"/>
    <w:rsid w:val="00DE78C2"/>
    <w:rsid w:val="00DF14D4"/>
    <w:rsid w:val="00DF19DF"/>
    <w:rsid w:val="00DF264A"/>
    <w:rsid w:val="00DF26E3"/>
    <w:rsid w:val="00DF46F0"/>
    <w:rsid w:val="00DF506B"/>
    <w:rsid w:val="00DF7F86"/>
    <w:rsid w:val="00E001BA"/>
    <w:rsid w:val="00E036B9"/>
    <w:rsid w:val="00E0795D"/>
    <w:rsid w:val="00E112FC"/>
    <w:rsid w:val="00E118A4"/>
    <w:rsid w:val="00E17DC7"/>
    <w:rsid w:val="00E223D9"/>
    <w:rsid w:val="00E27259"/>
    <w:rsid w:val="00E2778D"/>
    <w:rsid w:val="00E27C3B"/>
    <w:rsid w:val="00E303E0"/>
    <w:rsid w:val="00E35761"/>
    <w:rsid w:val="00E367BE"/>
    <w:rsid w:val="00E37F90"/>
    <w:rsid w:val="00E43A40"/>
    <w:rsid w:val="00E441E5"/>
    <w:rsid w:val="00E62EB5"/>
    <w:rsid w:val="00E70EAA"/>
    <w:rsid w:val="00E71213"/>
    <w:rsid w:val="00E7204B"/>
    <w:rsid w:val="00E7490A"/>
    <w:rsid w:val="00E76AB6"/>
    <w:rsid w:val="00E76C80"/>
    <w:rsid w:val="00E77823"/>
    <w:rsid w:val="00E833EC"/>
    <w:rsid w:val="00E851BB"/>
    <w:rsid w:val="00E904E3"/>
    <w:rsid w:val="00E93568"/>
    <w:rsid w:val="00E96988"/>
    <w:rsid w:val="00EA2979"/>
    <w:rsid w:val="00EA3A98"/>
    <w:rsid w:val="00EB1FBD"/>
    <w:rsid w:val="00EB2C67"/>
    <w:rsid w:val="00EB35E8"/>
    <w:rsid w:val="00EB7655"/>
    <w:rsid w:val="00EC0669"/>
    <w:rsid w:val="00EC7108"/>
    <w:rsid w:val="00EC7635"/>
    <w:rsid w:val="00ED4834"/>
    <w:rsid w:val="00EE0975"/>
    <w:rsid w:val="00EE1F21"/>
    <w:rsid w:val="00EE301F"/>
    <w:rsid w:val="00EE3D0F"/>
    <w:rsid w:val="00EE54AA"/>
    <w:rsid w:val="00EE6921"/>
    <w:rsid w:val="00EE70DB"/>
    <w:rsid w:val="00EF2401"/>
    <w:rsid w:val="00EF3483"/>
    <w:rsid w:val="00EF54EC"/>
    <w:rsid w:val="00F0024A"/>
    <w:rsid w:val="00F017F5"/>
    <w:rsid w:val="00F05AB8"/>
    <w:rsid w:val="00F05B40"/>
    <w:rsid w:val="00F07413"/>
    <w:rsid w:val="00F10FED"/>
    <w:rsid w:val="00F140E0"/>
    <w:rsid w:val="00F21086"/>
    <w:rsid w:val="00F237B2"/>
    <w:rsid w:val="00F23B3F"/>
    <w:rsid w:val="00F23EEE"/>
    <w:rsid w:val="00F24212"/>
    <w:rsid w:val="00F25831"/>
    <w:rsid w:val="00F25C63"/>
    <w:rsid w:val="00F300D4"/>
    <w:rsid w:val="00F334B3"/>
    <w:rsid w:val="00F34423"/>
    <w:rsid w:val="00F406B8"/>
    <w:rsid w:val="00F452FD"/>
    <w:rsid w:val="00F473C3"/>
    <w:rsid w:val="00F5160D"/>
    <w:rsid w:val="00F54C31"/>
    <w:rsid w:val="00F61ABD"/>
    <w:rsid w:val="00F61FA6"/>
    <w:rsid w:val="00F66E4C"/>
    <w:rsid w:val="00F677FC"/>
    <w:rsid w:val="00F86017"/>
    <w:rsid w:val="00F87793"/>
    <w:rsid w:val="00F94D15"/>
    <w:rsid w:val="00F9729A"/>
    <w:rsid w:val="00FA7889"/>
    <w:rsid w:val="00FA7D06"/>
    <w:rsid w:val="00FC17BA"/>
    <w:rsid w:val="00FD0B06"/>
    <w:rsid w:val="00FD1AC0"/>
    <w:rsid w:val="00FD7E4B"/>
    <w:rsid w:val="00FE238C"/>
    <w:rsid w:val="00FF3639"/>
    <w:rsid w:val="00FF3E29"/>
    <w:rsid w:val="00FF6DC4"/>
    <w:rsid w:val="03362A79"/>
    <w:rsid w:val="07C43930"/>
    <w:rsid w:val="089D0307"/>
    <w:rsid w:val="08B04105"/>
    <w:rsid w:val="0B6B1F86"/>
    <w:rsid w:val="0E6E0E98"/>
    <w:rsid w:val="0FD6507F"/>
    <w:rsid w:val="12093C02"/>
    <w:rsid w:val="141F358A"/>
    <w:rsid w:val="1B041BB1"/>
    <w:rsid w:val="1C5C2F1C"/>
    <w:rsid w:val="1DFC29CB"/>
    <w:rsid w:val="1E3F25C3"/>
    <w:rsid w:val="202246C9"/>
    <w:rsid w:val="24644FA9"/>
    <w:rsid w:val="262314CB"/>
    <w:rsid w:val="29BE191B"/>
    <w:rsid w:val="2A7C3B46"/>
    <w:rsid w:val="2AC9049E"/>
    <w:rsid w:val="2CD86C24"/>
    <w:rsid w:val="30177869"/>
    <w:rsid w:val="35191411"/>
    <w:rsid w:val="356454EE"/>
    <w:rsid w:val="3826171B"/>
    <w:rsid w:val="3B803B33"/>
    <w:rsid w:val="3D336C60"/>
    <w:rsid w:val="41642235"/>
    <w:rsid w:val="41D16938"/>
    <w:rsid w:val="48F769C3"/>
    <w:rsid w:val="49F207BE"/>
    <w:rsid w:val="4AA3590B"/>
    <w:rsid w:val="4B400E13"/>
    <w:rsid w:val="52814FC5"/>
    <w:rsid w:val="54C50370"/>
    <w:rsid w:val="557A0CD3"/>
    <w:rsid w:val="56FC5322"/>
    <w:rsid w:val="5C806504"/>
    <w:rsid w:val="5E716F21"/>
    <w:rsid w:val="5EFA3375"/>
    <w:rsid w:val="5F616EE0"/>
    <w:rsid w:val="652A64EB"/>
    <w:rsid w:val="6CB57F32"/>
    <w:rsid w:val="6FD24337"/>
    <w:rsid w:val="704B7DB4"/>
    <w:rsid w:val="73CB5901"/>
    <w:rsid w:val="74F13428"/>
    <w:rsid w:val="758D5401"/>
    <w:rsid w:val="77663A42"/>
    <w:rsid w:val="799D0EA4"/>
    <w:rsid w:val="79B5235D"/>
    <w:rsid w:val="7AE7398F"/>
    <w:rsid w:val="7FE15E14"/>
    <w:rsid w:val="B56B8C6E"/>
    <w:rsid w:val="BBDD5B59"/>
    <w:rsid w:val="E5EC6406"/>
    <w:rsid w:val="E6F72555"/>
    <w:rsid w:val="FEFA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spacing w:line="360" w:lineRule="auto"/>
      <w:jc w:val="center"/>
      <w:outlineLvl w:val="0"/>
    </w:pPr>
    <w:rPr>
      <w:rFonts w:ascii="黑体" w:hAnsi="黑体" w:eastAsia="黑体" w:cstheme="minorBidi"/>
      <w:b/>
      <w:bCs/>
      <w:color w:val="000000" w:themeColor="text1"/>
      <w:kern w:val="44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3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9"/>
    <w:qFormat/>
    <w:uiPriority w:val="0"/>
    <w:pPr>
      <w:spacing w:after="120"/>
    </w:pPr>
  </w:style>
  <w:style w:type="paragraph" w:styleId="6">
    <w:name w:val="Plain Text"/>
    <w:basedOn w:val="1"/>
    <w:link w:val="23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Date"/>
    <w:basedOn w:val="1"/>
    <w:next w:val="1"/>
    <w:link w:val="26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35"/>
    <w:semiHidden/>
    <w:unhideWhenUsed/>
    <w:uiPriority w:val="0"/>
    <w:pPr>
      <w:snapToGrid w:val="0"/>
      <w:jc w:val="left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 w:line="335" w:lineRule="atLeast"/>
      <w:jc w:val="left"/>
    </w:pPr>
    <w:rPr>
      <w:rFonts w:ascii="宋体" w:hAnsi="宋体" w:eastAsia="宋体" w:cs="宋体"/>
      <w:color w:val="000000"/>
      <w:kern w:val="0"/>
      <w:sz w:val="23"/>
      <w:szCs w:val="23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character" w:styleId="17">
    <w:name w:val="footnote reference"/>
    <w:basedOn w:val="13"/>
    <w:semiHidden/>
    <w:unhideWhenUsed/>
    <w:qFormat/>
    <w:uiPriority w:val="0"/>
    <w:rPr>
      <w:vertAlign w:val="superscript"/>
    </w:rPr>
  </w:style>
  <w:style w:type="table" w:styleId="19">
    <w:name w:val="Table Grid"/>
    <w:basedOn w:val="1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0">
    <w:name w:val="页眉 字符"/>
    <w:basedOn w:val="13"/>
    <w:link w:val="10"/>
    <w:qFormat/>
    <w:uiPriority w:val="0"/>
    <w:rPr>
      <w:rFonts w:eastAsia="仿宋_GB2312"/>
      <w:kern w:val="2"/>
      <w:sz w:val="18"/>
      <w:szCs w:val="18"/>
    </w:rPr>
  </w:style>
  <w:style w:type="character" w:customStyle="1" w:styleId="21">
    <w:name w:val="页脚 字符"/>
    <w:basedOn w:val="13"/>
    <w:link w:val="9"/>
    <w:qFormat/>
    <w:uiPriority w:val="99"/>
    <w:rPr>
      <w:rFonts w:eastAsia="仿宋_GB2312"/>
      <w:kern w:val="2"/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纯文本 字符"/>
    <w:basedOn w:val="13"/>
    <w:link w:val="6"/>
    <w:qFormat/>
    <w:uiPriority w:val="99"/>
    <w:rPr>
      <w:rFonts w:ascii="宋体" w:hAnsi="宋体" w:cs="宋体"/>
      <w:sz w:val="24"/>
      <w:szCs w:val="24"/>
    </w:rPr>
  </w:style>
  <w:style w:type="paragraph" w:customStyle="1" w:styleId="24">
    <w:name w:val="promo"/>
    <w:basedOn w:val="1"/>
    <w:link w:val="2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character" w:customStyle="1" w:styleId="25">
    <w:name w:val="promo Char"/>
    <w:basedOn w:val="13"/>
    <w:link w:val="24"/>
    <w:qFormat/>
    <w:uiPriority w:val="0"/>
    <w:rPr>
      <w:rFonts w:ascii="宋体" w:hAnsi="宋体"/>
      <w:sz w:val="24"/>
    </w:rPr>
  </w:style>
  <w:style w:type="character" w:customStyle="1" w:styleId="26">
    <w:name w:val="日期 字符"/>
    <w:basedOn w:val="13"/>
    <w:link w:val="7"/>
    <w:qFormat/>
    <w:uiPriority w:val="0"/>
    <w:rPr>
      <w:rFonts w:eastAsia="仿宋_GB2312"/>
      <w:kern w:val="2"/>
      <w:sz w:val="32"/>
    </w:rPr>
  </w:style>
  <w:style w:type="paragraph" w:customStyle="1" w:styleId="27">
    <w:name w:val="默认段落字体 Para Char"/>
    <w:basedOn w:val="1"/>
    <w:qFormat/>
    <w:uiPriority w:val="0"/>
    <w:pPr>
      <w:adjustRightInd w:val="0"/>
      <w:spacing w:line="360" w:lineRule="auto"/>
    </w:pPr>
    <w:rPr>
      <w:rFonts w:eastAsia="宋体"/>
      <w:kern w:val="0"/>
      <w:sz w:val="21"/>
    </w:rPr>
  </w:style>
  <w:style w:type="paragraph" w:customStyle="1" w:styleId="28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正文文本 字符"/>
    <w:basedOn w:val="13"/>
    <w:link w:val="5"/>
    <w:qFormat/>
    <w:uiPriority w:val="0"/>
    <w:rPr>
      <w:rFonts w:eastAsia="仿宋_GB2312"/>
      <w:kern w:val="2"/>
      <w:sz w:val="32"/>
    </w:rPr>
  </w:style>
  <w:style w:type="paragraph" w:styleId="30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eastAsia="楷体" w:cs="楷体" w:hAnsiTheme="minorHAnsi"/>
      <w:color w:val="000000"/>
      <w:sz w:val="24"/>
      <w:szCs w:val="24"/>
      <w:lang w:val="en-US" w:eastAsia="zh-CN" w:bidi="ar-SA"/>
    </w:rPr>
  </w:style>
  <w:style w:type="character" w:customStyle="1" w:styleId="32">
    <w:name w:val="标题 1 字符"/>
    <w:basedOn w:val="13"/>
    <w:link w:val="2"/>
    <w:qFormat/>
    <w:uiPriority w:val="9"/>
    <w:rPr>
      <w:rFonts w:ascii="黑体" w:hAnsi="黑体" w:eastAsia="黑体" w:cstheme="minorBidi"/>
      <w:b/>
      <w:bCs/>
      <w:color w:val="000000" w:themeColor="text1"/>
      <w:kern w:val="44"/>
      <w:sz w:val="32"/>
      <w:szCs w:val="32"/>
      <w14:textFill>
        <w14:solidFill>
          <w14:schemeClr w14:val="tx1"/>
        </w14:solidFill>
      </w14:textFill>
    </w:rPr>
  </w:style>
  <w:style w:type="character" w:customStyle="1" w:styleId="33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32"/>
    </w:rPr>
  </w:style>
  <w:style w:type="character" w:customStyle="1" w:styleId="34">
    <w:name w:val="标题 3 字符"/>
    <w:basedOn w:val="13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35">
    <w:name w:val="脚注文本 字符"/>
    <w:basedOn w:val="13"/>
    <w:link w:val="11"/>
    <w:semiHidden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Lenovo (Beijing) Limited</Company>
  <Pages>2</Pages>
  <Words>131</Words>
  <Characters>753</Characters>
  <Lines>6</Lines>
  <Paragraphs>1</Paragraphs>
  <TotalTime>0</TotalTime>
  <ScaleCrop>false</ScaleCrop>
  <LinksUpToDate>false</LinksUpToDate>
  <CharactersWithSpaces>883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2022-07-18T17:59:00Z</dcterms:created>
  <dc:creator>Lenovo User</dc:creator>
  <cp:lastModifiedBy>檀昕</cp:lastModifiedBy>
  <cp:lastPrinted>2020-01-04T06:34:00Z</cp:lastPrinted>
  <dcterms:modified xsi:type="dcterms:W3CDTF">2022-10-13T09:13:12Z</dcterms:modified>
  <dc:title>通金融[2010]4号                       签发人：乔立群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