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仿宋" w:eastAsia="方正小标宋简体" w:cs="Calibri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仿宋" w:eastAsia="方正小标宋简体" w:cs="Calibri"/>
          <w:sz w:val="44"/>
          <w:szCs w:val="44"/>
        </w:rPr>
      </w:pPr>
      <w:r>
        <mc:AlternateContent>
          <mc:Choice Requires="wps">
            <w:drawing>
              <wp:inline distT="0" distB="0" distL="0" distR="0">
                <wp:extent cx="5238750" cy="790575"/>
                <wp:effectExtent l="0" t="0" r="0" b="0"/>
                <wp:docPr id="2" name="Word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38750" cy="790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kern w:val="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北京市通州区金融服务办公室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26" o:spt="202" type="#_x0000_t202" style="height:62.25pt;width:412.5pt;" filled="f" stroked="f" coordsize="21600,21600" o:gfxdata="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Z7M+l1AAAAAUBAAAPAAAAAAAAAAEAIAAAACIAAABkcnMvZG93bnJldi54bWxQSwECFAAU&#10;AAAACACHTuJA2ExF5/UBAADZAwAADgAAAAAAAAABACAAAAAjAQAAZHJzL2Uyb0RvYy54bWxQSwUG&#10;AAAAAAYABgBZAQAAigUAAAAA&#10;" adj="10800">
                <v:fill on="f" focussize="0,0"/>
                <v:stroke on="f"/>
                <v:imagedata o:title=""/>
                <o:lock v:ext="edit" text="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kern w:val="0"/>
                          <w:sz w:val="52"/>
                          <w:szCs w:val="52"/>
                        </w:rPr>
                      </w:pPr>
                      <w:r>
                        <w:rPr>
                          <w:rFonts w:hint="eastAsia"/>
                          <w:color w:val="FF0000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北京市通州区金融服务办公室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仿宋" w:eastAsia="方正小标宋简体" w:cs="Calibri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67945</wp:posOffset>
                </wp:positionV>
                <wp:extent cx="5486400" cy="0"/>
                <wp:effectExtent l="0" t="23495" r="0" b="3365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476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flip:x;margin-left:-8.45pt;margin-top:5.35pt;height:0pt;width:432pt;z-index:251660288;mso-width-relative:page;mso-height-relative:page;" filled="f" stroked="t" coordsize="21600,21600" o:gfxdata="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EFBB3NcAAAAJAQAADwAAAAAAAAABACAAAAAiAAAAZHJzL2Rvd25yZXYueG1sUEsBAhQAFAAA&#10;AAgAh07iQB2JjGu3AQAAXAMAAA4AAAAAAAAAAQAgAAAAJgEAAGRycy9lMm9Eb2MueG1sUEsFBgAA&#10;AAAGAAYAWQEAAE8FAAAAAA==&#10;">
                <v:fill on="f" focussize="0,0"/>
                <v:stroke weight="3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仿宋" w:eastAsia="方正小标宋简体" w:cs="Calibri"/>
          <w:sz w:val="44"/>
          <w:szCs w:val="44"/>
        </w:rPr>
      </w:pPr>
      <w:r>
        <w:rPr>
          <w:rFonts w:hint="eastAsia" w:ascii="方正小标宋简体" w:hAnsi="仿宋" w:eastAsia="方正小标宋简体" w:cs="Calibri"/>
          <w:sz w:val="44"/>
          <w:szCs w:val="44"/>
        </w:rPr>
        <w:t>关于《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北京城市副中心促进金融业发展措施</w:t>
      </w:r>
      <w:r>
        <w:rPr>
          <w:rFonts w:hint="eastAsia" w:ascii="方正小标宋简体" w:hAnsi="仿宋" w:eastAsia="方正小标宋简体" w:cs="Calibri"/>
          <w:sz w:val="44"/>
          <w:szCs w:val="44"/>
        </w:rPr>
        <w:t>》的</w:t>
      </w:r>
      <w:r>
        <w:rPr>
          <w:rFonts w:hint="eastAsia" w:ascii="方正小标宋简体" w:hAnsi="仿宋" w:eastAsia="方正小标宋简体" w:cs="Calibri"/>
          <w:sz w:val="44"/>
          <w:szCs w:val="44"/>
          <w:lang w:eastAsia="zh-CN"/>
        </w:rPr>
        <w:t>起草</w:t>
      </w:r>
      <w:r>
        <w:rPr>
          <w:rFonts w:hint="eastAsia" w:ascii="方正小标宋简体" w:hAnsi="仿宋" w:eastAsia="方正小标宋简体" w:cs="Calibri"/>
          <w:sz w:val="44"/>
          <w:szCs w:val="44"/>
        </w:rPr>
        <w:t>说明</w:t>
      </w:r>
    </w:p>
    <w:p>
      <w:pPr>
        <w:pStyle w:val="5"/>
        <w:spacing w:line="600" w:lineRule="exact"/>
        <w:ind w:left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一、修订必要性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/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2021年5月，我区出台《北京城市副中心促进金融业发展措施》（通政办发〔2021〕7号）。</w:t>
      </w:r>
      <w:r>
        <w:rPr>
          <w:rFonts w:hint="eastAsia"/>
          <w:color w:val="333333"/>
          <w:shd w:val="clear" w:color="auto" w:fill="FFFFFF"/>
          <w:lang w:val="en-US" w:eastAsia="zh-CN"/>
        </w:rPr>
        <w:t>依据近期北京市通州区人民政府办公室印发的</w:t>
      </w:r>
      <w:r>
        <w:rPr>
          <w:rFonts w:hint="eastAsia" w:ascii="Times New Roman" w:hAnsi="Times New Roman" w:eastAsia="仿宋_GB2312" w:cs="Times New Roman"/>
          <w:b w:val="0"/>
          <w:color w:val="333333"/>
          <w:sz w:val="32"/>
          <w:szCs w:val="22"/>
          <w:shd w:val="clear" w:color="auto" w:fill="FFFFFF"/>
        </w:rPr>
        <w:t>《通州区人民政府公平竞争审查工作细则》</w:t>
      </w:r>
      <w:r>
        <w:rPr>
          <w:rFonts w:hint="eastAsia" w:ascii="Times New Roman" w:hAnsi="Times New Roman" w:eastAsia="仿宋_GB2312" w:cs="Times New Roman"/>
          <w:b w:val="0"/>
          <w:color w:val="333333"/>
          <w:sz w:val="32"/>
          <w:szCs w:val="2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333333"/>
          <w:sz w:val="32"/>
          <w:szCs w:val="22"/>
          <w:shd w:val="clear" w:color="auto" w:fill="FFFFFF"/>
        </w:rPr>
        <w:t>通政办字</w:t>
      </w:r>
      <w:r>
        <w:rPr>
          <w:rFonts w:hint="eastAsia"/>
          <w:color w:val="333333"/>
          <w:shd w:val="clear" w:color="auto" w:fill="FFFFFF"/>
        </w:rPr>
        <w:t>〔</w:t>
      </w:r>
      <w:r>
        <w:rPr>
          <w:rFonts w:hint="eastAsia" w:ascii="Times New Roman" w:hAnsi="Times New Roman" w:eastAsia="仿宋_GB2312" w:cs="Times New Roman"/>
          <w:b w:val="0"/>
          <w:color w:val="333333"/>
          <w:sz w:val="32"/>
          <w:szCs w:val="22"/>
          <w:shd w:val="clear" w:color="auto" w:fill="FFFFFF"/>
        </w:rPr>
        <w:t>2022</w:t>
      </w:r>
      <w:r>
        <w:rPr>
          <w:rFonts w:hint="eastAsia"/>
          <w:color w:val="333333"/>
          <w:shd w:val="clear" w:color="auto" w:fill="FFFFFF"/>
        </w:rPr>
        <w:t>〕</w:t>
      </w:r>
      <w:r>
        <w:rPr>
          <w:rFonts w:hint="eastAsia" w:ascii="Times New Roman" w:hAnsi="Times New Roman" w:eastAsia="仿宋_GB2312" w:cs="Times New Roman"/>
          <w:b w:val="0"/>
          <w:color w:val="333333"/>
          <w:sz w:val="32"/>
          <w:szCs w:val="22"/>
          <w:shd w:val="clear" w:color="auto" w:fill="FFFFFF"/>
        </w:rPr>
        <w:t>6号</w:t>
      </w:r>
      <w:r>
        <w:rPr>
          <w:rFonts w:hint="eastAsia" w:cs="Times New Roman"/>
          <w:b w:val="0"/>
          <w:color w:val="333333"/>
          <w:sz w:val="32"/>
          <w:szCs w:val="22"/>
          <w:shd w:val="clear" w:color="auto" w:fill="FFFFFF"/>
          <w:lang w:eastAsia="zh-CN"/>
        </w:rPr>
        <w:t>），</w:t>
      </w:r>
      <w:r>
        <w:rPr>
          <w:rFonts w:hint="eastAsia" w:ascii="Times New Roman" w:hAnsi="Times New Roman" w:eastAsia="仿宋_GB2312" w:cs="Times New Roman"/>
          <w:b w:val="0"/>
          <w:color w:val="333333"/>
          <w:sz w:val="32"/>
          <w:szCs w:val="22"/>
          <w:shd w:val="clear" w:color="auto" w:fill="FFFFFF"/>
          <w:lang w:val="en-US" w:eastAsia="zh-CN"/>
        </w:rPr>
        <w:t>第三条（一）明确要求“不得违法给予特定经营者优惠政策，包括但不限于：1.没有法律、行政法规或者国务院规定依据，给予特定经营者财政奖励和补贴。”</w:t>
      </w:r>
      <w:r>
        <w:rPr>
          <w:rFonts w:hint="eastAsia"/>
          <w:color w:val="333333"/>
          <w:shd w:val="clear" w:color="auto" w:fill="FFFFFF"/>
        </w:rPr>
        <w:t>为增强政策的导向性和准确性，决定对现行政策进行修订。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仿宋_GB2312"/>
          <w:szCs w:val="32"/>
          <w:lang w:val="en-US" w:eastAsia="zh-CN"/>
        </w:rPr>
      </w:pPr>
      <w:r>
        <w:rPr>
          <w:rFonts w:hint="eastAsia" w:ascii="黑体" w:hAnsi="黑体" w:eastAsia="黑体" w:cs="仿宋_GB2312"/>
          <w:szCs w:val="32"/>
        </w:rPr>
        <w:t>二、修订</w:t>
      </w:r>
      <w:r>
        <w:rPr>
          <w:rFonts w:hint="eastAsia" w:ascii="黑体" w:hAnsi="黑体" w:eastAsia="黑体" w:cs="仿宋_GB2312"/>
          <w:szCs w:val="32"/>
          <w:lang w:val="en-US" w:eastAsia="zh-CN"/>
        </w:rPr>
        <w:t>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eastAsia="仿宋_GB2312"/>
          <w:color w:val="333333"/>
          <w:shd w:val="clear" w:color="auto" w:fill="FFFFFF"/>
          <w:lang w:eastAsia="zh-CN"/>
        </w:rPr>
      </w:pPr>
      <w:r>
        <w:rPr>
          <w:rFonts w:hint="eastAsia"/>
          <w:color w:val="333333"/>
          <w:shd w:val="clear" w:color="auto" w:fill="FFFFFF"/>
        </w:rPr>
        <w:t>《通州区人民政府公平竞争审查工作细则》（通政办字〔2022〕6号）</w:t>
      </w:r>
      <w:r>
        <w:rPr>
          <w:rFonts w:hint="eastAsia"/>
          <w:color w:val="333333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  <w:lang w:val="en-US" w:eastAsia="zh-CN"/>
        </w:rPr>
        <w:t>三</w:t>
      </w:r>
      <w:r>
        <w:rPr>
          <w:rFonts w:hint="eastAsia" w:ascii="黑体" w:hAnsi="黑体" w:eastAsia="黑体" w:cs="仿宋_GB2312"/>
          <w:szCs w:val="32"/>
        </w:rPr>
        <w:t>、修订</w:t>
      </w:r>
      <w:r>
        <w:rPr>
          <w:rFonts w:hint="eastAsia" w:ascii="黑体" w:hAnsi="黑体" w:eastAsia="黑体" w:cs="仿宋_GB2312"/>
          <w:szCs w:val="32"/>
          <w:lang w:val="en-US" w:eastAsia="zh-CN"/>
        </w:rPr>
        <w:t>主要</w:t>
      </w:r>
      <w:r>
        <w:rPr>
          <w:rFonts w:hint="eastAsia" w:ascii="黑体" w:hAnsi="黑体" w:eastAsia="黑体" w:cs="仿宋_GB2312"/>
          <w:szCs w:val="32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1"/>
        <w:rPr>
          <w:rFonts w:hint="default" w:ascii="仿宋_GB2312" w:hAnsi="方正小标宋简体" w:eastAsia="仿宋_GB2312" w:cs="方正小标宋简体"/>
          <w:b w:val="0"/>
          <w:bCs/>
          <w:color w:val="000000"/>
          <w:szCs w:val="32"/>
          <w:lang w:val="en-US" w:eastAsia="zh-CN"/>
        </w:rPr>
      </w:pPr>
      <w:r>
        <w:rPr>
          <w:rFonts w:hint="eastAsia" w:ascii="仿宋_GB2312" w:hAnsi="方正小标宋简体" w:cs="方正小标宋简体"/>
          <w:b w:val="0"/>
          <w:bCs/>
          <w:color w:val="000000"/>
          <w:szCs w:val="32"/>
          <w:lang w:val="en-US" w:eastAsia="zh-CN"/>
        </w:rPr>
        <w:t>一、针对原文部分表述进行调整优化。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1"/>
        <w:rPr>
          <w:rFonts w:hint="default" w:ascii="仿宋_GB2312" w:hAnsi="方正小标宋简体" w:cs="方正小标宋简体"/>
          <w:b w:val="0"/>
          <w:bCs/>
          <w:color w:val="000000"/>
          <w:szCs w:val="32"/>
          <w:lang w:val="en-US" w:eastAsia="zh-CN"/>
        </w:rPr>
      </w:pPr>
      <w:r>
        <w:rPr>
          <w:rFonts w:hint="eastAsia" w:ascii="仿宋_GB2312" w:hAnsi="方正小标宋简体" w:cs="方正小标宋简体"/>
          <w:b w:val="0"/>
          <w:bCs/>
          <w:color w:val="000000"/>
          <w:szCs w:val="32"/>
          <w:lang w:val="en-US" w:eastAsia="zh-CN"/>
        </w:rPr>
        <w:t>二、将第六条修改为“</w:t>
      </w:r>
      <w:r>
        <w:rPr>
          <w:rFonts w:hint="eastAsia" w:ascii="仿宋_GB2312" w:hAnsi="仿宋_GB2312" w:cs="仿宋_GB2312"/>
          <w:b w:val="0"/>
          <w:bCs/>
          <w:szCs w:val="32"/>
        </w:rPr>
        <w:t>【</w:t>
      </w:r>
      <w:r>
        <w:rPr>
          <w:rFonts w:hint="eastAsia" w:ascii="仿宋_GB2312" w:hAnsi="Cambria"/>
          <w:b w:val="0"/>
          <w:bCs/>
          <w:color w:val="000000"/>
          <w:szCs w:val="32"/>
        </w:rPr>
        <w:t>金融企业综合贡献支持</w:t>
      </w:r>
      <w:r>
        <w:rPr>
          <w:rFonts w:hint="eastAsia" w:ascii="仿宋_GB2312" w:hAnsi="仿宋_GB2312" w:cs="仿宋_GB2312"/>
          <w:b w:val="0"/>
          <w:bCs/>
          <w:szCs w:val="32"/>
        </w:rPr>
        <w:t>】</w:t>
      </w:r>
      <w:r>
        <w:rPr>
          <w:rFonts w:hint="eastAsia" w:ascii="仿宋_GB2312" w:hAnsi="Cambria"/>
          <w:b w:val="0"/>
          <w:bCs/>
          <w:color w:val="000000"/>
          <w:szCs w:val="32"/>
        </w:rPr>
        <w:t>视</w:t>
      </w:r>
      <w:r>
        <w:rPr>
          <w:rFonts w:hint="default" w:ascii="仿宋_GB2312" w:hAnsi="Cambria"/>
          <w:b w:val="0"/>
          <w:bCs/>
          <w:color w:val="000000"/>
          <w:szCs w:val="32"/>
        </w:rPr>
        <w:t>具体</w:t>
      </w:r>
      <w:r>
        <w:rPr>
          <w:rFonts w:hint="eastAsia" w:ascii="仿宋_GB2312" w:hAnsi="Cambria"/>
          <w:b w:val="0"/>
          <w:bCs/>
          <w:color w:val="000000"/>
          <w:szCs w:val="32"/>
        </w:rPr>
        <w:t>情况</w:t>
      </w:r>
      <w:r>
        <w:rPr>
          <w:rFonts w:hint="default" w:ascii="仿宋_GB2312" w:hAnsi="Cambria"/>
          <w:b w:val="0"/>
          <w:bCs/>
          <w:color w:val="000000"/>
          <w:szCs w:val="32"/>
        </w:rPr>
        <w:t>给</w:t>
      </w:r>
      <w:r>
        <w:rPr>
          <w:rFonts w:hint="eastAsia" w:ascii="仿宋_GB2312" w:hAnsi="Cambria"/>
          <w:b w:val="0"/>
          <w:bCs/>
          <w:color w:val="000000"/>
          <w:szCs w:val="32"/>
        </w:rPr>
        <w:t>予</w:t>
      </w:r>
      <w:r>
        <w:rPr>
          <w:rFonts w:hint="default" w:ascii="仿宋_GB2312" w:hAnsi="Cambria"/>
          <w:b w:val="0"/>
          <w:bCs/>
          <w:color w:val="000000"/>
          <w:szCs w:val="32"/>
        </w:rPr>
        <w:t>资金</w:t>
      </w:r>
      <w:r>
        <w:rPr>
          <w:rFonts w:hint="eastAsia" w:ascii="仿宋_GB2312" w:hAnsi="Cambria"/>
          <w:b w:val="0"/>
          <w:bCs/>
          <w:color w:val="000000"/>
          <w:szCs w:val="32"/>
          <w:lang w:eastAsia="zh-CN"/>
        </w:rPr>
        <w:t>支持</w:t>
      </w:r>
      <w:r>
        <w:rPr>
          <w:rFonts w:hint="eastAsia" w:ascii="仿宋_GB2312" w:hAnsi="Cambria"/>
          <w:b w:val="0"/>
          <w:bCs/>
          <w:color w:val="000000"/>
          <w:szCs w:val="32"/>
        </w:rPr>
        <w:t>。</w:t>
      </w:r>
      <w:r>
        <w:rPr>
          <w:rFonts w:hint="eastAsia" w:ascii="仿宋_GB2312" w:hAnsi="方正小标宋简体" w:cs="方正小标宋简体"/>
          <w:b w:val="0"/>
          <w:bCs/>
          <w:color w:val="000000"/>
          <w:szCs w:val="32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宋体"/>
          <w:color w:val="000000"/>
          <w:szCs w:val="32"/>
        </w:rPr>
      </w:pPr>
      <w:r>
        <w:rPr>
          <w:rFonts w:hint="eastAsia" w:ascii="仿宋_GB2312" w:hAnsi="宋体"/>
          <w:color w:val="000000"/>
          <w:szCs w:val="32"/>
        </w:rPr>
        <w:t xml:space="preserve">                        北京市通州区金融服务办公室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宋体" w:cs="Times New Roman"/>
          <w:color w:val="000000"/>
        </w:rPr>
      </w:pPr>
      <w:r>
        <w:rPr>
          <w:rFonts w:hint="eastAsia" w:ascii="仿宋_GB2312" w:hAnsi="宋体" w:cs="Times New Roman"/>
          <w:color w:val="000000"/>
        </w:rPr>
        <w:t xml:space="preserve">                        </w:t>
      </w:r>
      <w:r>
        <w:rPr>
          <w:rFonts w:hint="eastAsia" w:ascii="仿宋_GB2312" w:hAnsi="宋体" w:eastAsia="仿宋_GB2312" w:cs="Times New Roman"/>
          <w:color w:val="000000"/>
        </w:rPr>
        <w:t xml:space="preserve">   2022年</w:t>
      </w:r>
      <w:r>
        <w:rPr>
          <w:rFonts w:hint="eastAsia" w:ascii="仿宋_GB2312" w:hAnsi="宋体" w:eastAsia="仿宋_GB2312" w:cs="Times New Roman"/>
          <w:color w:val="000000"/>
          <w:lang w:val="en-US" w:eastAsia="zh-CN"/>
        </w:rPr>
        <w:t>10</w:t>
      </w:r>
      <w:r>
        <w:rPr>
          <w:rFonts w:hint="eastAsia" w:ascii="仿宋_GB2312" w:hAnsi="宋体" w:eastAsia="仿宋_GB2312" w:cs="Times New Roman"/>
          <w:color w:val="000000"/>
        </w:rPr>
        <w:t>月</w:t>
      </w:r>
      <w:r>
        <w:rPr>
          <w:rFonts w:hint="eastAsia" w:ascii="仿宋_GB2312" w:hAnsi="宋体" w:eastAsia="仿宋_GB2312" w:cs="Times New Roman"/>
          <w:color w:val="000000"/>
          <w:lang w:val="en-US" w:eastAsia="zh-CN"/>
        </w:rPr>
        <w:t>14</w:t>
      </w:r>
      <w:bookmarkStart w:id="0" w:name="_GoBack"/>
      <w:bookmarkEnd w:id="0"/>
      <w:r>
        <w:rPr>
          <w:rFonts w:hint="eastAsia" w:ascii="仿宋_GB2312" w:hAnsi="宋体" w:eastAsia="仿宋_GB2312" w:cs="Times New Roman"/>
          <w:color w:val="00000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wNDM5OGRkOGU3YzczYzAxNzg4ODI3NWMzYjY1NzEifQ=="/>
  </w:docVars>
  <w:rsids>
    <w:rsidRoot w:val="04652853"/>
    <w:rsid w:val="00065D12"/>
    <w:rsid w:val="000E1AD3"/>
    <w:rsid w:val="0010257F"/>
    <w:rsid w:val="00141EC2"/>
    <w:rsid w:val="00153FFA"/>
    <w:rsid w:val="001F0013"/>
    <w:rsid w:val="00206C63"/>
    <w:rsid w:val="002F4506"/>
    <w:rsid w:val="00322BF6"/>
    <w:rsid w:val="003F28AF"/>
    <w:rsid w:val="004A2926"/>
    <w:rsid w:val="005B2769"/>
    <w:rsid w:val="00671000"/>
    <w:rsid w:val="00752841"/>
    <w:rsid w:val="00811CA9"/>
    <w:rsid w:val="009B7C06"/>
    <w:rsid w:val="00A255E3"/>
    <w:rsid w:val="00B06AE2"/>
    <w:rsid w:val="00C474B7"/>
    <w:rsid w:val="00C6595A"/>
    <w:rsid w:val="00CE65F8"/>
    <w:rsid w:val="00DD758B"/>
    <w:rsid w:val="00DE2F99"/>
    <w:rsid w:val="00E74015"/>
    <w:rsid w:val="00EC595C"/>
    <w:rsid w:val="02577065"/>
    <w:rsid w:val="027E6CBB"/>
    <w:rsid w:val="034B0FA8"/>
    <w:rsid w:val="04652853"/>
    <w:rsid w:val="04BA76BE"/>
    <w:rsid w:val="05127654"/>
    <w:rsid w:val="05A241BF"/>
    <w:rsid w:val="065D710A"/>
    <w:rsid w:val="088A7E88"/>
    <w:rsid w:val="0C3018B1"/>
    <w:rsid w:val="0C543212"/>
    <w:rsid w:val="0FCA42ED"/>
    <w:rsid w:val="111A32B9"/>
    <w:rsid w:val="114710E3"/>
    <w:rsid w:val="13353F3D"/>
    <w:rsid w:val="17AB334F"/>
    <w:rsid w:val="1A553AB7"/>
    <w:rsid w:val="1AFD518A"/>
    <w:rsid w:val="1BE74134"/>
    <w:rsid w:val="1D414DD3"/>
    <w:rsid w:val="1EF236E7"/>
    <w:rsid w:val="1F286DBE"/>
    <w:rsid w:val="238C4854"/>
    <w:rsid w:val="27883645"/>
    <w:rsid w:val="284657F9"/>
    <w:rsid w:val="29D5610E"/>
    <w:rsid w:val="2B536BAA"/>
    <w:rsid w:val="2C8114F5"/>
    <w:rsid w:val="2D892C45"/>
    <w:rsid w:val="2D9074FA"/>
    <w:rsid w:val="2EDB6FB6"/>
    <w:rsid w:val="30F5599D"/>
    <w:rsid w:val="31265D36"/>
    <w:rsid w:val="324F5BF1"/>
    <w:rsid w:val="32952774"/>
    <w:rsid w:val="32E33B56"/>
    <w:rsid w:val="333F17C2"/>
    <w:rsid w:val="33AB4F3C"/>
    <w:rsid w:val="34310D94"/>
    <w:rsid w:val="34950F29"/>
    <w:rsid w:val="35DB559B"/>
    <w:rsid w:val="38ED5C39"/>
    <w:rsid w:val="3C6978B0"/>
    <w:rsid w:val="3C9F251E"/>
    <w:rsid w:val="46B71AEA"/>
    <w:rsid w:val="4719348A"/>
    <w:rsid w:val="475A6773"/>
    <w:rsid w:val="48E73ABC"/>
    <w:rsid w:val="52685034"/>
    <w:rsid w:val="539029BF"/>
    <w:rsid w:val="53B54467"/>
    <w:rsid w:val="5583158B"/>
    <w:rsid w:val="5654240B"/>
    <w:rsid w:val="56707D61"/>
    <w:rsid w:val="58B57CAD"/>
    <w:rsid w:val="5943175D"/>
    <w:rsid w:val="5C4C28DC"/>
    <w:rsid w:val="5E4775F9"/>
    <w:rsid w:val="5EDB7F18"/>
    <w:rsid w:val="60730CCF"/>
    <w:rsid w:val="66C739CD"/>
    <w:rsid w:val="68E9718C"/>
    <w:rsid w:val="69FF6448"/>
    <w:rsid w:val="738745C6"/>
    <w:rsid w:val="76B83799"/>
    <w:rsid w:val="7B7908F3"/>
    <w:rsid w:val="7C050A64"/>
    <w:rsid w:val="7C772819"/>
    <w:rsid w:val="7E0D7C36"/>
    <w:rsid w:val="7E9F7B4F"/>
    <w:rsid w:val="7EA63CD5"/>
    <w:rsid w:val="7EB663A9"/>
    <w:rsid w:val="BDFBB0C5"/>
    <w:rsid w:val="EF378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bCs/>
      <w:kern w:val="0"/>
      <w:sz w:val="36"/>
      <w:szCs w:val="36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spacing w:line="520" w:lineRule="exact"/>
      <w:ind w:firstLine="640" w:firstLineChars="200"/>
    </w:pPr>
    <w:rPr>
      <w:rFonts w:ascii="黑体" w:hAnsi="黑体" w:eastAsia="黑体" w:cs="仿宋_GB2312"/>
      <w:szCs w:val="32"/>
    </w:rPr>
  </w:style>
  <w:style w:type="paragraph" w:styleId="5">
    <w:name w:val="toc 3"/>
    <w:basedOn w:val="1"/>
    <w:next w:val="1"/>
    <w:qFormat/>
    <w:uiPriority w:val="0"/>
    <w:pPr>
      <w:ind w:left="420"/>
    </w:pPr>
    <w:rPr>
      <w:rFonts w:ascii="等线" w:hAnsi="等线" w:eastAsia="等线" w:cs="黑体"/>
      <w:b/>
      <w:sz w:val="30"/>
      <w:szCs w:val="30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15"/>
    <w:basedOn w:val="9"/>
    <w:qFormat/>
    <w:uiPriority w:val="0"/>
    <w:rPr>
      <w:rFonts w:hint="default" w:ascii="Calibri" w:hAnsi="Calibri" w:cs="Calibri"/>
      <w:vertAlign w:val="superscript"/>
    </w:rPr>
  </w:style>
  <w:style w:type="character" w:customStyle="1" w:styleId="11">
    <w:name w:val="10"/>
    <w:basedOn w:val="9"/>
    <w:qFormat/>
    <w:uiPriority w:val="0"/>
    <w:rPr>
      <w:rFonts w:hint="default" w:ascii="Calibri" w:hAnsi="Calibri" w:cs="Calibri"/>
    </w:rPr>
  </w:style>
  <w:style w:type="character" w:customStyle="1" w:styleId="12">
    <w:name w:val="页眉 字符"/>
    <w:basedOn w:val="9"/>
    <w:link w:val="7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页脚 字符"/>
    <w:basedOn w:val="9"/>
    <w:link w:val="6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Lenovo</Company>
  <Pages>1</Pages>
  <Words>333</Words>
  <Characters>350</Characters>
  <Lines>1</Lines>
  <Paragraphs>1</Paragraphs>
  <TotalTime>1</TotalTime>
  <ScaleCrop>false</ScaleCrop>
  <LinksUpToDate>false</LinksUpToDate>
  <CharactersWithSpaces>401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2022-07-22T09:39:00Z</dcterms:created>
  <dc:creator>刘世宇</dc:creator>
  <cp:lastModifiedBy>Lenovo</cp:lastModifiedBy>
  <dcterms:modified xsi:type="dcterms:W3CDTF">2022-10-14T01:38:19Z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1990400776F94E4B8565C44E7466A1CB</vt:lpwstr>
  </property>
</Properties>
</file>