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bookmarkStart w:id="0" w:name="OLE_LINK1"/>
      <w:bookmarkStart w:id="1" w:name="OLE_LINK2"/>
      <w:r>
        <w:rPr>
          <w:rFonts w:hint="eastAsia" w:ascii="黑体" w:hAnsi="黑体" w:eastAsia="黑体" w:cs="黑体"/>
          <w:bCs/>
          <w:spacing w:val="0"/>
          <w:kern w:val="2"/>
          <w:sz w:val="32"/>
          <w:szCs w:val="32"/>
          <w:lang w:eastAsia="zh-CN"/>
        </w:rPr>
        <w:t>附件</w:t>
      </w:r>
      <w:r>
        <w:rPr>
          <w:rFonts w:hint="eastAsia" w:ascii="黑体" w:hAnsi="黑体" w:eastAsia="黑体" w:cs="黑体"/>
          <w:bCs/>
          <w:spacing w:val="0"/>
          <w:kern w:val="2"/>
          <w:sz w:val="32"/>
          <w:szCs w:val="32"/>
          <w:lang w:val="en-US" w:eastAsia="zh-CN"/>
        </w:rPr>
        <w:t>1</w:t>
      </w:r>
      <w:r>
        <w:rPr>
          <w:rFonts w:hint="eastAsia" w:ascii="黑体" w:hAnsi="黑体" w:eastAsia="黑体" w:cs="黑体"/>
          <w:bCs/>
          <w:spacing w:val="0"/>
          <w:kern w:val="2"/>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740" w:lineRule="exact"/>
        <w:jc w:val="center"/>
        <w:textAlignment w:val="auto"/>
        <w:rPr>
          <w:rFonts w:hint="eastAsia" w:ascii="方正小标宋简体" w:eastAsia="方正小标宋简体"/>
          <w:color w:val="auto"/>
          <w:spacing w:val="0"/>
          <w:kern w:val="2"/>
          <w:sz w:val="44"/>
          <w:szCs w:val="44"/>
          <w:highlight w:val="none"/>
        </w:rPr>
      </w:pPr>
      <w:r>
        <w:rPr>
          <w:rFonts w:hint="eastAsia" w:ascii="方正小标宋简体" w:eastAsia="方正小标宋简体"/>
          <w:color w:val="auto"/>
          <w:spacing w:val="0"/>
          <w:kern w:val="2"/>
          <w:sz w:val="44"/>
          <w:szCs w:val="44"/>
          <w:highlight w:val="none"/>
          <w:lang w:val="en-US" w:eastAsia="zh-CN"/>
        </w:rPr>
        <w:t>北京市通州区</w:t>
      </w:r>
      <w:r>
        <w:rPr>
          <w:rFonts w:hint="eastAsia" w:ascii="方正小标宋简体" w:eastAsia="方正小标宋简体"/>
          <w:color w:val="auto"/>
          <w:spacing w:val="0"/>
          <w:kern w:val="2"/>
          <w:sz w:val="44"/>
          <w:szCs w:val="44"/>
          <w:highlight w:val="none"/>
        </w:rPr>
        <w:t>生态环境违法行为举报奖励规定</w:t>
      </w:r>
    </w:p>
    <w:p>
      <w:pPr>
        <w:pStyle w:val="2"/>
        <w:rPr>
          <w:rFonts w:hint="eastAsia" w:ascii="楷体_GB2312" w:hAnsi="楷体_GB2312" w:eastAsia="楷体_GB2312" w:cs="楷体_GB2312"/>
          <w:sz w:val="32"/>
          <w:szCs w:val="32"/>
          <w:lang w:eastAsia="zh-CN"/>
        </w:rPr>
      </w:pPr>
      <w:r>
        <w:rPr>
          <w:rFonts w:hint="eastAsia" w:ascii="楷体_GB2312" w:hAnsi="楷体_GB2312" w:eastAsia="楷体_GB2312" w:cs="楷体_GB2312"/>
          <w:color w:val="auto"/>
          <w:spacing w:val="0"/>
          <w:kern w:val="2"/>
          <w:sz w:val="32"/>
          <w:szCs w:val="32"/>
          <w:highlight w:val="none"/>
          <w:lang w:eastAsia="zh-CN"/>
        </w:rPr>
        <w:t>（</w:t>
      </w:r>
      <w:r>
        <w:rPr>
          <w:rFonts w:hint="eastAsia" w:ascii="楷体_GB2312" w:hAnsi="楷体_GB2312" w:eastAsia="楷体_GB2312" w:cs="楷体_GB2312"/>
          <w:color w:val="auto"/>
          <w:spacing w:val="0"/>
          <w:kern w:val="2"/>
          <w:sz w:val="32"/>
          <w:szCs w:val="32"/>
          <w:highlight w:val="none"/>
          <w:lang w:val="en-US" w:eastAsia="zh-CN"/>
        </w:rPr>
        <w:t>征求意见稿</w:t>
      </w:r>
      <w:r>
        <w:rPr>
          <w:rFonts w:hint="eastAsia" w:ascii="楷体_GB2312" w:hAnsi="楷体_GB2312" w:eastAsia="楷体_GB2312" w:cs="楷体_GB2312"/>
          <w:color w:val="auto"/>
          <w:spacing w:val="0"/>
          <w:kern w:val="2"/>
          <w:sz w:val="32"/>
          <w:szCs w:val="32"/>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caps w:val="0"/>
          <w:color w:val="auto"/>
          <w:spacing w:val="0"/>
          <w:kern w:val="2"/>
          <w:sz w:val="32"/>
          <w:szCs w:val="32"/>
          <w:highlight w:val="none"/>
          <w:shd w:val="clear" w:color="auto" w:fill="FFFFFF"/>
          <w:lang w:val="en-US" w:eastAsia="zh-CN"/>
        </w:rPr>
      </w:pPr>
      <w:bookmarkStart w:id="2" w:name="_GoBack"/>
      <w:bookmarkEnd w:id="2"/>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caps w:val="0"/>
          <w:color w:val="auto"/>
          <w:spacing w:val="0"/>
          <w:kern w:val="2"/>
          <w:sz w:val="32"/>
          <w:szCs w:val="32"/>
          <w:highlight w:val="none"/>
          <w:shd w:val="clear" w:color="auto" w:fill="FFFFFF"/>
          <w:lang w:val="en-US" w:eastAsia="zh-CN"/>
        </w:rPr>
      </w:pPr>
      <w:r>
        <w:rPr>
          <w:rFonts w:hint="eastAsia" w:ascii="黑体" w:hAnsi="黑体" w:eastAsia="黑体" w:cs="黑体"/>
          <w:i w:val="0"/>
          <w:caps w:val="0"/>
          <w:color w:val="auto"/>
          <w:spacing w:val="0"/>
          <w:kern w:val="2"/>
          <w:sz w:val="32"/>
          <w:szCs w:val="32"/>
          <w:highlight w:val="none"/>
          <w:shd w:val="clear" w:color="auto" w:fill="FFFFFF"/>
          <w:lang w:val="en-US" w:eastAsia="zh-CN"/>
        </w:rPr>
        <w:t>第一章  总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第一条 为鼓励公众积极参与生态环境保护工作，加强对生态环境违法行为的社会监督，</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严厉打击</w:t>
      </w:r>
      <w:r>
        <w:rPr>
          <w:rFonts w:hint="eastAsia" w:ascii="仿宋_GB2312" w:hAnsi="仿宋_GB2312" w:eastAsia="仿宋_GB2312" w:cs="仿宋_GB2312"/>
          <w:i w:val="0"/>
          <w:caps w:val="0"/>
          <w:color w:val="auto"/>
          <w:spacing w:val="0"/>
          <w:kern w:val="2"/>
          <w:sz w:val="32"/>
          <w:szCs w:val="32"/>
          <w:highlight w:val="none"/>
          <w:shd w:val="clear" w:color="auto" w:fill="FFFFFF"/>
        </w:rPr>
        <w:t>生态环境违法行为，依据《中华人民共和国环境保护法》《中华人民共和国大气污染防治法》《中华人民共和国</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水</w:t>
      </w:r>
      <w:r>
        <w:rPr>
          <w:rFonts w:hint="eastAsia" w:ascii="仿宋_GB2312" w:hAnsi="仿宋_GB2312" w:eastAsia="仿宋_GB2312" w:cs="仿宋_GB2312"/>
          <w:i w:val="0"/>
          <w:caps w:val="0"/>
          <w:color w:val="auto"/>
          <w:spacing w:val="0"/>
          <w:kern w:val="2"/>
          <w:sz w:val="32"/>
          <w:szCs w:val="32"/>
          <w:highlight w:val="none"/>
          <w:shd w:val="clear" w:color="auto" w:fill="FFFFFF"/>
        </w:rPr>
        <w:t>污染防治法》《中华人民共和国土壤污染防治法》《中华人民共和国固体废物污染环境防治法》《放射性废物安全管理条例》《消耗臭氧层物质管理条例》《北京市大气污染防治条例》《北京市水污染防治条例》</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color w:val="auto"/>
          <w:spacing w:val="0"/>
          <w:kern w:val="2"/>
          <w:sz w:val="32"/>
          <w:szCs w:val="32"/>
          <w:highlight w:val="none"/>
          <w:shd w:val="clear" w:color="auto" w:fill="FFFFFF"/>
        </w:rPr>
        <w:t>北京市机动车和非道路移动机械排放污染防治条例</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rPr>
        <w:t>《污染源自动监控设施现场监督检查办法》等法律法规，结合</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通州区</w:t>
      </w:r>
      <w:r>
        <w:rPr>
          <w:rFonts w:hint="eastAsia" w:ascii="仿宋_GB2312" w:hAnsi="仿宋_GB2312" w:eastAsia="仿宋_GB2312" w:cs="仿宋_GB2312"/>
          <w:i w:val="0"/>
          <w:caps w:val="0"/>
          <w:color w:val="auto"/>
          <w:spacing w:val="0"/>
          <w:kern w:val="2"/>
          <w:sz w:val="32"/>
          <w:szCs w:val="32"/>
          <w:highlight w:val="none"/>
          <w:shd w:val="clear" w:color="auto" w:fill="FFFFFF"/>
        </w:rPr>
        <w:t>实际，制定本规定。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　　第二条 任何单位和个人都有保护生态环境的义务，并有权对污染和破坏生态环境的违法行为进行举报。</w:t>
      </w:r>
    </w:p>
    <w:p>
      <w:pPr>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第三条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区生态环境部门依据有关法律法规，对符合本规定的举报行为，给予举报人相应奖励，即实施有奖举报。鼓励举报人依法实名举报，鼓励被举报单位在职人员举报。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kern w:val="2"/>
          <w:sz w:val="32"/>
          <w:szCs w:val="32"/>
          <w:highlight w:val="none"/>
          <w:shd w:val="clear" w:color="auto" w:fill="FFFFFF"/>
          <w:lang w:val="en-US"/>
        </w:rPr>
      </w:pPr>
      <w:r>
        <w:rPr>
          <w:rFonts w:hint="eastAsia" w:ascii="黑体" w:hAnsi="黑体" w:eastAsia="黑体" w:cs="黑体"/>
          <w:i w:val="0"/>
          <w:caps w:val="0"/>
          <w:color w:val="auto"/>
          <w:spacing w:val="0"/>
          <w:kern w:val="2"/>
          <w:sz w:val="32"/>
          <w:szCs w:val="32"/>
          <w:highlight w:val="none"/>
          <w:shd w:val="clear" w:color="auto" w:fill="FFFFFF"/>
          <w:lang w:val="en-US" w:eastAsia="zh-CN"/>
        </w:rPr>
        <w:t>第二章  举报途径及要求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第四条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举报人可以通过以下途径进行有奖举报：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（一）</w:t>
      </w:r>
      <w:r>
        <w:rPr>
          <w:rFonts w:hint="eastAsia" w:ascii="仿宋_GB2312" w:hAnsi="Calibri" w:eastAsia="仿宋_GB2312" w:cs="Times New Roman"/>
          <w:color w:val="auto"/>
          <w:spacing w:val="0"/>
          <w:kern w:val="2"/>
          <w:sz w:val="32"/>
          <w:szCs w:val="32"/>
          <w:highlight w:val="none"/>
          <w:lang w:val="en-US" w:eastAsia="zh-CN" w:bidi="ar-SA"/>
        </w:rPr>
        <w:t>微信公众号：“北京市通州区生态环境有奖举报”；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二</w:t>
      </w: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邮寄：北京市通州区生态环境局（地址：北京市通州区运河西大街248号；邮编：101101;应在信封上标明参与“有奖举报”，未注明的，按普通举报事项处理）。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第五条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范围为通州区行政区域内依法应当由相关行政执法部门查处的，且违反大气污染防治、水污染防治、土壤污染防治、工业固体废物和危险废物管理、放射性污染防治、消耗臭氧层物质管理、污染源自动监控设施现场监督检查办法等生态环境违法行为。</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本规定所称被举报对象，是指因违反有关生态环境法律法规被举报的自然人、法人或其他组织。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w:t>
      </w:r>
      <w:r>
        <w:rPr>
          <w:rFonts w:hint="eastAsia" w:ascii="仿宋_GB2312" w:hAnsi="仿宋_GB2312" w:eastAsia="仿宋_GB2312" w:cs="仿宋_GB2312"/>
          <w:color w:val="auto"/>
          <w:spacing w:val="0"/>
          <w:kern w:val="2"/>
          <w:sz w:val="32"/>
          <w:szCs w:val="32"/>
          <w:highlight w:val="none"/>
          <w:u w:val="none"/>
          <w:shd w:val="clear" w:color="auto" w:fill="FFFFFF"/>
        </w:rPr>
        <w:t>第</w:t>
      </w:r>
      <w:r>
        <w:rPr>
          <w:rFonts w:hint="eastAsia" w:ascii="仿宋_GB2312" w:hAnsi="仿宋_GB2312" w:eastAsia="仿宋_GB2312" w:cs="仿宋_GB2312"/>
          <w:color w:val="auto"/>
          <w:spacing w:val="0"/>
          <w:kern w:val="2"/>
          <w:sz w:val="32"/>
          <w:szCs w:val="32"/>
          <w:highlight w:val="none"/>
          <w:u w:val="none"/>
          <w:shd w:val="clear" w:color="auto" w:fill="FFFFFF"/>
          <w:lang w:val="en-US" w:eastAsia="zh-CN"/>
        </w:rPr>
        <w:t>六</w:t>
      </w:r>
      <w:r>
        <w:rPr>
          <w:rFonts w:hint="eastAsia" w:ascii="仿宋_GB2312" w:hAnsi="仿宋_GB2312" w:eastAsia="仿宋_GB2312" w:cs="仿宋_GB2312"/>
          <w:color w:val="auto"/>
          <w:spacing w:val="0"/>
          <w:kern w:val="2"/>
          <w:sz w:val="32"/>
          <w:szCs w:val="32"/>
          <w:highlight w:val="none"/>
          <w:u w:val="none"/>
          <w:shd w:val="clear" w:color="auto" w:fill="FFFFFF"/>
        </w:rPr>
        <w:t>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为便于及时准确调查处理，举报人应按照以下规定提供举报信息：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pacing w:val="0"/>
          <w:kern w:val="2"/>
          <w:sz w:val="32"/>
          <w:szCs w:val="32"/>
          <w:highlight w:val="none"/>
          <w:shd w:val="clear" w:color="auto" w:fill="FFFFFF"/>
        </w:rPr>
      </w:pPr>
      <w:r>
        <w:rPr>
          <w:rFonts w:hint="eastAsia" w:ascii="仿宋_GB2312" w:hAnsi="仿宋_GB2312" w:eastAsia="仿宋_GB2312" w:cs="仿宋_GB2312"/>
          <w:color w:val="auto"/>
          <w:spacing w:val="0"/>
          <w:kern w:val="2"/>
          <w:sz w:val="32"/>
          <w:szCs w:val="32"/>
          <w:highlight w:val="none"/>
          <w:shd w:val="clear" w:color="auto" w:fill="FFFFFF"/>
        </w:rPr>
        <w:t>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被举报对象名称、违法行为发生地、基本违法事实证据材料，如排污情况的照片、录像等。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color w:val="auto"/>
          <w:spacing w:val="0"/>
          <w:kern w:val="2"/>
          <w:sz w:val="32"/>
          <w:szCs w:val="32"/>
          <w:highlight w:val="none"/>
          <w:shd w:val="clear" w:color="auto" w:fill="FFFFFF"/>
        </w:rPr>
        <w:t>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如无法提供证据材料，应当采取协助调查部门前往现场调查或者对违法行为的发生地和有关场地、设备等进行指认等方式，协助调查处理。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caps w:val="0"/>
          <w:color w:val="auto"/>
          <w:spacing w:val="0"/>
          <w:kern w:val="2"/>
          <w:sz w:val="32"/>
          <w:szCs w:val="32"/>
          <w:highlight w:val="none"/>
        </w:rPr>
      </w:pPr>
      <w:r>
        <w:rPr>
          <w:rFonts w:hint="eastAsia" w:ascii="黑体" w:hAnsi="黑体" w:eastAsia="黑体" w:cs="黑体"/>
          <w:i w:val="0"/>
          <w:caps w:val="0"/>
          <w:color w:val="auto"/>
          <w:spacing w:val="0"/>
          <w:kern w:val="2"/>
          <w:sz w:val="32"/>
          <w:szCs w:val="32"/>
          <w:highlight w:val="none"/>
          <w:shd w:val="clear" w:color="auto" w:fill="FFFFFF"/>
          <w:lang w:val="en-US" w:eastAsia="zh-CN"/>
        </w:rPr>
        <w:t>第三章  奖励事项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 xml:space="preserve">第七条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对举报</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日常监管中难于发现且</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违法行为</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危害严重</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的举报人实施奖励</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以下生态环境违法行为经查属实，违法者被相关执法部门立案调查并处以罚款的，按当次罚款金额的5%给予奖励，最高不超过5000元；对于移送公安机关的，按照该类违法行为行政处罚上限金额的5%给予奖励，最高不超过5000元。</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（一）</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侵占、损毁或者擅自移动、改变大气环境质量监测设施或者大气污染物排放自动监测设备</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的（牵头办理部门：区生态环境局）；</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（二）</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不正常使用或擅自拆除、闲置污染防治设施且</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超标</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排放废水、废气等污染物</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的（牵头办理部门：区生态环境局）</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（三）</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通过暗管、渗井、渗坑、灌注或者篡改、伪造监测数据，或者不</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
        </w:rPr>
        <w:t>正常运行污染防治设施等逃避监管的方式违法排放污染物</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的（牵头办理部门：区生态环境局）</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
        </w:rPr>
        <w:t>；</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（四）</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
        </w:rPr>
        <w:t>将废旧放射源（如探伤、医疗放射源等）和其他放射性废物送交无资质的单位贮存、处置或者擅自处置</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的（牵头办理部门：区生态环境局）</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
        </w:rPr>
        <w:t>；</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t>（五）</w:t>
      </w:r>
      <w:r>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bidi="ar-SA"/>
        </w:rPr>
        <w:t>在生态保护红线区域、永久基本农田集中区域和其他需要特别保护的区域内，建设工业固体废物、危险废物集中贮存、利用、处置的设施、场所和生活垃圾填埋场</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的（牵头办理部门：区生态环境局）；</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（六）</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违规建设砂石场，无任何污染治理设施，导致附近道路积尘严重的（牵头办理部门：区住建委）；</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（七）</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建筑工地、物流等场所，使用违规加油车，向渣土运输车、罐车、非道路施工机械违法加油的（牵头办理部门：区市场监督局）；</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（八）</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工业企业、服务业经营者，生产过程中产生的污水，未经处理，直排或通过暗管排入地表水体的（牵头办理部门：区生态环境局）；</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（九）</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违规填埋建筑垃圾，影响居民生产生活的（牵头办理部门：区城市管理委）；</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无证无照“散乱污”单位，无污染处理设施，污染严重的（牵头办理部门：街道办事处、乡镇政府）；</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（十一）</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向排水和再生水设施倾倒垃圾、粪便、渣土、施工废料、污水处理产生的污泥等废弃物的（牵头办理部门：区水务局）；</w:t>
      </w:r>
    </w:p>
    <w:p>
      <w:pPr>
        <w:pStyle w:val="9"/>
        <w:keepNext w:val="0"/>
        <w:keepLines w:val="0"/>
        <w:pageBreakBefore w:val="0"/>
        <w:shd w:val="clear"/>
        <w:kinsoku/>
        <w:wordWrap/>
        <w:overflowPunct/>
        <w:topLinePunct w:val="0"/>
        <w:autoSpaceDE/>
        <w:autoSpaceDN/>
        <w:bidi w:val="0"/>
        <w:adjustRightInd/>
        <w:snapToGrid/>
        <w:spacing w:line="560" w:lineRule="exact"/>
        <w:jc w:val="both"/>
        <w:textAlignment w:val="auto"/>
        <w:rPr>
          <w:rFonts w:hint="default"/>
          <w:spacing w:val="0"/>
          <w:kern w:val="2"/>
          <w:lang w:val="en-US" w:eastAsia="zh-CN"/>
        </w:rPr>
      </w:pPr>
      <w:r>
        <w:rPr>
          <w:rFonts w:hint="eastAsia" w:ascii="仿宋_GB2312" w:hAnsi="仿宋_GB2312" w:eastAsia="仿宋_GB2312" w:cs="仿宋_GB2312"/>
          <w:i w:val="0"/>
          <w:caps w:val="0"/>
          <w:color w:val="000000" w:themeColor="text1"/>
          <w:spacing w:val="0"/>
          <w:kern w:val="2"/>
          <w:sz w:val="32"/>
          <w:szCs w:val="32"/>
          <w:highlight w:val="none"/>
          <w:shd w:val="clear" w:color="auto" w:fill="FFFFFF"/>
          <w:lang w:val="en-US" w:eastAsia="zh-CN" w:bidi="ar"/>
          <w14:textFill>
            <w14:solidFill>
              <w14:schemeClr w14:val="tx1"/>
            </w14:solidFill>
          </w14:textFill>
        </w:rPr>
        <w:t>（十二）</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排水和再生水设施运营单位伪造、篡改、瞒报进出水水质、水量等数据的（牵头办理部门：区水务局）。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第</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八</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对通过举报避免重大生态环境违法行为发生、消除重大生态环境安全隐患，或协助查处重大生态环境违法犯罪案件的举报人实施重奖。举报以下生态环境违法行为经查属实，违法者被立案调查并处以行政处罚20万元（含）以上，给予举报人处罚金额5%的奖励，奖励金额最高不超过2万元；对于移送公安机关的，按照该类违法行为罚款上限金额的5%给予奖励，奖励金额最高不超过2万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（一）</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在饮用水水源一级保护区内排放、倾倒、处置有放射性的废物、含传染病病原体废物的（牵头办理部门：区生态环境局）；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w:t>
      </w:r>
      <w:r>
        <w:rPr>
          <w:rFonts w:hint="eastAsia" w:ascii="仿宋_GB2312" w:hAnsi="仿宋_GB2312" w:eastAsia="仿宋_GB2312" w:cs="仿宋_GB2312"/>
          <w:i w:val="0"/>
          <w:caps w:val="0"/>
          <w:color w:val="000000" w:themeColor="text1"/>
          <w:spacing w:val="0"/>
          <w:kern w:val="2"/>
          <w:sz w:val="32"/>
          <w:szCs w:val="32"/>
          <w:highlight w:val="none"/>
          <w:shd w:val="clear" w:color="auto" w:fill="FFFFFF"/>
          <w14:textFill>
            <w14:solidFill>
              <w14:schemeClr w14:val="tx1"/>
            </w14:solidFill>
          </w14:textFill>
        </w:rPr>
        <w:t>（二）</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重点排污单位篡改、伪造自动监测数据或者干扰自动监测设施，导致监管部门无法准确监测排污浓度的（牵头办理部门：区生态环境局）；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（三）</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排放、倾倒、处置含铅、汞、镉、铬、砷、铊、锑的污染物，超过排放标准三倍以上的；排放、倾倒、处置含镍、铜、锌、银、钒、锰、钴的污染物，超过排放标准十倍以上的（牵头办理部门：区生态环境局）；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（四）</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通过暗管、渗井、渗坑、灌注等逃避监管的方式排放、倾倒、处置放射性废物、危险废物的（牵头办理部门：区生态环境局）；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572"/>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（五）</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非法排放、倾倒、处置危险废物三吨以上的（牵头办理部门：区生态环境局）。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572"/>
        <w:jc w:val="both"/>
        <w:textAlignment w:val="auto"/>
        <w:rPr>
          <w:rFonts w:hint="eastAsia" w:ascii="仿宋_GB2312" w:hAnsi="仿宋_GB2312" w:eastAsia="仿宋_GB2312" w:cs="仿宋_GB2312"/>
          <w:color w:val="auto"/>
          <w:spacing w:val="0"/>
          <w:kern w:val="2"/>
          <w:sz w:val="32"/>
          <w:szCs w:val="32"/>
          <w:highlight w:val="none"/>
          <w:lang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（六）环境违法行为造成公私财产损失超过</w:t>
      </w:r>
      <w:r>
        <w:rPr>
          <w:rFonts w:hint="eastAsia" w:ascii="仿宋_GB2312" w:hAnsi="仿宋_GB2312" w:eastAsia="仿宋_GB2312" w:cs="仿宋_GB2312"/>
          <w:color w:val="auto"/>
          <w:spacing w:val="0"/>
          <w:kern w:val="2"/>
          <w:sz w:val="32"/>
          <w:szCs w:val="32"/>
          <w:highlight w:val="none"/>
        </w:rPr>
        <w:t>三十万元以上的</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（牵头办理部门：区生态环境局）</w:t>
      </w:r>
      <w:r>
        <w:rPr>
          <w:rFonts w:hint="eastAsia" w:ascii="仿宋_GB2312" w:hAnsi="仿宋_GB2312" w:eastAsia="仿宋_GB2312" w:cs="仿宋_GB2312"/>
          <w:color w:val="auto"/>
          <w:spacing w:val="0"/>
          <w:kern w:val="2"/>
          <w:sz w:val="32"/>
          <w:szCs w:val="32"/>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572"/>
        <w:jc w:val="both"/>
        <w:textAlignment w:val="auto"/>
        <w:rPr>
          <w:rFonts w:hint="eastAsia" w:ascii="仿宋_GB2312" w:hAnsi="仿宋_GB2312" w:eastAsia="仿宋_GB2312" w:cs="仿宋_GB2312"/>
          <w:color w:val="auto"/>
          <w:spacing w:val="0"/>
          <w:kern w:val="2"/>
          <w:sz w:val="32"/>
          <w:szCs w:val="32"/>
          <w:highlight w:val="none"/>
          <w:lang w:eastAsia="zh-CN"/>
        </w:rPr>
      </w:pPr>
      <w:r>
        <w:rPr>
          <w:rFonts w:hint="eastAsia" w:ascii="仿宋_GB2312" w:hAnsi="仿宋_GB2312" w:eastAsia="仿宋_GB2312" w:cs="仿宋_GB2312"/>
          <w:color w:val="auto"/>
          <w:spacing w:val="0"/>
          <w:kern w:val="2"/>
          <w:sz w:val="32"/>
          <w:szCs w:val="32"/>
          <w:highlight w:val="none"/>
          <w:lang w:eastAsia="zh-CN"/>
        </w:rPr>
        <w:t>（七）</w:t>
      </w:r>
      <w:r>
        <w:rPr>
          <w:rFonts w:hint="eastAsia" w:ascii="仿宋_GB2312" w:hAnsi="仿宋_GB2312" w:eastAsia="仿宋_GB2312" w:cs="仿宋_GB2312"/>
          <w:color w:val="auto"/>
          <w:spacing w:val="0"/>
          <w:kern w:val="2"/>
          <w:sz w:val="32"/>
          <w:szCs w:val="32"/>
          <w:highlight w:val="none"/>
        </w:rPr>
        <w:t>造成生态环境严重损害的</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（牵头办理部门：区生态环境局）</w:t>
      </w:r>
      <w:r>
        <w:rPr>
          <w:rFonts w:hint="eastAsia" w:ascii="仿宋_GB2312" w:hAnsi="仿宋_GB2312" w:eastAsia="仿宋_GB2312" w:cs="仿宋_GB2312"/>
          <w:color w:val="auto"/>
          <w:spacing w:val="0"/>
          <w:kern w:val="2"/>
          <w:sz w:val="32"/>
          <w:szCs w:val="32"/>
          <w:highlight w:val="none"/>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第</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九</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举报人在举报时为被举报单位在职人员的，按照以上举报奖励标准200%进行奖励。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kern w:val="2"/>
          <w:sz w:val="32"/>
          <w:szCs w:val="32"/>
          <w:highlight w:val="none"/>
          <w:shd w:val="clear" w:color="auto" w:fill="FFFFFF"/>
        </w:rPr>
      </w:pPr>
      <w:r>
        <w:rPr>
          <w:rFonts w:hint="eastAsia" w:ascii="黑体" w:hAnsi="黑体" w:eastAsia="黑体" w:cs="黑体"/>
          <w:color w:val="auto"/>
          <w:spacing w:val="0"/>
          <w:kern w:val="2"/>
          <w:sz w:val="32"/>
          <w:szCs w:val="32"/>
          <w:highlight w:val="none"/>
          <w:shd w:val="clear" w:color="auto" w:fill="FFFFFF"/>
        </w:rPr>
        <w:t>第四章 奖励程序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color w:val="auto"/>
          <w:spacing w:val="0"/>
          <w:kern w:val="2"/>
          <w:sz w:val="32"/>
          <w:szCs w:val="32"/>
          <w:highlight w:val="none"/>
          <w:shd w:val="clear" w:color="auto" w:fill="FFFFFF"/>
          <w:lang w:val="en-US" w:eastAsia="zh-CN"/>
        </w:rPr>
        <w:t xml:space="preserve">第十条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有奖举报事项应当自受理之日起60日内办结；情况复杂的，经批准，可以延长办理期限一次，延长期限不超过30个自然日，并告知举报人延期理由。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区生态环境等相关行政执法部门对举报问题核实、立案查处完毕后，对于符合本办法规定奖励条件的，在15个工作日内向举报人反馈办理结果、启动奖励程序。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第</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一</w:t>
      </w:r>
      <w:r>
        <w:rPr>
          <w:rFonts w:hint="eastAsia" w:ascii="仿宋_GB2312" w:hAnsi="仿宋_GB2312" w:eastAsia="仿宋_GB2312" w:cs="仿宋_GB2312"/>
          <w:i w:val="0"/>
          <w:caps w:val="0"/>
          <w:color w:val="auto"/>
          <w:spacing w:val="0"/>
          <w:kern w:val="2"/>
          <w:sz w:val="32"/>
          <w:szCs w:val="32"/>
          <w:highlight w:val="none"/>
          <w:shd w:val="clear" w:color="auto" w:fill="FFFFFF"/>
        </w:rPr>
        <w:t>条 对举报人奖励遵循以下原则：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（一）</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一个举报事项对应奖励标准中多项的，按就高原则给予一次性奖励；</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（二）</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同一违法行为有多人举报的，奖励最先举报人；联合举报的，奖金平均分配；举报同一对象多项生态环境违法行为的，按就高原则以一条线索计算奖金；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　　（三）</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举报案件被查处后，被举报对象再次出现生态环境违法行为的，可继续举报。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　　第十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二</w:t>
      </w:r>
      <w:r>
        <w:rPr>
          <w:rFonts w:hint="eastAsia" w:ascii="仿宋_GB2312" w:hAnsi="仿宋_GB2312" w:eastAsia="仿宋_GB2312" w:cs="仿宋_GB2312"/>
          <w:i w:val="0"/>
          <w:caps w:val="0"/>
          <w:color w:val="auto"/>
          <w:spacing w:val="0"/>
          <w:kern w:val="2"/>
          <w:sz w:val="32"/>
          <w:szCs w:val="32"/>
          <w:highlight w:val="none"/>
          <w:shd w:val="clear" w:color="auto" w:fill="FFFFFF"/>
        </w:rPr>
        <w:t>条 有下列情形之一的，不予奖励：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一</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因自然灾害、紧急停电等不可抗力导致污染防治设施被迫拆除、闲置或不能正常运行，造成污染物未经有效处理超标排放，且企业已经或正在采取补救措施的；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二</w:t>
      </w: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举报人本人或指使他人故意实施生态环境违法行为，捏造虚假举报材料并举报该行为的；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三</w:t>
      </w: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被举报对象已被责令限期治理或改正，被举报事项正在责令限期治理或改正期限内的；举报的生态环境违法行为在行政处罚（处理）过程中，尚未结案的；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四</w:t>
      </w: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举报人提供的证据或线索事先已被生态环境等相关行政执法部门掌握或被媒体曝光的；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5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五</w:t>
      </w: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举报人已通过其他渠道举报并查实，再通过有奖举报渠道反映的；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六</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仅反映环境污染现象，未明确具体环境违法行为或者所举报的环境违法行为与生态环境等相关行政执法部门认定的实际违法行为不符的；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七</w:t>
      </w:r>
      <w:r>
        <w:rPr>
          <w:rFonts w:hint="eastAsia" w:ascii="仿宋_GB2312" w:hAnsi="仿宋_GB2312" w:eastAsia="仿宋_GB2312" w:cs="仿宋_GB2312"/>
          <w:i w:val="0"/>
          <w:caps w:val="0"/>
          <w:color w:val="auto"/>
          <w:spacing w:val="0"/>
          <w:kern w:val="2"/>
          <w:sz w:val="32"/>
          <w:szCs w:val="32"/>
          <w:highlight w:val="none"/>
          <w:shd w:val="clear" w:color="auto" w:fill="FFFFFF"/>
        </w:rPr>
        <w:t>）未按要求提供举报人和被举报对象准确信息的</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八</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有奖举报事项，已被市级生态环境部门受理的；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九</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不属于生态环境领域问题、不在生态环境等相关行政执法部门职权范围内的或者不符合法律、法规规定的奖励情形的。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第十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三</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区生态环境等相关行政执法部门按照法定职责，依法调查处理生态环境违法行为，答复办理情况并按照本规定确定事项适用奖励标准；定期梳理奖励情况，并组织开展举报奖金发放工作。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　　第十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四</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举报奖金以银行转账形式进行发放。依据相关法律规定，参与有奖举报的举报人应提供本人真实信息（姓名、身份证号、电话号码等），并须提供本人身份证正、反面清晰复印件、本人本市借记卡（非信用卡）开户银行及银行账号等信息（多人联合举报同一违法行为的，分别提供个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　　第十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五</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区生态环境局在发放举报奖金过程中，发现举报人提供的相关信息不准确，可以要求举报人补充提供或变更奖金领取方式。因举报人拒绝提供或提供信息不准确，导致奖金无法发放或错发，视同放弃奖励。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kern w:val="2"/>
          <w:sz w:val="32"/>
          <w:szCs w:val="32"/>
          <w:highlight w:val="none"/>
          <w:shd w:val="clear" w:color="auto" w:fill="FFFFFF"/>
        </w:rPr>
      </w:pPr>
      <w:r>
        <w:rPr>
          <w:rFonts w:hint="eastAsia" w:ascii="黑体" w:hAnsi="黑体" w:eastAsia="黑体" w:cs="黑体"/>
          <w:i w:val="0"/>
          <w:caps w:val="0"/>
          <w:color w:val="auto"/>
          <w:spacing w:val="0"/>
          <w:kern w:val="2"/>
          <w:sz w:val="32"/>
          <w:szCs w:val="32"/>
          <w:highlight w:val="none"/>
          <w:shd w:val="clear" w:color="auto" w:fill="FFFFFF"/>
          <w:lang w:val="en-US" w:eastAsia="zh-CN"/>
        </w:rPr>
        <w:t>第五章  监督保障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第十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六</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区生态环境等相关行政执法部门应当对举报人相关信息予以保密。对执法人员在受理和查处过程中推诿拖延、通风报信、玩忽职守、徇私舞弊，违规泄露举报人信息，以及违规透露线索给他人举报以获取奖励，挪用、侵吞举报奖励经费等违法违纪行为，依法追究责任。</w:t>
      </w:r>
    </w:p>
    <w:p>
      <w:pPr>
        <w:pStyle w:val="8"/>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第十七条</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 xml:space="preserve"> 举报人存在下列行为的，将提请有关部门依法追究其法律责任：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微软雅黑" w:hAnsi="微软雅黑" w:eastAsia="微软雅黑" w:cs="微软雅黑"/>
          <w:i w:val="0"/>
          <w:caps w:val="0"/>
          <w:color w:val="auto"/>
          <w:spacing w:val="0"/>
          <w:kern w:val="2"/>
          <w:sz w:val="32"/>
          <w:szCs w:val="32"/>
          <w:highlight w:val="none"/>
        </w:rPr>
      </w:pPr>
      <w:r>
        <w:rPr>
          <w:rFonts w:hint="eastAsia" w:ascii="仿宋_GB2312" w:hAnsi="微软雅黑" w:eastAsia="仿宋_GB2312" w:cs="仿宋_GB2312"/>
          <w:i w:val="0"/>
          <w:caps w:val="0"/>
          <w:color w:val="auto"/>
          <w:spacing w:val="0"/>
          <w:kern w:val="2"/>
          <w:sz w:val="32"/>
          <w:szCs w:val="32"/>
          <w:highlight w:val="none"/>
          <w:shd w:val="clear" w:color="auto" w:fill="FFFFFF"/>
          <w:lang w:val="en-US" w:eastAsia="zh-CN" w:bidi="ar"/>
        </w:rPr>
        <w:t>（一）制作虚假证明材料举报的；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微软雅黑" w:hAnsi="微软雅黑" w:eastAsia="微软雅黑" w:cs="微软雅黑"/>
          <w:i w:val="0"/>
          <w:caps w:val="0"/>
          <w:color w:val="auto"/>
          <w:spacing w:val="0"/>
          <w:kern w:val="2"/>
          <w:sz w:val="32"/>
          <w:szCs w:val="32"/>
          <w:highlight w:val="none"/>
        </w:rPr>
      </w:pPr>
      <w:r>
        <w:rPr>
          <w:rFonts w:hint="eastAsia" w:ascii="仿宋_GB2312" w:hAnsi="微软雅黑" w:eastAsia="仿宋_GB2312" w:cs="仿宋_GB2312"/>
          <w:i w:val="0"/>
          <w:caps w:val="0"/>
          <w:color w:val="auto"/>
          <w:spacing w:val="0"/>
          <w:kern w:val="2"/>
          <w:sz w:val="32"/>
          <w:szCs w:val="32"/>
          <w:highlight w:val="none"/>
          <w:shd w:val="clear" w:color="auto" w:fill="FFFFFF"/>
          <w:lang w:val="en-US" w:eastAsia="zh-CN" w:bidi="ar"/>
        </w:rPr>
        <w:t>（二）制造生态环境违法行为陷害被举报人的；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微软雅黑" w:hAnsi="微软雅黑" w:eastAsia="微软雅黑" w:cs="微软雅黑"/>
          <w:i w:val="0"/>
          <w:caps w:val="0"/>
          <w:color w:val="auto"/>
          <w:spacing w:val="0"/>
          <w:kern w:val="2"/>
          <w:sz w:val="32"/>
          <w:szCs w:val="32"/>
          <w:highlight w:val="none"/>
        </w:rPr>
      </w:pPr>
      <w:r>
        <w:rPr>
          <w:rFonts w:hint="eastAsia" w:ascii="仿宋_GB2312" w:hAnsi="微软雅黑" w:eastAsia="仿宋_GB2312" w:cs="仿宋_GB2312"/>
          <w:i w:val="0"/>
          <w:caps w:val="0"/>
          <w:color w:val="auto"/>
          <w:spacing w:val="0"/>
          <w:kern w:val="2"/>
          <w:sz w:val="32"/>
          <w:szCs w:val="32"/>
          <w:highlight w:val="none"/>
          <w:shd w:val="clear" w:color="auto" w:fill="FFFFFF"/>
          <w:lang w:val="en-US" w:eastAsia="zh-CN" w:bidi="ar"/>
        </w:rPr>
        <w:t>（三）以投诉举报敲诈、勒索被举报人的；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微软雅黑" w:hAnsi="微软雅黑" w:eastAsia="微软雅黑" w:cs="微软雅黑"/>
          <w:i w:val="0"/>
          <w:caps w:val="0"/>
          <w:color w:val="auto"/>
          <w:spacing w:val="0"/>
          <w:kern w:val="2"/>
          <w:sz w:val="32"/>
          <w:szCs w:val="32"/>
          <w:highlight w:val="none"/>
        </w:rPr>
      </w:pPr>
      <w:r>
        <w:rPr>
          <w:rFonts w:hint="eastAsia" w:ascii="仿宋_GB2312" w:hAnsi="微软雅黑" w:eastAsia="仿宋_GB2312" w:cs="仿宋_GB2312"/>
          <w:i w:val="0"/>
          <w:caps w:val="0"/>
          <w:color w:val="auto"/>
          <w:spacing w:val="0"/>
          <w:kern w:val="2"/>
          <w:sz w:val="32"/>
          <w:szCs w:val="32"/>
          <w:highlight w:val="none"/>
          <w:shd w:val="clear" w:color="auto" w:fill="FFFFFF"/>
          <w:lang w:val="en-US" w:eastAsia="zh-CN" w:bidi="ar"/>
        </w:rPr>
        <w:t>（四）举报人阻碍、干扰执法检查工作的；</w:t>
      </w:r>
    </w:p>
    <w:p>
      <w:pPr>
        <w:keepNext w:val="0"/>
        <w:keepLines w:val="0"/>
        <w:pageBreakBefore w:val="0"/>
        <w:shd w:val="clear"/>
        <w:kinsoku/>
        <w:wordWrap/>
        <w:overflowPunct/>
        <w:topLinePunct w:val="0"/>
        <w:autoSpaceDE/>
        <w:autoSpaceDN/>
        <w:bidi w:val="0"/>
        <w:adjustRightInd/>
        <w:snapToGrid/>
        <w:spacing w:line="560" w:lineRule="exact"/>
        <w:ind w:firstLine="641"/>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微软雅黑" w:eastAsia="仿宋_GB2312" w:cs="仿宋_GB2312"/>
          <w:i w:val="0"/>
          <w:caps w:val="0"/>
          <w:color w:val="auto"/>
          <w:spacing w:val="0"/>
          <w:kern w:val="2"/>
          <w:sz w:val="32"/>
          <w:szCs w:val="32"/>
          <w:highlight w:val="none"/>
          <w:shd w:val="clear" w:color="auto" w:fill="FFFFFF"/>
          <w:lang w:val="en-US" w:eastAsia="zh-CN" w:bidi="ar"/>
        </w:rPr>
        <w:t>（五）其他违法犯罪行为的。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第</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十八</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区生态环境等相关行政执法部门在职工作人员（含行政辅助、第三方服务公司）及其家属等对生态环境违法行为的举报不适用本规定。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pacing w:val="0"/>
          <w:kern w:val="2"/>
          <w:sz w:val="32"/>
          <w:szCs w:val="32"/>
          <w:highlight w:val="none"/>
          <w:lang w:val="en-US" w:eastAsia="zh-CN"/>
        </w:rPr>
      </w:pPr>
      <w:r>
        <w:rPr>
          <w:rFonts w:hint="eastAsia" w:ascii="黑体" w:hAnsi="黑体" w:eastAsia="黑体" w:cs="黑体"/>
          <w:color w:val="auto"/>
          <w:spacing w:val="0"/>
          <w:kern w:val="2"/>
          <w:sz w:val="32"/>
          <w:szCs w:val="32"/>
          <w:highlight w:val="none"/>
          <w:lang w:val="en-US" w:eastAsia="zh-CN"/>
        </w:rPr>
        <w:t>第六章  办理流程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（一）生态环境部门受理举报信息并甄选举报事项后，针对举报事项派发至各相关部门；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（二）相关部门接收举报事项后，针对是否属实及是否初次举报等情况进行核实并将受理情况反馈至生态环境部门；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（三）相关部门受理后，针对是否行政立案、处罚裁量范围、处罚金额，是否移送公安部门等事项进行调查核实并向生态环境部门反馈办理报告；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（四）生态环境部门专题研究有关奖励情况后，向区财政部门申请举报奖励资金；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（五）区财政部门接到申请后，予以核发奖励资金；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i w:val="0"/>
          <w:caps w:val="0"/>
          <w:color w:val="auto"/>
          <w:spacing w:val="0"/>
          <w:kern w:val="2"/>
          <w:sz w:val="32"/>
          <w:szCs w:val="32"/>
          <w:highlight w:val="yellow"/>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（六）生态环境部门发放奖金后，对有奖举报件进行存档留痕。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kern w:val="2"/>
          <w:sz w:val="32"/>
          <w:szCs w:val="32"/>
          <w:highlight w:val="none"/>
          <w:shd w:val="clear" w:color="auto" w:fill="FFFFFF"/>
          <w:lang w:val="en-US" w:eastAsia="zh-CN"/>
        </w:rPr>
      </w:pPr>
      <w:r>
        <w:rPr>
          <w:rFonts w:hint="eastAsia" w:ascii="黑体" w:hAnsi="黑体" w:eastAsia="黑体" w:cs="黑体"/>
          <w:i w:val="0"/>
          <w:caps w:val="0"/>
          <w:color w:val="auto"/>
          <w:spacing w:val="0"/>
          <w:kern w:val="2"/>
          <w:sz w:val="32"/>
          <w:szCs w:val="32"/>
          <w:highlight w:val="none"/>
          <w:shd w:val="clear" w:color="auto" w:fill="FFFFFF"/>
          <w:lang w:val="en-US" w:eastAsia="zh-CN"/>
        </w:rPr>
        <w:t>第七章  附  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rPr>
        <w:t>　　第</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十九</w:t>
      </w:r>
      <w:r>
        <w:rPr>
          <w:rFonts w:hint="eastAsia" w:ascii="仿宋_GB2312" w:hAnsi="仿宋_GB2312" w:eastAsia="仿宋_GB2312" w:cs="仿宋_GB2312"/>
          <w:i w:val="0"/>
          <w:caps w:val="0"/>
          <w:color w:val="auto"/>
          <w:spacing w:val="0"/>
          <w:kern w:val="2"/>
          <w:sz w:val="32"/>
          <w:szCs w:val="32"/>
          <w:highlight w:val="none"/>
          <w:shd w:val="clear" w:color="auto" w:fill="FFFFFF"/>
        </w:rPr>
        <w:t>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生态环境等相关行政执法部门加大对举报奖励政策的宣传，扩大社会知晓面，积极动员公众参与举报。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rPr>
        <w:t>第</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二十</w:t>
      </w:r>
      <w:r>
        <w:rPr>
          <w:rFonts w:hint="eastAsia" w:ascii="仿宋_GB2312" w:hAnsi="仿宋_GB2312" w:eastAsia="仿宋_GB2312" w:cs="仿宋_GB2312"/>
          <w:i w:val="0"/>
          <w:caps w:val="0"/>
          <w:color w:val="auto"/>
          <w:spacing w:val="0"/>
          <w:kern w:val="2"/>
          <w:sz w:val="32"/>
          <w:szCs w:val="32"/>
          <w:highlight w:val="none"/>
          <w:shd w:val="clear" w:color="auto" w:fill="FFFFFF"/>
        </w:rPr>
        <w:t xml:space="preserve">条 </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生态环境违法行为奖励资金专项用于有奖举报工作。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572"/>
        <w:jc w:val="both"/>
        <w:textAlignment w:val="auto"/>
        <w:rPr>
          <w:rFonts w:hint="eastAsia" w:ascii="仿宋_GB2312" w:hAnsi="仿宋_GB2312" w:eastAsia="仿宋_GB2312" w:cs="仿宋_GB2312"/>
          <w:i w:val="0"/>
          <w:caps w:val="0"/>
          <w:color w:val="auto"/>
          <w:spacing w:val="0"/>
          <w:kern w:val="2"/>
          <w:sz w:val="32"/>
          <w:szCs w:val="32"/>
          <w:highlight w:val="none"/>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 xml:space="preserve">第二十一条 </w:t>
      </w:r>
      <w:r>
        <w:rPr>
          <w:rFonts w:hint="eastAsia" w:ascii="仿宋_GB2312" w:hAnsi="仿宋_GB2312" w:eastAsia="仿宋_GB2312" w:cs="仿宋_GB2312"/>
          <w:i w:val="0"/>
          <w:caps w:val="0"/>
          <w:color w:val="auto"/>
          <w:spacing w:val="0"/>
          <w:kern w:val="2"/>
          <w:sz w:val="32"/>
          <w:szCs w:val="32"/>
          <w:highlight w:val="none"/>
          <w:shd w:val="clear" w:color="auto" w:fill="FFFFFF"/>
        </w:rPr>
        <w:t>本规定由</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区生态环境局</w:t>
      </w:r>
      <w:r>
        <w:rPr>
          <w:rFonts w:hint="eastAsia" w:ascii="仿宋_GB2312" w:hAnsi="仿宋_GB2312" w:eastAsia="仿宋_GB2312" w:cs="仿宋_GB2312"/>
          <w:i w:val="0"/>
          <w:caps w:val="0"/>
          <w:color w:val="auto"/>
          <w:spacing w:val="0"/>
          <w:kern w:val="2"/>
          <w:sz w:val="32"/>
          <w:szCs w:val="32"/>
          <w:highlight w:val="none"/>
          <w:shd w:val="clear" w:color="auto" w:fill="FFFFFF"/>
        </w:rPr>
        <w:t>负责解释</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并依据工作实际适时进行修订</w:t>
      </w:r>
      <w:r>
        <w:rPr>
          <w:rFonts w:hint="eastAsia" w:ascii="仿宋_GB2312" w:hAnsi="仿宋_GB2312" w:eastAsia="仿宋_GB2312" w:cs="仿宋_GB2312"/>
          <w:i w:val="0"/>
          <w:caps w:val="0"/>
          <w:color w:val="auto"/>
          <w:spacing w:val="0"/>
          <w:kern w:val="2"/>
          <w:sz w:val="32"/>
          <w:szCs w:val="32"/>
          <w:highlight w:val="none"/>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
        </w:rPr>
      </w:pPr>
      <w:r>
        <w:rPr>
          <w:rFonts w:hint="eastAsia" w:ascii="仿宋_GB2312" w:hAnsi="仿宋_GB2312" w:eastAsia="仿宋_GB2312" w:cs="仿宋_GB2312"/>
          <w:i w:val="0"/>
          <w:caps w:val="0"/>
          <w:color w:val="auto"/>
          <w:spacing w:val="0"/>
          <w:kern w:val="2"/>
          <w:sz w:val="32"/>
          <w:szCs w:val="32"/>
          <w:highlight w:val="none"/>
          <w:shd w:val="clear" w:color="auto" w:fill="FFFFFF"/>
        </w:rPr>
        <w:t>　　第二十</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二</w:t>
      </w:r>
      <w:r>
        <w:rPr>
          <w:rFonts w:hint="eastAsia" w:ascii="仿宋_GB2312" w:hAnsi="仿宋_GB2312" w:eastAsia="仿宋_GB2312" w:cs="仿宋_GB2312"/>
          <w:i w:val="0"/>
          <w:caps w:val="0"/>
          <w:color w:val="auto"/>
          <w:spacing w:val="0"/>
          <w:kern w:val="2"/>
          <w:sz w:val="32"/>
          <w:szCs w:val="32"/>
          <w:highlight w:val="none"/>
          <w:shd w:val="clear" w:color="auto" w:fill="FFFFFF"/>
        </w:rPr>
        <w:t>条 本规定自印发之日起实施。</w:t>
      </w:r>
    </w:p>
    <w:p>
      <w:pPr>
        <w:widowControl w:val="0"/>
        <w:ind w:firstLine="420"/>
        <w:jc w:val="center"/>
        <w:rPr>
          <w:rFonts w:hint="eastAsia" w:ascii="Times New Roman" w:hAnsi="Times New Roman" w:eastAsia="宋体" w:cs="Times New Roman"/>
          <w:spacing w:val="0"/>
          <w:kern w:val="2"/>
          <w:sz w:val="21"/>
          <w:szCs w:val="21"/>
          <w:lang w:val="en-US" w:eastAsia="zh-CN" w:bidi="ar-SA"/>
        </w:rPr>
        <w:sectPr>
          <w:footerReference r:id="rId3" w:type="default"/>
          <w:pgSz w:w="11906" w:h="16838"/>
          <w:pgMar w:top="1701" w:right="1474" w:bottom="1417" w:left="1587" w:header="851" w:footer="992" w:gutter="0"/>
          <w:pgNumType w:fmt="numberInDash"/>
          <w:cols w:space="720" w:num="1"/>
          <w:docGrid w:linePitch="312" w:charSpace="0"/>
        </w:sect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r>
        <w:rPr>
          <w:rFonts w:hint="eastAsia" w:ascii="黑体" w:hAnsi="黑体" w:eastAsia="黑体" w:cs="黑体"/>
          <w:bCs/>
          <w:spacing w:val="0"/>
          <w:kern w:val="2"/>
          <w:sz w:val="32"/>
          <w:szCs w:val="32"/>
          <w:lang w:eastAsia="zh-CN"/>
        </w:rPr>
        <w:t>附件</w:t>
      </w:r>
      <w:r>
        <w:rPr>
          <w:rFonts w:hint="eastAsia" w:ascii="黑体" w:hAnsi="黑体" w:eastAsia="黑体" w:cs="黑体"/>
          <w:bCs/>
          <w:spacing w:val="0"/>
          <w:kern w:val="2"/>
          <w:sz w:val="32"/>
          <w:szCs w:val="32"/>
          <w:lang w:val="en-US" w:eastAsia="zh-CN"/>
        </w:rPr>
        <w:t>2</w:t>
      </w:r>
      <w:r>
        <w:rPr>
          <w:rFonts w:hint="eastAsia" w:ascii="黑体" w:hAnsi="黑体" w:eastAsia="黑体" w:cs="黑体"/>
          <w:bCs/>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bCs/>
          <w:spacing w:val="0"/>
          <w:kern w:val="2"/>
          <w:sz w:val="44"/>
          <w:szCs w:val="44"/>
        </w:rPr>
      </w:pPr>
    </w:p>
    <w:p>
      <w:pPr>
        <w:keepNext w:val="0"/>
        <w:keepLines w:val="0"/>
        <w:pageBreakBefore w:val="0"/>
        <w:widowControl w:val="0"/>
        <w:shd w:val="clear"/>
        <w:kinsoku/>
        <w:wordWrap/>
        <w:overflowPunct/>
        <w:topLinePunct w:val="0"/>
        <w:autoSpaceDE/>
        <w:autoSpaceDN/>
        <w:bidi w:val="0"/>
        <w:adjustRightInd/>
        <w:snapToGrid/>
        <w:spacing w:line="740" w:lineRule="exact"/>
        <w:jc w:val="center"/>
        <w:textAlignment w:val="auto"/>
        <w:rPr>
          <w:rFonts w:hint="eastAsia" w:ascii="方正小标宋简体" w:eastAsia="方正小标宋简体"/>
          <w:color w:val="auto"/>
          <w:spacing w:val="0"/>
          <w:kern w:val="2"/>
          <w:sz w:val="44"/>
          <w:szCs w:val="44"/>
          <w:highlight w:val="none"/>
        </w:rPr>
      </w:pPr>
      <w:r>
        <w:rPr>
          <w:rFonts w:hint="eastAsia" w:ascii="方正小标宋简体" w:hAnsi="宋体" w:eastAsia="方正小标宋简体" w:cs="宋体"/>
          <w:bCs/>
          <w:spacing w:val="0"/>
          <w:kern w:val="2"/>
          <w:sz w:val="44"/>
          <w:szCs w:val="44"/>
        </w:rPr>
        <w:t>关于对《</w:t>
      </w:r>
      <w:r>
        <w:rPr>
          <w:rFonts w:hint="eastAsia" w:ascii="方正小标宋简体" w:hAnsi="宋体" w:eastAsia="方正小标宋简体" w:cs="宋体"/>
          <w:bCs/>
          <w:spacing w:val="0"/>
          <w:kern w:val="2"/>
          <w:sz w:val="44"/>
          <w:szCs w:val="44"/>
          <w:lang w:val="en-US" w:eastAsia="zh-CN"/>
        </w:rPr>
        <w:t>北京市通州区</w:t>
      </w:r>
      <w:r>
        <w:rPr>
          <w:rFonts w:hint="eastAsia" w:ascii="方正小标宋简体" w:eastAsia="方正小标宋简体"/>
          <w:color w:val="auto"/>
          <w:spacing w:val="0"/>
          <w:kern w:val="2"/>
          <w:sz w:val="44"/>
          <w:szCs w:val="44"/>
          <w:highlight w:val="none"/>
        </w:rPr>
        <w:t>生态环境违法行为</w:t>
      </w:r>
    </w:p>
    <w:p>
      <w:pPr>
        <w:keepNext w:val="0"/>
        <w:keepLines w:val="0"/>
        <w:pageBreakBefore w:val="0"/>
        <w:widowControl w:val="0"/>
        <w:shd w:val="clear"/>
        <w:kinsoku/>
        <w:wordWrap/>
        <w:overflowPunct/>
        <w:topLinePunct w:val="0"/>
        <w:autoSpaceDE/>
        <w:autoSpaceDN/>
        <w:bidi w:val="0"/>
        <w:adjustRightInd/>
        <w:snapToGrid/>
        <w:spacing w:line="740" w:lineRule="exact"/>
        <w:jc w:val="center"/>
        <w:textAlignment w:val="auto"/>
        <w:rPr>
          <w:rFonts w:hint="eastAsia"/>
          <w:spacing w:val="0"/>
          <w:kern w:val="2"/>
          <w:sz w:val="44"/>
          <w:szCs w:val="44"/>
          <w:lang w:val="en-US" w:eastAsia="zh-CN"/>
        </w:rPr>
      </w:pPr>
      <w:r>
        <w:rPr>
          <w:rFonts w:hint="eastAsia" w:ascii="方正小标宋简体" w:eastAsia="方正小标宋简体"/>
          <w:color w:val="auto"/>
          <w:spacing w:val="0"/>
          <w:kern w:val="2"/>
          <w:sz w:val="44"/>
          <w:szCs w:val="44"/>
          <w:highlight w:val="none"/>
        </w:rPr>
        <w:t>举报奖励规定</w:t>
      </w:r>
      <w:r>
        <w:rPr>
          <w:rFonts w:hint="eastAsia" w:ascii="方正小标宋简体" w:hAnsi="宋体" w:eastAsia="方正小标宋简体" w:cs="宋体"/>
          <w:bCs/>
          <w:spacing w:val="0"/>
          <w:kern w:val="2"/>
          <w:sz w:val="44"/>
          <w:szCs w:val="44"/>
        </w:rPr>
        <w:t>》的起草说明</w:t>
      </w:r>
    </w:p>
    <w:p>
      <w:pPr>
        <w:rPr>
          <w:rFonts w:hint="eastAsia" w:ascii="仿宋_GB2312" w:hAnsi="仿宋_GB2312" w:eastAsia="仿宋_GB2312" w:cs="仿宋_GB2312"/>
          <w:color w:val="000000"/>
          <w:spacing w:val="0"/>
          <w:kern w:val="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3" w:firstLineChars="200"/>
        <w:textAlignment w:val="auto"/>
        <w:rPr>
          <w:rFonts w:hint="eastAsia" w:ascii="Calibri" w:hAnsi="Calibri" w:eastAsia="仿宋_GB2312"/>
          <w:spacing w:val="0"/>
          <w:kern w:val="2"/>
          <w:sz w:val="32"/>
          <w:szCs w:val="32"/>
        </w:rPr>
      </w:pPr>
      <w:r>
        <w:rPr>
          <w:rFonts w:hint="eastAsia" w:ascii="Calibri" w:hAnsi="Calibri" w:eastAsia="仿宋_GB2312"/>
          <w:b/>
          <w:bCs/>
          <w:spacing w:val="0"/>
          <w:kern w:val="2"/>
          <w:sz w:val="32"/>
          <w:szCs w:val="32"/>
        </w:rPr>
        <w:t>起草背景及过程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为鼓励公众积极参与生态环境保护工作，加强对生态环境违法行为的社会监督，</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严厉打击</w:t>
      </w:r>
      <w:r>
        <w:rPr>
          <w:rFonts w:hint="eastAsia" w:ascii="仿宋_GB2312" w:hAnsi="仿宋_GB2312" w:eastAsia="仿宋_GB2312" w:cs="仿宋_GB2312"/>
          <w:i w:val="0"/>
          <w:caps w:val="0"/>
          <w:color w:val="auto"/>
          <w:spacing w:val="0"/>
          <w:kern w:val="2"/>
          <w:sz w:val="32"/>
          <w:szCs w:val="32"/>
          <w:highlight w:val="none"/>
          <w:shd w:val="clear" w:color="auto" w:fill="FFFFFF"/>
        </w:rPr>
        <w:t>生态环境违法行为，依据《中华人民共和国环境保护法》《中华人民共和国大气污染防治法》《中华人民共和国</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水</w:t>
      </w:r>
      <w:r>
        <w:rPr>
          <w:rFonts w:hint="eastAsia" w:ascii="仿宋_GB2312" w:hAnsi="仿宋_GB2312" w:eastAsia="仿宋_GB2312" w:cs="仿宋_GB2312"/>
          <w:i w:val="0"/>
          <w:caps w:val="0"/>
          <w:color w:val="auto"/>
          <w:spacing w:val="0"/>
          <w:kern w:val="2"/>
          <w:sz w:val="32"/>
          <w:szCs w:val="32"/>
          <w:highlight w:val="none"/>
          <w:shd w:val="clear" w:color="auto" w:fill="FFFFFF"/>
        </w:rPr>
        <w:t>污染防治法》《中华人民共和国土壤污染防治法》《中华人民共和国固体废物污染环境防治法》《放射性废物安全管理条例》《消耗臭氧层物质管理条例》《北京市大气污染防治条例》《北京市水污染防治条例》</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color w:val="auto"/>
          <w:spacing w:val="0"/>
          <w:kern w:val="2"/>
          <w:sz w:val="32"/>
          <w:szCs w:val="32"/>
          <w:highlight w:val="none"/>
          <w:shd w:val="clear" w:color="auto" w:fill="FFFFFF"/>
        </w:rPr>
        <w:t>北京市机动车和非道路移动机械排放污染防治条例</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rPr>
        <w:t>《污染源自动监控设施现场监督检查办法》等法律法规，结合</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通州区</w:t>
      </w:r>
      <w:r>
        <w:rPr>
          <w:rFonts w:hint="eastAsia" w:ascii="仿宋_GB2312" w:hAnsi="仿宋_GB2312" w:eastAsia="仿宋_GB2312" w:cs="仿宋_GB2312"/>
          <w:i w:val="0"/>
          <w:caps w:val="0"/>
          <w:color w:val="auto"/>
          <w:spacing w:val="0"/>
          <w:kern w:val="2"/>
          <w:sz w:val="32"/>
          <w:szCs w:val="32"/>
          <w:highlight w:val="none"/>
          <w:shd w:val="clear" w:color="auto" w:fill="FFFFFF"/>
        </w:rPr>
        <w:t>实际，制定本规定。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highlight w:val="none"/>
          <w:shd w:val="clear" w:color="auto" w:fill="FFFFFF"/>
        </w:rPr>
        <w:t>我局高度重视《</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北京市通州区</w:t>
      </w:r>
      <w:r>
        <w:rPr>
          <w:rFonts w:hint="eastAsia" w:ascii="仿宋_GB2312" w:hAnsi="仿宋_GB2312" w:eastAsia="仿宋_GB2312" w:cs="仿宋_GB2312"/>
          <w:i w:val="0"/>
          <w:caps w:val="0"/>
          <w:color w:val="auto"/>
          <w:spacing w:val="0"/>
          <w:kern w:val="2"/>
          <w:sz w:val="32"/>
          <w:szCs w:val="32"/>
          <w:highlight w:val="none"/>
          <w:shd w:val="clear" w:color="auto" w:fill="FFFFFF"/>
        </w:rPr>
        <w:t>生态环境违法行为举报奖励规定》制定起草工作，专门成立了起草工作小组，在认真学习研究</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的</w:t>
      </w:r>
      <w:r>
        <w:rPr>
          <w:rFonts w:hint="eastAsia" w:ascii="仿宋_GB2312" w:hAnsi="仿宋_GB2312" w:eastAsia="仿宋_GB2312" w:cs="仿宋_GB2312"/>
          <w:i w:val="0"/>
          <w:caps w:val="0"/>
          <w:color w:val="auto"/>
          <w:spacing w:val="0"/>
          <w:kern w:val="2"/>
          <w:sz w:val="32"/>
          <w:szCs w:val="32"/>
          <w:highlight w:val="none"/>
          <w:shd w:val="clear" w:color="auto" w:fill="FFFFFF"/>
        </w:rPr>
        <w:t>基础上，深入开展调研，形成了《</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北京市通州区</w:t>
      </w:r>
      <w:r>
        <w:rPr>
          <w:rFonts w:hint="eastAsia" w:ascii="仿宋_GB2312" w:hAnsi="仿宋_GB2312" w:eastAsia="仿宋_GB2312" w:cs="仿宋_GB2312"/>
          <w:i w:val="0"/>
          <w:caps w:val="0"/>
          <w:color w:val="auto"/>
          <w:spacing w:val="0"/>
          <w:kern w:val="2"/>
          <w:sz w:val="32"/>
          <w:szCs w:val="32"/>
          <w:highlight w:val="none"/>
          <w:shd w:val="clear" w:color="auto" w:fill="FFFFFF"/>
        </w:rPr>
        <w:t>生态环境违法行为举报奖励规定（草拟稿）》。首先召开了由科室负责人、相关专业技术人员等参加的内审会，对《</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北京市通州区</w:t>
      </w:r>
      <w:r>
        <w:rPr>
          <w:rFonts w:hint="eastAsia" w:ascii="仿宋_GB2312" w:hAnsi="仿宋_GB2312" w:eastAsia="仿宋_GB2312" w:cs="仿宋_GB2312"/>
          <w:i w:val="0"/>
          <w:caps w:val="0"/>
          <w:color w:val="auto"/>
          <w:spacing w:val="0"/>
          <w:kern w:val="2"/>
          <w:sz w:val="32"/>
          <w:szCs w:val="32"/>
          <w:highlight w:val="none"/>
          <w:shd w:val="clear" w:color="auto" w:fill="FFFFFF"/>
        </w:rPr>
        <w:t>生态环境违法行为举报奖励规定（草</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拟稿）》进行了讨论修改。8月5日，我局通过通州区政务办公平台向31家单位征求意见，分别为：区司法局、区财政局、市规自委通州分局、区住建委、区城管委、区市场监督局、区水务局、区农业农村局、区公安分局环食药支队和22个街道乡镇，均为无具体意见和建议。</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8月9日，倪德才副区长主持召开区政府专题会，研究讨论《北京市通州区生态环境违法行为举报奖励规定（</w:t>
      </w:r>
      <w:r>
        <w:rPr>
          <w:rFonts w:hint="eastAsia" w:ascii="仿宋_GB2312" w:hAnsi="仿宋_GB2312" w:eastAsia="仿宋_GB2312" w:cs="仿宋_GB2312"/>
          <w:i w:val="0"/>
          <w:caps w:val="0"/>
          <w:color w:val="auto"/>
          <w:spacing w:val="0"/>
          <w:kern w:val="2"/>
          <w:sz w:val="32"/>
          <w:szCs w:val="32"/>
          <w:highlight w:val="none"/>
          <w:shd w:val="clear" w:color="auto" w:fill="FFFFFF"/>
        </w:rPr>
        <w:t>草</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拟稿</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）》。会后，我局认真落实主管区长要求和其他相关单位意见，进行了充分讨论、研究并修改，形成《北京市通州区生态环境违法行为举报奖励规定（征求意见稿）》。</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bidi="ar-SA"/>
        </w:rPr>
        <w:t>2022年8月22日，我局通过通州区政务办公平台再次向第一轮相关单位征求意见，区财政局提出3条意见和建议，其中已采纳并修改2条，未采纳1条，为“因该举报奖励规定为面向社会公众发布，而第六章办理流程为政府部门内部操作流程，可以以附件形式呈现。第二章举报途径及要求，第六条举报人应提供的举报信息，也建议可以以附件形式附在正文后面。”未采纳原因为：所有操作流程和举报信息应在正文中相应环节写明，而非以附件形式呈现。其他单位均为无具体意见和建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Calibri" w:hAnsi="Calibri" w:eastAsia="仿宋_GB2312"/>
          <w:b/>
          <w:bCs/>
          <w:spacing w:val="0"/>
          <w:kern w:val="2"/>
          <w:sz w:val="32"/>
          <w:szCs w:val="32"/>
          <w:lang w:eastAsia="zh-CN"/>
        </w:rPr>
      </w:pPr>
      <w:r>
        <w:rPr>
          <w:rFonts w:hint="eastAsia" w:ascii="Calibri" w:hAnsi="Calibri" w:eastAsia="仿宋_GB2312"/>
          <w:b/>
          <w:bCs/>
          <w:spacing w:val="0"/>
          <w:kern w:val="2"/>
          <w:sz w:val="32"/>
          <w:szCs w:val="32"/>
        </w:rPr>
        <w:t>起草文件要解决的</w:t>
      </w:r>
      <w:r>
        <w:rPr>
          <w:rFonts w:hint="eastAsia" w:ascii="Calibri" w:hAnsi="Calibri" w:eastAsia="仿宋_GB2312"/>
          <w:b/>
          <w:bCs/>
          <w:spacing w:val="0"/>
          <w:kern w:val="2"/>
          <w:sz w:val="32"/>
          <w:szCs w:val="32"/>
          <w:lang w:eastAsia="zh-CN"/>
        </w:rPr>
        <w:t>主要</w:t>
      </w:r>
      <w:r>
        <w:rPr>
          <w:rFonts w:hint="eastAsia" w:ascii="Calibri" w:hAnsi="Calibri" w:eastAsia="仿宋_GB2312"/>
          <w:b/>
          <w:bCs/>
          <w:spacing w:val="0"/>
          <w:kern w:val="2"/>
          <w:sz w:val="32"/>
          <w:szCs w:val="32"/>
        </w:rPr>
        <w:t>问题</w:t>
      </w:r>
      <w:r>
        <w:rPr>
          <w:rFonts w:hint="eastAsia" w:ascii="Calibri" w:hAnsi="Calibri" w:eastAsia="仿宋_GB2312"/>
          <w:b/>
          <w:bCs/>
          <w:spacing w:val="0"/>
          <w:kern w:val="2"/>
          <w:sz w:val="32"/>
          <w:szCs w:val="32"/>
          <w:lang w:eastAsia="zh-CN"/>
        </w:rPr>
        <w:t>和考虑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通州区生态环境局</w:t>
      </w:r>
      <w:r>
        <w:rPr>
          <w:rFonts w:hint="default" w:ascii="仿宋_GB2312" w:hAnsi="仿宋_GB2312" w:eastAsia="仿宋_GB2312" w:cs="仿宋_GB2312"/>
          <w:i w:val="0"/>
          <w:caps w:val="0"/>
          <w:color w:val="auto"/>
          <w:spacing w:val="0"/>
          <w:kern w:val="2"/>
          <w:sz w:val="32"/>
          <w:szCs w:val="32"/>
          <w:highlight w:val="none"/>
          <w:shd w:val="clear" w:color="auto" w:fill="FFFFFF"/>
        </w:rPr>
        <w:t>出台《</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北京市通州区生态环境违法行为举报奖励规定</w:t>
      </w:r>
      <w:r>
        <w:rPr>
          <w:rFonts w:hint="default" w:ascii="仿宋_GB2312" w:hAnsi="仿宋_GB2312" w:eastAsia="仿宋_GB2312" w:cs="仿宋_GB2312"/>
          <w:i w:val="0"/>
          <w:caps w:val="0"/>
          <w:color w:val="auto"/>
          <w:spacing w:val="0"/>
          <w:kern w:val="2"/>
          <w:sz w:val="32"/>
          <w:szCs w:val="32"/>
          <w:highlight w:val="none"/>
          <w:shd w:val="clear" w:color="auto" w:fill="FFFFFF"/>
        </w:rPr>
        <w:t>》</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共二十二条。主要</w:t>
      </w:r>
      <w:r>
        <w:rPr>
          <w:rFonts w:hint="eastAsia" w:ascii="仿宋_GB2312" w:hAnsi="仿宋_GB2312" w:eastAsia="仿宋_GB2312" w:cs="仿宋_GB2312"/>
          <w:i w:val="0"/>
          <w:caps w:val="0"/>
          <w:color w:val="auto"/>
          <w:spacing w:val="0"/>
          <w:kern w:val="2"/>
          <w:sz w:val="32"/>
          <w:szCs w:val="32"/>
          <w:highlight w:val="none"/>
          <w:shd w:val="clear" w:color="auto" w:fill="FFFFFF"/>
        </w:rPr>
        <w:t>内容包括</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举报途径及要求、奖励事项、奖励程序、监督保障、办理流程等，明确了编制目的、依据和适用范围。制定本《规定》主要是鼓励公众积极参与生态环境监督管理，充分发挥公众监督的作用，严厉打击环境违法行为，改善环境质量。针对我区企业违法行为的举报实施奖励。</w:t>
      </w:r>
    </w:p>
    <w:bookmarkEnd w:id="0"/>
    <w:bookmarkEnd w:id="1"/>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r>
        <w:rPr>
          <w:rFonts w:hint="eastAsia" w:ascii="黑体" w:hAnsi="黑体" w:eastAsia="黑体" w:cs="黑体"/>
          <w:bCs/>
          <w:spacing w:val="0"/>
          <w:kern w:val="2"/>
          <w:sz w:val="32"/>
          <w:szCs w:val="32"/>
          <w:lang w:eastAsia="zh-CN"/>
        </w:rPr>
        <w:t>附件</w:t>
      </w:r>
      <w:r>
        <w:rPr>
          <w:rFonts w:hint="eastAsia" w:ascii="黑体" w:hAnsi="黑体" w:eastAsia="黑体" w:cs="黑体"/>
          <w:bCs/>
          <w:spacing w:val="0"/>
          <w:kern w:val="2"/>
          <w:sz w:val="32"/>
          <w:szCs w:val="32"/>
          <w:lang w:val="en-US" w:eastAsia="zh-CN"/>
        </w:rPr>
        <w:t>3</w:t>
      </w:r>
      <w:r>
        <w:rPr>
          <w:rFonts w:hint="eastAsia" w:ascii="黑体" w:hAnsi="黑体" w:eastAsia="黑体" w:cs="黑体"/>
          <w:bCs/>
          <w:spacing w:val="0"/>
          <w:kern w:val="2"/>
          <w:sz w:val="32"/>
          <w:szCs w:val="32"/>
          <w:lang w:eastAsia="zh-CN"/>
        </w:rPr>
        <w:t>：</w:t>
      </w:r>
    </w:p>
    <w:p>
      <w:pPr>
        <w:spacing w:line="600" w:lineRule="exact"/>
        <w:jc w:val="both"/>
        <w:rPr>
          <w:rFonts w:hint="eastAsia" w:ascii="方正小标宋简体" w:hAnsi="宋体" w:eastAsia="方正小标宋简体" w:cs="宋体"/>
          <w:bCs/>
          <w:spacing w:val="0"/>
          <w:kern w:val="2"/>
          <w:sz w:val="44"/>
          <w:szCs w:val="24"/>
        </w:rPr>
      </w:pPr>
    </w:p>
    <w:p>
      <w:pPr>
        <w:spacing w:line="600" w:lineRule="exact"/>
        <w:jc w:val="center"/>
        <w:rPr>
          <w:rFonts w:hint="eastAsia" w:ascii="方正小标宋简体" w:eastAsia="方正小标宋简体"/>
          <w:color w:val="auto"/>
          <w:spacing w:val="0"/>
          <w:kern w:val="2"/>
          <w:sz w:val="44"/>
          <w:szCs w:val="44"/>
          <w:highlight w:val="none"/>
        </w:rPr>
      </w:pPr>
      <w:r>
        <w:rPr>
          <w:rFonts w:hint="eastAsia" w:ascii="方正小标宋简体" w:hAnsi="宋体" w:eastAsia="方正小标宋简体" w:cs="宋体"/>
          <w:bCs/>
          <w:spacing w:val="0"/>
          <w:kern w:val="2"/>
          <w:sz w:val="44"/>
          <w:szCs w:val="24"/>
        </w:rPr>
        <w:t>关于《</w:t>
      </w:r>
      <w:r>
        <w:rPr>
          <w:rFonts w:hint="eastAsia" w:ascii="方正小标宋简体" w:hAnsi="宋体" w:eastAsia="方正小标宋简体" w:cs="宋体"/>
          <w:bCs/>
          <w:spacing w:val="0"/>
          <w:kern w:val="2"/>
          <w:sz w:val="44"/>
          <w:szCs w:val="24"/>
          <w:lang w:val="en-US" w:eastAsia="zh-CN"/>
        </w:rPr>
        <w:t>北京市通州区</w:t>
      </w:r>
      <w:r>
        <w:rPr>
          <w:rFonts w:hint="eastAsia" w:ascii="方正小标宋简体" w:eastAsia="方正小标宋简体"/>
          <w:color w:val="auto"/>
          <w:spacing w:val="0"/>
          <w:kern w:val="2"/>
          <w:sz w:val="44"/>
          <w:szCs w:val="44"/>
          <w:highlight w:val="none"/>
        </w:rPr>
        <w:t>生态环境违法行为</w:t>
      </w:r>
    </w:p>
    <w:p>
      <w:pPr>
        <w:spacing w:line="600" w:lineRule="exact"/>
        <w:jc w:val="center"/>
        <w:rPr>
          <w:rFonts w:ascii="方正小标宋简体" w:hAnsi="宋体" w:eastAsia="方正小标宋简体" w:cs="宋体"/>
          <w:bCs/>
          <w:spacing w:val="0"/>
          <w:kern w:val="2"/>
          <w:sz w:val="44"/>
          <w:szCs w:val="24"/>
        </w:rPr>
      </w:pPr>
      <w:r>
        <w:rPr>
          <w:rFonts w:hint="eastAsia" w:ascii="方正小标宋简体" w:eastAsia="方正小标宋简体"/>
          <w:color w:val="auto"/>
          <w:spacing w:val="0"/>
          <w:kern w:val="2"/>
          <w:sz w:val="44"/>
          <w:szCs w:val="44"/>
          <w:highlight w:val="none"/>
        </w:rPr>
        <w:t>举报奖励规定</w:t>
      </w:r>
      <w:r>
        <w:rPr>
          <w:rFonts w:hint="eastAsia" w:ascii="方正小标宋简体" w:hAnsi="宋体" w:eastAsia="方正小标宋简体" w:cs="宋体"/>
          <w:bCs/>
          <w:spacing w:val="0"/>
          <w:kern w:val="2"/>
          <w:sz w:val="44"/>
          <w:szCs w:val="24"/>
        </w:rPr>
        <w:t>》的制定依据</w:t>
      </w:r>
    </w:p>
    <w:p>
      <w:pPr>
        <w:spacing w:line="600" w:lineRule="exact"/>
        <w:rPr>
          <w:rFonts w:ascii="Calibri" w:hAnsi="Calibri" w:eastAsia="华文中宋"/>
          <w:spacing w:val="0"/>
          <w:kern w:val="2"/>
          <w:sz w:val="30"/>
          <w:szCs w:val="24"/>
        </w:rPr>
      </w:pPr>
      <w:r>
        <w:rPr>
          <w:rFonts w:ascii="Calibri" w:hAnsi="Calibri" w:eastAsia="仿宋_GB2312"/>
          <w:spacing w:val="0"/>
          <w:kern w:val="2"/>
          <w:sz w:val="20"/>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170815</wp:posOffset>
                </wp:positionV>
                <wp:extent cx="5941695" cy="27305"/>
                <wp:effectExtent l="0" t="4445" r="1905" b="6350"/>
                <wp:wrapNone/>
                <wp:docPr id="5" name="直线 4"/>
                <wp:cNvGraphicFramePr/>
                <a:graphic xmlns:a="http://schemas.openxmlformats.org/drawingml/2006/main">
                  <a:graphicData uri="http://schemas.microsoft.com/office/word/2010/wordprocessingShape">
                    <wps:wsp>
                      <wps:cNvCnPr/>
                      <wps:spPr>
                        <a:xfrm flipV="1">
                          <a:off x="0" y="0"/>
                          <a:ext cx="5941695" cy="2730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 o:spid="_x0000_s1026" o:spt="20" style="position:absolute;left:0pt;flip:y;margin-left:0pt;margin-top:13.45pt;height:2.15pt;width:467.85pt;z-index:251660288;mso-width-relative:page;mso-height-relative:page;" filled="f" stroked="t" coordsize="21600,21600" o:gfxdata="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oCSq7TAAAABgEAAA8AAAAAAAAAAQAgAAAA&#10;IgAAAGRycy9kb3ducmV2LnhtbFBLAQIUABQAAAAIAIdO4kBwWAot1wEAAJoDAAAOAAAAAAAAAAEA&#10;IAAAACIBAABkcnMvZTJvRG9jLnhtbFBLBQYAAAAABgAGAFkBAABrBQAAAAA=&#10;">
                <v:fill on="f" focussize="0,0"/>
                <v:stroke color="#000000" joinstyle="round" dashstyle="dash"/>
                <v:imagedata o:title=""/>
                <o:lock v:ext="edit" aspectratio="f"/>
              </v:line>
            </w:pict>
          </mc:Fallback>
        </mc:AlternateContent>
      </w:r>
    </w:p>
    <w:tbl>
      <w:tblPr>
        <w:tblStyle w:val="1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0" w:type="dxa"/>
        </w:tblCellMar>
      </w:tblPr>
      <w:tblGrid>
        <w:gridCol w:w="819"/>
        <w:gridCol w:w="3435"/>
        <w:gridCol w:w="2915"/>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70" w:hRule="atLeast"/>
          <w:jc w:val="center"/>
        </w:trPr>
        <w:tc>
          <w:tcPr>
            <w:tcW w:w="819" w:type="dxa"/>
            <w:vAlign w:val="center"/>
          </w:tcPr>
          <w:p>
            <w:pPr>
              <w:snapToGrid w:val="0"/>
              <w:spacing w:line="600" w:lineRule="exact"/>
              <w:jc w:val="center"/>
              <w:rPr>
                <w:rFonts w:ascii="黑体" w:hAnsi="黑体" w:eastAsia="黑体"/>
                <w:spacing w:val="0"/>
                <w:kern w:val="2"/>
                <w:sz w:val="32"/>
                <w:szCs w:val="32"/>
              </w:rPr>
            </w:pPr>
            <w:r>
              <w:rPr>
                <w:rFonts w:hint="eastAsia" w:ascii="黑体" w:hAnsi="黑体" w:eastAsia="黑体"/>
                <w:spacing w:val="0"/>
                <w:kern w:val="2"/>
                <w:sz w:val="32"/>
                <w:szCs w:val="32"/>
              </w:rPr>
              <w:t>序号</w:t>
            </w:r>
          </w:p>
        </w:tc>
        <w:tc>
          <w:tcPr>
            <w:tcW w:w="3435" w:type="dxa"/>
            <w:vAlign w:val="center"/>
          </w:tcPr>
          <w:p>
            <w:pPr>
              <w:snapToGrid w:val="0"/>
              <w:spacing w:line="600" w:lineRule="exact"/>
              <w:jc w:val="center"/>
              <w:rPr>
                <w:rFonts w:ascii="黑体" w:hAnsi="黑体" w:eastAsia="黑体"/>
                <w:spacing w:val="0"/>
                <w:kern w:val="2"/>
                <w:sz w:val="32"/>
                <w:szCs w:val="32"/>
              </w:rPr>
            </w:pPr>
            <w:r>
              <w:rPr>
                <w:rFonts w:hint="eastAsia" w:ascii="黑体" w:hAnsi="黑体" w:eastAsia="黑体"/>
                <w:spacing w:val="0"/>
                <w:kern w:val="2"/>
                <w:sz w:val="32"/>
                <w:szCs w:val="32"/>
              </w:rPr>
              <w:t>名称（文号）</w:t>
            </w:r>
          </w:p>
        </w:tc>
        <w:tc>
          <w:tcPr>
            <w:tcW w:w="2915" w:type="dxa"/>
            <w:vAlign w:val="center"/>
          </w:tcPr>
          <w:p>
            <w:pPr>
              <w:snapToGrid w:val="0"/>
              <w:spacing w:line="600" w:lineRule="exact"/>
              <w:jc w:val="center"/>
              <w:rPr>
                <w:rFonts w:ascii="黑体" w:hAnsi="黑体" w:eastAsia="黑体"/>
                <w:spacing w:val="0"/>
                <w:kern w:val="2"/>
                <w:sz w:val="32"/>
                <w:szCs w:val="32"/>
              </w:rPr>
            </w:pPr>
            <w:r>
              <w:rPr>
                <w:rFonts w:hint="eastAsia" w:ascii="黑体" w:hAnsi="黑体" w:eastAsia="黑体"/>
                <w:spacing w:val="0"/>
                <w:kern w:val="2"/>
                <w:sz w:val="32"/>
                <w:szCs w:val="32"/>
              </w:rPr>
              <w:t>制定机关</w:t>
            </w:r>
          </w:p>
        </w:tc>
        <w:tc>
          <w:tcPr>
            <w:tcW w:w="2667" w:type="dxa"/>
            <w:vAlign w:val="center"/>
          </w:tcPr>
          <w:p>
            <w:pPr>
              <w:snapToGrid w:val="0"/>
              <w:spacing w:line="600" w:lineRule="exact"/>
              <w:jc w:val="center"/>
              <w:rPr>
                <w:rFonts w:ascii="黑体" w:hAnsi="黑体" w:eastAsia="黑体"/>
                <w:spacing w:val="0"/>
                <w:kern w:val="2"/>
                <w:sz w:val="32"/>
                <w:szCs w:val="32"/>
              </w:rPr>
            </w:pPr>
            <w:r>
              <w:rPr>
                <w:rFonts w:hint="eastAsia" w:ascii="黑体" w:hAnsi="黑体" w:eastAsia="黑体"/>
                <w:spacing w:val="0"/>
                <w:kern w:val="2"/>
                <w:sz w:val="32"/>
                <w:szCs w:val="32"/>
              </w:rPr>
              <w:t>施行日期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998"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1</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rPr>
              <w:t>《中华人民共和国环境保护法》</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生态环境局</w:t>
            </w:r>
            <w:r>
              <w:rPr>
                <w:rFonts w:hint="eastAsia" w:ascii="仿宋_GB2312" w:hAnsi="仿宋_GB2312" w:eastAsia="仿宋_GB2312" w:cs="仿宋_GB2312"/>
                <w:i w:val="0"/>
                <w:caps w:val="0"/>
                <w:color w:val="333333"/>
                <w:spacing w:val="0"/>
                <w:sz w:val="32"/>
                <w:szCs w:val="32"/>
                <w:shd w:val="clear" w:fill="FFFFFF"/>
                <w:lang w:val="en-US" w:eastAsia="zh-CN"/>
              </w:rPr>
              <w:t>部</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2014年04月24日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96"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2</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i w:val="0"/>
                <w:caps w:val="0"/>
                <w:color w:val="auto"/>
                <w:spacing w:val="0"/>
                <w:kern w:val="2"/>
                <w:sz w:val="32"/>
                <w:szCs w:val="32"/>
                <w:highlight w:val="none"/>
                <w:shd w:val="clear" w:color="auto" w:fill="FFFFFF"/>
              </w:rPr>
              <w:t>中华人民共和国大气污染防治法</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生态环境局</w:t>
            </w:r>
            <w:r>
              <w:rPr>
                <w:rFonts w:hint="eastAsia" w:ascii="仿宋_GB2312" w:hAnsi="仿宋_GB2312" w:eastAsia="仿宋_GB2312" w:cs="仿宋_GB2312"/>
                <w:i w:val="0"/>
                <w:caps w:val="0"/>
                <w:color w:val="333333"/>
                <w:spacing w:val="0"/>
                <w:sz w:val="32"/>
                <w:szCs w:val="32"/>
                <w:shd w:val="clear" w:fill="FFFFFF"/>
                <w:lang w:val="en-US" w:eastAsia="zh-CN"/>
              </w:rPr>
              <w:t>部</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2016年</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eastAsia" w:ascii="仿宋_GB2312" w:hAnsi="仿宋_GB2312" w:eastAsia="仿宋_GB2312" w:cs="仿宋_GB2312"/>
                <w:i w:val="0"/>
                <w:caps w:val="0"/>
                <w:color w:val="333333"/>
                <w:spacing w:val="0"/>
                <w:sz w:val="32"/>
                <w:szCs w:val="32"/>
                <w:shd w:val="clear" w:fill="FFFFFF"/>
              </w:rPr>
              <w:t>1月</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eastAsia" w:ascii="仿宋_GB2312" w:hAnsi="仿宋_GB2312" w:eastAsia="仿宋_GB2312" w:cs="仿宋_GB2312"/>
                <w:i w:val="0"/>
                <w:caps w:val="0"/>
                <w:color w:val="333333"/>
                <w:spacing w:val="0"/>
                <w:sz w:val="32"/>
                <w:szCs w:val="32"/>
                <w:shd w:val="clear" w:fill="FFFFFF"/>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843"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3</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《中华人民共和国</w:t>
            </w: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水</w:t>
            </w:r>
            <w:r>
              <w:rPr>
                <w:rFonts w:hint="eastAsia" w:ascii="仿宋_GB2312" w:hAnsi="仿宋_GB2312" w:eastAsia="仿宋_GB2312" w:cs="仿宋_GB2312"/>
                <w:i w:val="0"/>
                <w:caps w:val="0"/>
                <w:color w:val="auto"/>
                <w:spacing w:val="0"/>
                <w:kern w:val="2"/>
                <w:sz w:val="32"/>
                <w:szCs w:val="32"/>
                <w:highlight w:val="none"/>
                <w:shd w:val="clear" w:color="auto" w:fill="FFFFFF"/>
              </w:rPr>
              <w:t>污染防治法》</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eastAsia="zh-CN"/>
              </w:rPr>
            </w:pPr>
            <w:r>
              <w:rPr>
                <w:rFonts w:hint="eastAsia" w:ascii="仿宋_GB2312" w:hAnsi="仿宋_GB2312" w:eastAsia="仿宋_GB2312" w:cs="仿宋_GB2312"/>
                <w:i w:val="0"/>
                <w:caps w:val="0"/>
                <w:color w:val="333333"/>
                <w:spacing w:val="0"/>
                <w:sz w:val="32"/>
                <w:szCs w:val="32"/>
                <w:shd w:val="clear" w:fill="FFFFFF"/>
              </w:rPr>
              <w:t>生态环境局</w:t>
            </w:r>
            <w:r>
              <w:rPr>
                <w:rFonts w:hint="eastAsia" w:ascii="仿宋_GB2312" w:hAnsi="仿宋_GB2312" w:eastAsia="仿宋_GB2312" w:cs="仿宋_GB2312"/>
                <w:i w:val="0"/>
                <w:caps w:val="0"/>
                <w:color w:val="333333"/>
                <w:spacing w:val="0"/>
                <w:sz w:val="32"/>
                <w:szCs w:val="32"/>
                <w:shd w:val="clear" w:fill="FFFFFF"/>
                <w:lang w:val="en-US" w:eastAsia="zh-CN"/>
              </w:rPr>
              <w:t>部</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2017年</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eastAsia" w:ascii="仿宋_GB2312" w:hAnsi="仿宋_GB2312" w:eastAsia="仿宋_GB2312" w:cs="仿宋_GB2312"/>
                <w:i w:val="0"/>
                <w:caps w:val="0"/>
                <w:color w:val="333333"/>
                <w:spacing w:val="0"/>
                <w:sz w:val="32"/>
                <w:szCs w:val="32"/>
                <w:shd w:val="clear" w:fill="FFFFFF"/>
              </w:rPr>
              <w:t>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063"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4</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rPr>
              <w:t>《中华人民共和国土壤污染防治法》</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eastAsia="zh-CN"/>
              </w:rPr>
            </w:pPr>
            <w:r>
              <w:rPr>
                <w:rFonts w:hint="eastAsia" w:ascii="仿宋_GB2312" w:hAnsi="仿宋_GB2312" w:eastAsia="仿宋_GB2312" w:cs="仿宋_GB2312"/>
                <w:i w:val="0"/>
                <w:caps w:val="0"/>
                <w:color w:val="333333"/>
                <w:spacing w:val="0"/>
                <w:sz w:val="32"/>
                <w:szCs w:val="32"/>
                <w:shd w:val="clear" w:fill="FFFFFF"/>
              </w:rPr>
              <w:t>生态环境局</w:t>
            </w:r>
            <w:r>
              <w:rPr>
                <w:rFonts w:hint="eastAsia" w:ascii="仿宋_GB2312" w:hAnsi="仿宋_GB2312" w:eastAsia="仿宋_GB2312" w:cs="仿宋_GB2312"/>
                <w:i w:val="0"/>
                <w:caps w:val="0"/>
                <w:color w:val="333333"/>
                <w:spacing w:val="0"/>
                <w:sz w:val="32"/>
                <w:szCs w:val="32"/>
                <w:shd w:val="clear" w:fill="FFFFFF"/>
                <w:lang w:val="en-US" w:eastAsia="zh-CN"/>
              </w:rPr>
              <w:t>部</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2019年</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eastAsia" w:ascii="仿宋_GB2312" w:hAnsi="仿宋_GB2312" w:eastAsia="仿宋_GB2312" w:cs="仿宋_GB2312"/>
                <w:i w:val="0"/>
                <w:caps w:val="0"/>
                <w:color w:val="333333"/>
                <w:spacing w:val="0"/>
                <w:sz w:val="32"/>
                <w:szCs w:val="32"/>
                <w:shd w:val="clear" w:fill="FFFFFF"/>
              </w:rPr>
              <w:t>1月</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eastAsia" w:ascii="仿宋_GB2312" w:hAnsi="仿宋_GB2312" w:eastAsia="仿宋_GB2312" w:cs="仿宋_GB2312"/>
                <w:i w:val="0"/>
                <w:caps w:val="0"/>
                <w:color w:val="333333"/>
                <w:spacing w:val="0"/>
                <w:sz w:val="32"/>
                <w:szCs w:val="32"/>
                <w:shd w:val="clear" w:fill="FFFFFF"/>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144"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5</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《中华人民共和国固体废物污染环境防治法》</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eastAsia="zh-CN"/>
              </w:rPr>
            </w:pPr>
            <w:r>
              <w:rPr>
                <w:rFonts w:hint="eastAsia" w:ascii="仿宋_GB2312" w:hAnsi="仿宋_GB2312" w:eastAsia="仿宋_GB2312" w:cs="仿宋_GB2312"/>
                <w:i w:val="0"/>
                <w:caps w:val="0"/>
                <w:color w:val="333333"/>
                <w:spacing w:val="0"/>
                <w:sz w:val="32"/>
                <w:szCs w:val="32"/>
                <w:shd w:val="clear" w:fill="FFFFFF"/>
              </w:rPr>
              <w:t>生态环境局</w:t>
            </w:r>
            <w:r>
              <w:rPr>
                <w:rFonts w:hint="eastAsia" w:ascii="仿宋_GB2312" w:hAnsi="仿宋_GB2312" w:eastAsia="仿宋_GB2312" w:cs="仿宋_GB2312"/>
                <w:i w:val="0"/>
                <w:caps w:val="0"/>
                <w:color w:val="333333"/>
                <w:spacing w:val="0"/>
                <w:sz w:val="32"/>
                <w:szCs w:val="32"/>
                <w:shd w:val="clear" w:fill="FFFFFF"/>
                <w:lang w:val="en-US" w:eastAsia="zh-CN"/>
              </w:rPr>
              <w:t>部</w:t>
            </w:r>
          </w:p>
        </w:tc>
        <w:tc>
          <w:tcPr>
            <w:tcW w:w="2667" w:type="dxa"/>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exact"/>
              <w:ind w:left="0" w:right="0" w:firstLine="0"/>
              <w:jc w:val="center"/>
              <w:textAlignment w:val="auto"/>
              <w:rPr>
                <w:rFonts w:hint="eastAsia" w:ascii="仿宋_GB2312" w:hAnsi="仿宋_GB2312" w:eastAsia="仿宋_GB2312" w:cs="仿宋_GB2312"/>
                <w:b w:val="0"/>
                <w:bCs w:val="0"/>
                <w:i w:val="0"/>
                <w:caps w:val="0"/>
                <w:color w:val="333333"/>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exact"/>
              <w:ind w:left="0" w:right="0" w:firstLine="0"/>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b w:val="0"/>
                <w:bCs w:val="0"/>
                <w:i w:val="0"/>
                <w:caps w:val="0"/>
                <w:color w:val="333333"/>
                <w:spacing w:val="0"/>
                <w:kern w:val="2"/>
                <w:sz w:val="32"/>
                <w:szCs w:val="32"/>
                <w:shd w:val="clear" w:fill="FFFFFF"/>
                <w:lang w:val="en-US" w:eastAsia="zh-CN" w:bidi="ar-SA"/>
              </w:rPr>
              <w:t>2016年11月07日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080"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6</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《北京市大气污染防治条例》</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eastAsia="zh-CN"/>
              </w:rPr>
            </w:pPr>
            <w:r>
              <w:rPr>
                <w:rFonts w:hint="eastAsia" w:ascii="仿宋_GB2312" w:hAnsi="仿宋_GB2312" w:eastAsia="仿宋_GB2312" w:cs="仿宋_GB2312"/>
                <w:i w:val="0"/>
                <w:caps w:val="0"/>
                <w:color w:val="333333"/>
                <w:spacing w:val="0"/>
                <w:sz w:val="32"/>
                <w:szCs w:val="32"/>
                <w:shd w:val="clear" w:fill="FFFFFF"/>
              </w:rPr>
              <w:t>北京市生态环境局</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2018年03月30日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523"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7</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r>
              <w:rPr>
                <w:rFonts w:hint="eastAsia" w:ascii="仿宋_GB2312" w:hAnsi="仿宋_GB2312" w:eastAsia="仿宋_GB2312" w:cs="仿宋_GB2312"/>
                <w:color w:val="auto"/>
                <w:spacing w:val="0"/>
                <w:kern w:val="2"/>
                <w:sz w:val="32"/>
                <w:szCs w:val="32"/>
                <w:highlight w:val="none"/>
                <w:shd w:val="clear" w:color="auto" w:fill="FFFFFF"/>
              </w:rPr>
              <w:t>北京市机动车和非道路移动机械排放污染</w:t>
            </w:r>
          </w:p>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color w:val="auto"/>
                <w:spacing w:val="0"/>
                <w:kern w:val="2"/>
                <w:sz w:val="32"/>
                <w:szCs w:val="32"/>
                <w:highlight w:val="none"/>
                <w:shd w:val="clear" w:color="auto" w:fill="FFFFFF"/>
              </w:rPr>
              <w:t>防治条例</w:t>
            </w:r>
            <w:r>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t>》</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eastAsia="zh-CN"/>
              </w:rPr>
            </w:pPr>
            <w:r>
              <w:rPr>
                <w:rFonts w:hint="eastAsia" w:ascii="仿宋_GB2312" w:hAnsi="仿宋_GB2312" w:eastAsia="仿宋_GB2312" w:cs="仿宋_GB2312"/>
                <w:i w:val="0"/>
                <w:caps w:val="0"/>
                <w:color w:val="333333"/>
                <w:spacing w:val="0"/>
                <w:sz w:val="32"/>
                <w:szCs w:val="32"/>
                <w:shd w:val="clear" w:fill="FFFFFF"/>
              </w:rPr>
              <w:t>北京市生态环境局</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i w:val="0"/>
                <w:caps w:val="0"/>
                <w:color w:val="333333"/>
                <w:spacing w:val="0"/>
                <w:sz w:val="32"/>
                <w:szCs w:val="32"/>
                <w:shd w:val="clear" w:fill="FFFFFF"/>
              </w:rPr>
              <w:t>2020年01月17日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1346" w:hRule="atLeast"/>
          <w:jc w:val="center"/>
        </w:trPr>
        <w:tc>
          <w:tcPr>
            <w:tcW w:w="819"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8</w:t>
            </w:r>
          </w:p>
        </w:tc>
        <w:tc>
          <w:tcPr>
            <w:tcW w:w="343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《北京市生态环境局生态环境违法行为举报</w:t>
            </w:r>
          </w:p>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auto"/>
                <w:spacing w:val="0"/>
                <w:kern w:val="2"/>
                <w:sz w:val="32"/>
                <w:szCs w:val="32"/>
                <w:highlight w:val="none"/>
                <w:shd w:val="clear" w:color="auto" w:fill="FFFFFF"/>
              </w:rPr>
            </w:pPr>
            <w:r>
              <w:rPr>
                <w:rFonts w:hint="eastAsia" w:ascii="仿宋_GB2312" w:hAnsi="仿宋_GB2312" w:eastAsia="仿宋_GB2312" w:cs="仿宋_GB2312"/>
                <w:i w:val="0"/>
                <w:caps w:val="0"/>
                <w:color w:val="auto"/>
                <w:spacing w:val="0"/>
                <w:kern w:val="2"/>
                <w:sz w:val="32"/>
                <w:szCs w:val="32"/>
                <w:highlight w:val="none"/>
                <w:shd w:val="clear" w:color="auto" w:fill="FFFFFF"/>
              </w:rPr>
              <w:t>奖励规定》</w:t>
            </w:r>
          </w:p>
        </w:tc>
        <w:tc>
          <w:tcPr>
            <w:tcW w:w="2915"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北京市生态环境局</w:t>
            </w:r>
          </w:p>
        </w:tc>
        <w:tc>
          <w:tcPr>
            <w:tcW w:w="2667" w:type="dxa"/>
            <w:vAlign w:val="center"/>
          </w:tcPr>
          <w:p>
            <w:pPr>
              <w:keepNext w:val="0"/>
              <w:keepLines w:val="0"/>
              <w:pageBreakBefore w:val="0"/>
              <w:kinsoku/>
              <w:wordWrap/>
              <w:overflowPunct/>
              <w:topLinePunct w:val="0"/>
              <w:autoSpaceDE/>
              <w:autoSpaceDN/>
              <w:bidi w:val="0"/>
              <w:snapToGrid w:val="0"/>
              <w:spacing w:line="360" w:lineRule="exact"/>
              <w:jc w:val="center"/>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2021年11月03日</w:t>
            </w:r>
          </w:p>
        </w:tc>
      </w:tr>
    </w:tbl>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kinsoku/>
        <w:wordWrap/>
        <w:overflowPunct/>
        <w:autoSpaceDE/>
        <w:autoSpaceDN/>
        <w:bidi w:val="0"/>
        <w:spacing w:line="560" w:lineRule="exact"/>
        <w:jc w:val="left"/>
        <w:textAlignment w:val="auto"/>
        <w:rPr>
          <w:rFonts w:hint="eastAsia" w:ascii="黑体" w:hAnsi="黑体" w:eastAsia="黑体" w:cs="黑体"/>
          <w:bCs/>
          <w:spacing w:val="0"/>
          <w:kern w:val="2"/>
          <w:sz w:val="32"/>
          <w:szCs w:val="32"/>
          <w:lang w:eastAsia="zh-CN"/>
        </w:rPr>
      </w:pPr>
      <w:r>
        <w:rPr>
          <w:rFonts w:hint="eastAsia" w:ascii="黑体" w:hAnsi="黑体" w:eastAsia="黑体" w:cs="黑体"/>
          <w:bCs/>
          <w:spacing w:val="0"/>
          <w:kern w:val="2"/>
          <w:sz w:val="32"/>
          <w:szCs w:val="32"/>
          <w:lang w:eastAsia="zh-CN"/>
        </w:rPr>
        <w:t>附件</w:t>
      </w:r>
      <w:r>
        <w:rPr>
          <w:rFonts w:hint="eastAsia" w:ascii="黑体" w:hAnsi="黑体" w:eastAsia="黑体" w:cs="黑体"/>
          <w:bCs/>
          <w:spacing w:val="0"/>
          <w:kern w:val="2"/>
          <w:sz w:val="32"/>
          <w:szCs w:val="32"/>
          <w:lang w:val="en-US" w:eastAsia="zh-CN"/>
        </w:rPr>
        <w:t>4</w:t>
      </w:r>
      <w:r>
        <w:rPr>
          <w:rFonts w:hint="eastAsia" w:ascii="黑体" w:hAnsi="黑体" w:eastAsia="黑体" w:cs="黑体"/>
          <w:bCs/>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bCs/>
          <w:spacing w:val="0"/>
          <w:kern w:val="2"/>
          <w:sz w:val="44"/>
          <w:szCs w:val="44"/>
        </w:rPr>
      </w:pPr>
    </w:p>
    <w:p>
      <w:pPr>
        <w:spacing w:line="600" w:lineRule="exact"/>
        <w:jc w:val="center"/>
        <w:rPr>
          <w:rFonts w:hint="eastAsia" w:ascii="方正小标宋简体" w:hAnsi="宋体" w:eastAsia="方正小标宋简体" w:cs="宋体"/>
          <w:bCs/>
          <w:spacing w:val="0"/>
          <w:kern w:val="2"/>
          <w:sz w:val="44"/>
          <w:szCs w:val="24"/>
        </w:rPr>
      </w:pPr>
      <w:r>
        <w:rPr>
          <w:rFonts w:hint="eastAsia" w:ascii="方正小标宋简体" w:hAnsi="宋体" w:eastAsia="方正小标宋简体" w:cs="宋体"/>
          <w:bCs/>
          <w:spacing w:val="0"/>
          <w:kern w:val="2"/>
          <w:sz w:val="44"/>
          <w:szCs w:val="24"/>
        </w:rPr>
        <w:t>《</w:t>
      </w:r>
      <w:r>
        <w:rPr>
          <w:rFonts w:hint="eastAsia" w:ascii="方正小标宋简体" w:hAnsi="宋体" w:eastAsia="方正小标宋简体" w:cs="宋体"/>
          <w:bCs/>
          <w:spacing w:val="0"/>
          <w:kern w:val="2"/>
          <w:sz w:val="44"/>
          <w:szCs w:val="24"/>
          <w:lang w:val="en-US" w:eastAsia="zh-CN"/>
        </w:rPr>
        <w:t>北京市通州区</w:t>
      </w:r>
      <w:r>
        <w:rPr>
          <w:rFonts w:hint="eastAsia" w:ascii="方正小标宋简体" w:hAnsi="宋体" w:eastAsia="方正小标宋简体" w:cs="宋体"/>
          <w:bCs/>
          <w:spacing w:val="0"/>
          <w:kern w:val="2"/>
          <w:sz w:val="44"/>
          <w:szCs w:val="24"/>
        </w:rPr>
        <w:t>生态环境违法行为</w:t>
      </w:r>
    </w:p>
    <w:p>
      <w:pPr>
        <w:spacing w:line="600" w:lineRule="exact"/>
        <w:jc w:val="center"/>
        <w:rPr>
          <w:rFonts w:hint="eastAsia" w:ascii="方正小标宋简体" w:hAnsi="宋体" w:eastAsia="方正小标宋简体" w:cs="宋体"/>
          <w:bCs/>
          <w:spacing w:val="0"/>
          <w:kern w:val="2"/>
          <w:sz w:val="44"/>
          <w:szCs w:val="24"/>
        </w:rPr>
      </w:pPr>
      <w:r>
        <w:rPr>
          <w:rFonts w:hint="eastAsia" w:ascii="方正小标宋简体" w:hAnsi="宋体" w:eastAsia="方正小标宋简体" w:cs="宋体"/>
          <w:bCs/>
          <w:spacing w:val="0"/>
          <w:kern w:val="2"/>
          <w:sz w:val="44"/>
          <w:szCs w:val="24"/>
        </w:rPr>
        <w:t>举报奖励规定》征求意见汇总说明</w:t>
      </w:r>
    </w:p>
    <w:p>
      <w:pPr>
        <w:keepNext w:val="0"/>
        <w:keepLines w:val="0"/>
        <w:pageBreakBefore w:val="0"/>
        <w:kinsoku/>
        <w:wordWrap/>
        <w:overflowPunct/>
        <w:autoSpaceDE/>
        <w:autoSpaceDN/>
        <w:bidi w:val="0"/>
        <w:spacing w:line="560" w:lineRule="exact"/>
        <w:ind w:left="2204" w:leftChars="945" w:hanging="220" w:hangingChars="50"/>
        <w:textAlignment w:val="auto"/>
        <w:rPr>
          <w:rFonts w:ascii="黑体" w:hAnsi="黑体" w:eastAsia="黑体"/>
          <w:spacing w:val="0"/>
          <w:kern w:val="2"/>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 xml:space="preserve">为鼓励公众积极参与生态环境保护工作，加强对生态环境违法行为的社会监督，严厉打击生态环境违法行为，依据《中华人民共和国环境保护法》《中华人民共和国大气污染防治法》《中华人民共和国水污染防治法》《中华人民共和国土壤污染防治法》《中华人民共和国固体废物污染环境防治法》《放射性废物安全管理条例》《消耗臭氧层物质管理条例》《北京市大气污染防治条例》《北京市水污染防治条例》《北京市机动车和非道路移动机械排放污染防治条例》《污染源自动监控设施现场监督检查办法》等法律法规，结合通州区实际，特制定《北京市通州区生态环境违法行为举报奖励规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8月5日，我局通过通州区政务办公平台向31家单位征求意见，分别为：区司法局、区财政局、市规自委通州分局、区住建委、区城管委、区市场监督局、区水务局、区农业农村局、区公安分局环食药支队和22个街道乡镇，均为无具体意见和建议。8月9日，倪德才副区长主持召开区政府专题会，研究讨论《北京市通州区生态环境违法行为举报奖励规定（草拟稿）》。会后，我局认真落实主管区长要求和其他相关单位意见，进行了充分讨论、研究并修改，形成《北京市通州区生态环境违法行为举报奖励规定（征求意见稿）》。2022年8月22日，我局通过通州区政务办公平台再次向第一轮相关单位征求意见，区财政局提出3条意见和建议，其中已采纳并修改2条，未采纳1条，为“因该举报奖励规定为面向社会公众发布，而第六章办理流程为政府部门内部操作流程，可以以附件形式呈现。第二章举报途径及要求，第六条举报人应提供的举报信息，也建议可以以附件形式附在正文后面。”未采纳原因为：所有操作流程和举报信息应在正文中相应环节写明，而非以附件形式呈现。其他单位均为无具体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华文仿宋" w:eastAsia="仿宋_GB2312" w:cs="仿宋_GB2312"/>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华文仿宋" w:eastAsia="仿宋_GB2312" w:cs="仿宋_GB2312"/>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华文仿宋" w:eastAsia="仿宋_GB2312" w:cs="仿宋_GB2312"/>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华文仿宋" w:eastAsia="仿宋_GB2312" w:cs="仿宋_GB2312"/>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Cs/>
          <w:spacing w:val="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spacing w:val="0"/>
          <w:kern w:val="2"/>
        </w:rPr>
      </w:pPr>
      <w:r>
        <w:rPr>
          <w:rFonts w:hint="eastAsia" w:ascii="黑体" w:hAnsi="黑体" w:eastAsia="黑体" w:cs="黑体"/>
          <w:bCs/>
          <w:spacing w:val="0"/>
          <w:kern w:val="2"/>
          <w:sz w:val="32"/>
          <w:szCs w:val="32"/>
          <w:lang w:eastAsia="zh-CN"/>
        </w:rPr>
        <w:t>附件</w:t>
      </w:r>
      <w:r>
        <w:rPr>
          <w:rFonts w:hint="eastAsia" w:ascii="黑体" w:hAnsi="黑体" w:eastAsia="黑体" w:cs="黑体"/>
          <w:bCs/>
          <w:spacing w:val="0"/>
          <w:kern w:val="2"/>
          <w:sz w:val="32"/>
          <w:szCs w:val="32"/>
          <w:lang w:val="en-US" w:eastAsia="zh-CN"/>
        </w:rPr>
        <w:t>5</w:t>
      </w:r>
      <w:r>
        <w:rPr>
          <w:rFonts w:hint="eastAsia" w:ascii="黑体" w:hAnsi="黑体" w:eastAsia="黑体" w:cs="黑体"/>
          <w:bCs/>
          <w:spacing w:val="0"/>
          <w:kern w:val="2"/>
          <w:sz w:val="32"/>
          <w:szCs w:val="32"/>
          <w:lang w:eastAsia="zh-CN"/>
        </w:rPr>
        <w:t>：</w:t>
      </w:r>
    </w:p>
    <w:p>
      <w:pPr>
        <w:jc w:val="center"/>
        <w:rPr>
          <w:rFonts w:ascii="方正小标宋简体" w:hAnsi="方正小标宋简体" w:eastAsia="方正小标宋简体" w:cs="方正小标宋简体"/>
          <w:spacing w:val="0"/>
          <w:kern w:val="2"/>
          <w:sz w:val="44"/>
          <w:szCs w:val="44"/>
        </w:rPr>
      </w:pPr>
      <w:r>
        <w:rPr>
          <w:rFonts w:hint="eastAsia" w:ascii="方正小标宋简体" w:hAnsi="方正小标宋简体" w:eastAsia="方正小标宋简体" w:cs="方正小标宋简体"/>
          <w:spacing w:val="0"/>
          <w:kern w:val="2"/>
          <w:sz w:val="44"/>
          <w:szCs w:val="44"/>
        </w:rPr>
        <w:t>合法性审查清单</w:t>
      </w:r>
    </w:p>
    <w:p>
      <w:pPr>
        <w:jc w:val="left"/>
        <w:rPr>
          <w:rFonts w:ascii="黑体" w:hAnsi="黑体" w:eastAsia="黑体" w:cs="黑体"/>
          <w:spacing w:val="0"/>
          <w:kern w:val="2"/>
          <w:sz w:val="30"/>
          <w:szCs w:val="30"/>
        </w:rPr>
      </w:pPr>
      <w:r>
        <w:rPr>
          <w:rFonts w:hint="eastAsia" w:ascii="黑体" w:hAnsi="黑体" w:eastAsia="黑体" w:cs="黑体"/>
          <w:spacing w:val="0"/>
          <w:kern w:val="2"/>
          <w:sz w:val="30"/>
          <w:szCs w:val="30"/>
        </w:rPr>
        <w:t>承办单位：</w:t>
      </w:r>
      <w:r>
        <w:rPr>
          <w:rFonts w:hint="eastAsia" w:ascii="黑体" w:hAnsi="黑体" w:eastAsia="黑体" w:cs="黑体"/>
          <w:spacing w:val="0"/>
          <w:kern w:val="2"/>
          <w:sz w:val="30"/>
          <w:szCs w:val="30"/>
          <w:lang w:val="en-US" w:eastAsia="zh-CN"/>
        </w:rPr>
        <w:t>北京市</w:t>
      </w:r>
      <w:r>
        <w:rPr>
          <w:rFonts w:hint="eastAsia" w:ascii="黑体" w:hAnsi="黑体" w:eastAsia="黑体" w:cs="黑体"/>
          <w:spacing w:val="0"/>
          <w:kern w:val="2"/>
          <w:sz w:val="30"/>
          <w:szCs w:val="30"/>
        </w:rPr>
        <w:t>通州区生态环境局</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532"/>
        <w:gridCol w:w="953"/>
        <w:gridCol w:w="1785"/>
        <w:gridCol w:w="1425"/>
        <w:gridCol w:w="1282"/>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决策事项名称</w:t>
            </w:r>
          </w:p>
        </w:tc>
        <w:tc>
          <w:tcPr>
            <w:tcW w:w="6968" w:type="dxa"/>
            <w:gridSpan w:val="6"/>
            <w:vAlign w:val="center"/>
          </w:tcPr>
          <w:p>
            <w:pPr>
              <w:spacing w:line="500" w:lineRule="exact"/>
              <w:jc w:val="center"/>
              <w:rPr>
                <w:rFonts w:ascii="仿宋" w:hAnsi="仿宋" w:eastAsia="仿宋" w:cs="仿宋"/>
                <w:spacing w:val="0"/>
                <w:kern w:val="2"/>
                <w:sz w:val="30"/>
                <w:szCs w:val="30"/>
              </w:rPr>
            </w:pPr>
            <w:r>
              <w:rPr>
                <w:rFonts w:hint="eastAsia" w:ascii="仿宋_GB2312" w:hAnsi="仿宋_GB2312" w:eastAsia="仿宋_GB2312" w:cs="仿宋_GB2312"/>
                <w:i w:val="0"/>
                <w:caps w:val="0"/>
                <w:color w:val="auto"/>
                <w:spacing w:val="0"/>
                <w:kern w:val="2"/>
                <w:sz w:val="32"/>
                <w:szCs w:val="32"/>
                <w:highlight w:val="none"/>
                <w:shd w:val="clear" w:color="auto" w:fill="FFFFFF"/>
                <w:lang w:val="en-US" w:eastAsia="zh-CN"/>
              </w:rPr>
              <w:t>北京市通州区生态环境违法行为举报奖励规定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性质</w:t>
            </w:r>
          </w:p>
        </w:tc>
        <w:tc>
          <w:tcPr>
            <w:tcW w:w="6968" w:type="dxa"/>
            <w:gridSpan w:val="6"/>
          </w:tcPr>
          <w:p>
            <w:pPr>
              <w:widowControl/>
              <w:shd w:val="clear" w:color="auto" w:fill="FFFFFF"/>
              <w:spacing w:line="500" w:lineRule="exact"/>
              <w:jc w:val="lef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lang w:eastAsia="zh-CN"/>
                <w14:textFill>
                  <w14:solidFill>
                    <w14:schemeClr w14:val="tx1"/>
                  </w14:solidFill>
                </w14:textFill>
              </w:rPr>
              <w:sym w:font="Wingdings 2" w:char="0052"/>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拟提交</w:t>
            </w:r>
            <w:r>
              <w:rPr>
                <w:rFonts w:hint="eastAsia" w:ascii="仿宋" w:hAnsi="仿宋" w:eastAsia="仿宋" w:cs="仿宋"/>
                <w:color w:val="000000" w:themeColor="text1"/>
                <w:spacing w:val="0"/>
                <w:kern w:val="2"/>
                <w:sz w:val="30"/>
                <w:szCs w:val="30"/>
                <w:shd w:val="clear" w:color="auto" w:fill="FFFFFF"/>
                <w:lang w:val="en-US" w:eastAsia="zh-CN"/>
                <w14:textFill>
                  <w14:solidFill>
                    <w14:schemeClr w14:val="tx1"/>
                  </w14:solidFill>
                </w14:textFill>
              </w:rPr>
              <w:t>区</w:t>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政府</w:t>
            </w:r>
            <w:r>
              <w:rPr>
                <w:rFonts w:hint="eastAsia" w:ascii="仿宋" w:hAnsi="仿宋" w:eastAsia="仿宋" w:cs="仿宋"/>
                <w:color w:val="000000" w:themeColor="text1"/>
                <w:spacing w:val="0"/>
                <w:kern w:val="2"/>
                <w:sz w:val="30"/>
                <w:szCs w:val="30"/>
                <w:shd w:val="clear" w:color="auto" w:fill="FFFFFF"/>
                <w:lang w:val="en-US" w:eastAsia="zh-CN"/>
                <w14:textFill>
                  <w14:solidFill>
                    <w14:schemeClr w14:val="tx1"/>
                  </w14:solidFill>
                </w14:textFill>
              </w:rPr>
              <w:t>专题</w:t>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会审议的规范性文件</w:t>
            </w:r>
          </w:p>
          <w:p>
            <w:pPr>
              <w:widowControl/>
              <w:shd w:val="clear" w:color="auto" w:fill="FFFFFF"/>
              <w:spacing w:line="500" w:lineRule="exact"/>
              <w:jc w:val="lef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拟提交</w:t>
            </w:r>
            <w:r>
              <w:rPr>
                <w:rFonts w:hint="eastAsia" w:ascii="仿宋" w:hAnsi="仿宋" w:eastAsia="仿宋" w:cs="仿宋"/>
                <w:color w:val="000000" w:themeColor="text1"/>
                <w:spacing w:val="0"/>
                <w:kern w:val="2"/>
                <w:sz w:val="30"/>
                <w:szCs w:val="30"/>
                <w:shd w:val="clear" w:color="auto" w:fill="FFFFFF"/>
                <w:lang w:val="en-US" w:eastAsia="zh-CN"/>
                <w14:textFill>
                  <w14:solidFill>
                    <w14:schemeClr w14:val="tx1"/>
                  </w14:solidFill>
                </w14:textFill>
              </w:rPr>
              <w:t>区</w:t>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政府常务会审议的重大决策</w:t>
            </w:r>
          </w:p>
          <w:p>
            <w:pPr>
              <w:widowControl/>
              <w:shd w:val="clear" w:color="auto" w:fill="FFFFFF"/>
              <w:spacing w:line="500" w:lineRule="exact"/>
              <w:jc w:val="lef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□涉及区政府常务会审议的方案、请示等决策事项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发文主体</w:t>
            </w:r>
          </w:p>
        </w:tc>
        <w:tc>
          <w:tcPr>
            <w:tcW w:w="6968" w:type="dxa"/>
            <w:gridSpan w:val="6"/>
          </w:tcPr>
          <w:p>
            <w:pPr>
              <w:widowControl/>
              <w:shd w:val="clear" w:color="auto" w:fill="FFFFFF"/>
              <w:spacing w:line="500" w:lineRule="exact"/>
              <w:jc w:val="lef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 xml:space="preserve">□区政府  </w:t>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sym w:font="Wingdings 2" w:char="0052"/>
            </w: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区政府办  □本单位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vMerge w:val="restart"/>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联系人及联系方式</w:t>
            </w:r>
          </w:p>
        </w:tc>
        <w:tc>
          <w:tcPr>
            <w:tcW w:w="1485" w:type="dxa"/>
            <w:gridSpan w:val="2"/>
          </w:tcPr>
          <w:p>
            <w:pPr>
              <w:spacing w:line="500" w:lineRule="exact"/>
              <w:rPr>
                <w:rFonts w:ascii="仿宋" w:hAnsi="仿宋" w:eastAsia="仿宋" w:cs="仿宋"/>
                <w:spacing w:val="0"/>
                <w:kern w:val="2"/>
                <w:sz w:val="30"/>
                <w:szCs w:val="30"/>
              </w:rPr>
            </w:pPr>
            <w:r>
              <w:rPr>
                <w:rFonts w:hint="eastAsia" w:ascii="仿宋" w:hAnsi="仿宋" w:eastAsia="仿宋" w:cs="仿宋"/>
                <w:spacing w:val="0"/>
                <w:kern w:val="2"/>
                <w:sz w:val="30"/>
                <w:szCs w:val="30"/>
              </w:rPr>
              <w:t>法制部门</w:t>
            </w:r>
          </w:p>
        </w:tc>
        <w:tc>
          <w:tcPr>
            <w:tcW w:w="1785" w:type="dxa"/>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邹新宇</w:t>
            </w:r>
          </w:p>
        </w:tc>
        <w:tc>
          <w:tcPr>
            <w:tcW w:w="1425" w:type="dxa"/>
          </w:tcPr>
          <w:p>
            <w:pPr>
              <w:spacing w:line="500" w:lineRule="exact"/>
              <w:rPr>
                <w:rFonts w:ascii="仿宋" w:hAnsi="仿宋" w:eastAsia="仿宋" w:cs="仿宋"/>
                <w:spacing w:val="0"/>
                <w:kern w:val="2"/>
                <w:sz w:val="30"/>
                <w:szCs w:val="30"/>
              </w:rPr>
            </w:pPr>
            <w:r>
              <w:rPr>
                <w:rFonts w:hint="eastAsia" w:ascii="仿宋" w:hAnsi="仿宋" w:eastAsia="仿宋" w:cs="仿宋"/>
                <w:spacing w:val="0"/>
                <w:kern w:val="2"/>
                <w:sz w:val="30"/>
                <w:szCs w:val="30"/>
              </w:rPr>
              <w:t>联系电话</w:t>
            </w:r>
          </w:p>
        </w:tc>
        <w:tc>
          <w:tcPr>
            <w:tcW w:w="2273" w:type="dxa"/>
            <w:gridSpan w:val="2"/>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18516808286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4" w:type="dxa"/>
            <w:vMerge w:val="continue"/>
          </w:tcPr>
          <w:p>
            <w:pPr>
              <w:spacing w:line="500" w:lineRule="exact"/>
              <w:jc w:val="center"/>
              <w:rPr>
                <w:rFonts w:ascii="仿宋" w:hAnsi="仿宋" w:eastAsia="仿宋" w:cs="仿宋"/>
                <w:spacing w:val="0"/>
                <w:kern w:val="2"/>
                <w:sz w:val="30"/>
                <w:szCs w:val="30"/>
              </w:rPr>
            </w:pPr>
          </w:p>
        </w:tc>
        <w:tc>
          <w:tcPr>
            <w:tcW w:w="1485" w:type="dxa"/>
            <w:gridSpan w:val="2"/>
          </w:tcPr>
          <w:p>
            <w:pPr>
              <w:spacing w:line="500" w:lineRule="exact"/>
              <w:rPr>
                <w:rFonts w:ascii="仿宋" w:hAnsi="仿宋" w:eastAsia="仿宋" w:cs="仿宋"/>
                <w:spacing w:val="0"/>
                <w:kern w:val="2"/>
                <w:sz w:val="30"/>
                <w:szCs w:val="30"/>
              </w:rPr>
            </w:pPr>
            <w:r>
              <w:rPr>
                <w:rFonts w:hint="eastAsia" w:ascii="仿宋" w:hAnsi="仿宋" w:eastAsia="仿宋" w:cs="仿宋"/>
                <w:spacing w:val="0"/>
                <w:kern w:val="2"/>
                <w:sz w:val="30"/>
                <w:szCs w:val="30"/>
              </w:rPr>
              <w:t>业务部门</w:t>
            </w:r>
          </w:p>
        </w:tc>
        <w:tc>
          <w:tcPr>
            <w:tcW w:w="1785" w:type="dxa"/>
          </w:tcPr>
          <w:p>
            <w:pPr>
              <w:spacing w:line="500" w:lineRule="exact"/>
              <w:jc w:val="center"/>
              <w:rPr>
                <w:rFonts w:hint="default" w:ascii="仿宋" w:hAnsi="仿宋" w:eastAsia="仿宋" w:cs="仿宋"/>
                <w:spacing w:val="0"/>
                <w:kern w:val="2"/>
                <w:sz w:val="30"/>
                <w:szCs w:val="30"/>
                <w:lang w:val="en-US" w:eastAsia="zh-CN"/>
              </w:rPr>
            </w:pPr>
            <w:r>
              <w:rPr>
                <w:rFonts w:hint="eastAsia" w:ascii="仿宋" w:hAnsi="仿宋" w:eastAsia="仿宋" w:cs="仿宋"/>
                <w:spacing w:val="0"/>
                <w:kern w:val="2"/>
                <w:sz w:val="30"/>
                <w:szCs w:val="30"/>
                <w:lang w:val="en-US" w:eastAsia="zh-CN"/>
              </w:rPr>
              <w:t>董国强</w:t>
            </w:r>
          </w:p>
        </w:tc>
        <w:tc>
          <w:tcPr>
            <w:tcW w:w="1425" w:type="dxa"/>
          </w:tcPr>
          <w:p>
            <w:pPr>
              <w:spacing w:line="500" w:lineRule="exact"/>
              <w:rPr>
                <w:rFonts w:ascii="仿宋" w:hAnsi="仿宋" w:eastAsia="仿宋" w:cs="仿宋"/>
                <w:spacing w:val="0"/>
                <w:kern w:val="2"/>
                <w:sz w:val="30"/>
                <w:szCs w:val="30"/>
              </w:rPr>
            </w:pPr>
            <w:r>
              <w:rPr>
                <w:rFonts w:hint="eastAsia" w:ascii="仿宋" w:hAnsi="仿宋" w:eastAsia="仿宋" w:cs="仿宋"/>
                <w:spacing w:val="0"/>
                <w:kern w:val="2"/>
                <w:sz w:val="30"/>
                <w:szCs w:val="30"/>
              </w:rPr>
              <w:t>联系电话</w:t>
            </w:r>
          </w:p>
        </w:tc>
        <w:tc>
          <w:tcPr>
            <w:tcW w:w="2273" w:type="dxa"/>
            <w:gridSpan w:val="2"/>
          </w:tcPr>
          <w:p>
            <w:pPr>
              <w:spacing w:line="500" w:lineRule="exact"/>
              <w:jc w:val="center"/>
              <w:rPr>
                <w:rFonts w:hint="default" w:ascii="仿宋" w:hAnsi="仿宋" w:eastAsia="仿宋" w:cs="仿宋"/>
                <w:spacing w:val="0"/>
                <w:kern w:val="2"/>
                <w:sz w:val="30"/>
                <w:szCs w:val="30"/>
                <w:lang w:val="en-US" w:eastAsia="zh-CN"/>
              </w:rPr>
            </w:pPr>
            <w:r>
              <w:rPr>
                <w:rFonts w:hint="eastAsia" w:ascii="仿宋" w:hAnsi="仿宋" w:eastAsia="仿宋" w:cs="仿宋"/>
                <w:spacing w:val="0"/>
                <w:kern w:val="2"/>
                <w:sz w:val="30"/>
                <w:szCs w:val="30"/>
                <w:lang w:val="en-US" w:eastAsia="zh-CN"/>
              </w:rPr>
              <w:t>18516808251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531" w:type="dxa"/>
            <w:gridSpan w:val="6"/>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材料清单</w:t>
            </w:r>
          </w:p>
        </w:tc>
        <w:tc>
          <w:tcPr>
            <w:tcW w:w="991" w:type="dxa"/>
            <w:vAlign w:val="center"/>
          </w:tcPr>
          <w:p>
            <w:pPr>
              <w:pStyle w:val="8"/>
              <w:shd w:val="clear" w:color="auto" w:fill="FFFFFF"/>
              <w:spacing w:beforeAutospacing="0" w:afterAutospacing="0" w:line="500" w:lineRule="exact"/>
              <w:jc w:val="both"/>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spacing w:val="0"/>
                <w:kern w:val="2"/>
                <w:sz w:val="30"/>
                <w:szCs w:val="3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1" w:type="dxa"/>
            <w:gridSpan w:val="6"/>
            <w:vAlign w:val="center"/>
          </w:tcPr>
          <w:p>
            <w:pPr>
              <w:widowControl/>
              <w:shd w:val="clear" w:color="auto" w:fill="FFFFFF"/>
              <w:spacing w:line="500" w:lineRule="exact"/>
              <w:jc w:val="lef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提请进行合法性审查的函</w:t>
            </w:r>
          </w:p>
        </w:tc>
        <w:tc>
          <w:tcPr>
            <w:tcW w:w="991" w:type="dxa"/>
            <w:vAlign w:val="center"/>
          </w:tcPr>
          <w:p>
            <w:pPr>
              <w:pStyle w:val="8"/>
              <w:shd w:val="clear" w:color="auto" w:fill="FFFFFF"/>
              <w:spacing w:beforeAutospacing="0" w:afterAutospacing="0"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1" w:type="dxa"/>
            <w:gridSpan w:val="6"/>
            <w:vAlign w:val="center"/>
          </w:tcPr>
          <w:p>
            <w:pPr>
              <w:widowControl/>
              <w:shd w:val="clear" w:color="auto" w:fill="FFFFFF"/>
              <w:spacing w:line="500" w:lineRule="exact"/>
              <w:jc w:val="lef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决策事项草案的起草说明</w:t>
            </w:r>
          </w:p>
        </w:tc>
        <w:tc>
          <w:tcPr>
            <w:tcW w:w="991" w:type="dxa"/>
            <w:vAlign w:val="center"/>
          </w:tcPr>
          <w:p>
            <w:pPr>
              <w:pStyle w:val="8"/>
              <w:shd w:val="clear" w:color="auto" w:fill="FFFFFF"/>
              <w:spacing w:beforeAutospacing="0" w:afterAutospacing="0" w:line="500" w:lineRule="exact"/>
              <w:jc w:val="center"/>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1" w:type="dxa"/>
            <w:gridSpan w:val="6"/>
            <w:vAlign w:val="center"/>
          </w:tcPr>
          <w:p>
            <w:pPr>
              <w:widowControl/>
              <w:shd w:val="clear" w:color="auto" w:fill="FFFFFF"/>
              <w:spacing w:line="500" w:lineRule="exact"/>
              <w:jc w:val="lef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涉及部门征求意见及采纳的情况</w:t>
            </w:r>
          </w:p>
        </w:tc>
        <w:tc>
          <w:tcPr>
            <w:tcW w:w="991" w:type="dxa"/>
            <w:vAlign w:val="center"/>
          </w:tcPr>
          <w:p>
            <w:pPr>
              <w:pStyle w:val="8"/>
              <w:shd w:val="clear" w:color="auto" w:fill="FFFFFF"/>
              <w:spacing w:beforeAutospacing="0" w:afterAutospacing="0" w:line="500" w:lineRule="exact"/>
              <w:jc w:val="center"/>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1" w:type="dxa"/>
            <w:gridSpan w:val="6"/>
            <w:vAlign w:val="center"/>
          </w:tcPr>
          <w:p>
            <w:pPr>
              <w:pStyle w:val="8"/>
              <w:shd w:val="clear" w:color="auto" w:fill="FFFFFF"/>
              <w:adjustRightInd w:val="0"/>
              <w:spacing w:beforeAutospacing="0" w:afterAutospacing="0" w:line="500" w:lineRule="exact"/>
              <w:jc w:val="both"/>
              <w:rPr>
                <w:rFonts w:ascii="仿宋" w:hAnsi="仿宋" w:eastAsia="仿宋" w:cs="仿宋"/>
                <w:color w:val="000000" w:themeColor="text1"/>
                <w:spacing w:val="0"/>
                <w:kern w:val="2"/>
                <w:sz w:val="30"/>
                <w:szCs w:val="30"/>
                <w:shd w:val="clear" w:color="auto" w:fill="FFFFFF"/>
                <w:lang w:bidi="ar-SA"/>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lang w:bidi="ar-SA"/>
                <w14:textFill>
                  <w14:solidFill>
                    <w14:schemeClr w14:val="tx1"/>
                  </w14:solidFill>
                </w14:textFill>
              </w:rPr>
              <w:t>决策事项草案涉及的职责权限和决策内容的合法性依据</w:t>
            </w:r>
          </w:p>
        </w:tc>
        <w:tc>
          <w:tcPr>
            <w:tcW w:w="991" w:type="dxa"/>
            <w:vAlign w:val="center"/>
          </w:tcPr>
          <w:p>
            <w:pPr>
              <w:pStyle w:val="8"/>
              <w:shd w:val="clear" w:color="auto" w:fill="FFFFFF"/>
              <w:spacing w:beforeAutospacing="0" w:afterAutospacing="0" w:line="500" w:lineRule="exact"/>
              <w:jc w:val="center"/>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1" w:type="dxa"/>
            <w:gridSpan w:val="6"/>
            <w:vAlign w:val="center"/>
          </w:tcPr>
          <w:p>
            <w:pPr>
              <w:spacing w:line="400" w:lineRule="exac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决策草案涉及市场主体经济活动的，应当包含公平竞争审查的有关情况</w:t>
            </w:r>
          </w:p>
        </w:tc>
        <w:tc>
          <w:tcPr>
            <w:tcW w:w="991" w:type="dxa"/>
            <w:vAlign w:val="center"/>
          </w:tcPr>
          <w:p>
            <w:pPr>
              <w:pStyle w:val="8"/>
              <w:shd w:val="clear" w:color="auto" w:fill="FFFFFF"/>
              <w:spacing w:beforeAutospacing="0" w:afterAutospacing="0" w:line="500" w:lineRule="exact"/>
              <w:jc w:val="center"/>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rPr>
        <w:tc>
          <w:tcPr>
            <w:tcW w:w="7531" w:type="dxa"/>
            <w:gridSpan w:val="6"/>
            <w:vAlign w:val="center"/>
          </w:tcPr>
          <w:p>
            <w:pPr>
              <w:spacing w:line="400" w:lineRule="exac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涉及社会公众切身利益或者对其权利义务有重大影响的，应当包含公众参与情况。涉及企业、行业和特定群体利益的,应当听取有代表性的市场主体的意见</w:t>
            </w:r>
          </w:p>
        </w:tc>
        <w:tc>
          <w:tcPr>
            <w:tcW w:w="991" w:type="dxa"/>
            <w:vAlign w:val="center"/>
          </w:tcPr>
          <w:p>
            <w:pPr>
              <w:pStyle w:val="8"/>
              <w:widowControl/>
              <w:spacing w:beforeAutospacing="0" w:afterAutospacing="0" w:line="500" w:lineRule="exact"/>
              <w:jc w:val="center"/>
              <w:rPr>
                <w:rFonts w:ascii="仿宋" w:hAnsi="仿宋" w:eastAsia="仿宋" w:cs="仿宋"/>
                <w:color w:val="000000" w:themeColor="text1"/>
                <w:spacing w:val="0"/>
                <w:kern w:val="2"/>
                <w:sz w:val="30"/>
                <w:szCs w:val="30"/>
                <w:lang w:bidi="ar-SA"/>
                <w14:textFill>
                  <w14:solidFill>
                    <w14:schemeClr w14:val="tx1"/>
                  </w14:solidFill>
                </w14:textFill>
              </w:rPr>
            </w:pPr>
            <w:r>
              <w:rPr>
                <w:rFonts w:hint="eastAsia" w:ascii="仿宋" w:hAnsi="仿宋" w:eastAsia="仿宋" w:cs="仿宋"/>
                <w:color w:val="000000" w:themeColor="text1"/>
                <w:spacing w:val="0"/>
                <w:kern w:val="2"/>
                <w:sz w:val="30"/>
                <w:szCs w:val="30"/>
                <w:lang w:bidi="ar-SA"/>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31" w:type="dxa"/>
            <w:gridSpan w:val="6"/>
            <w:vAlign w:val="center"/>
          </w:tcPr>
          <w:p>
            <w:pPr>
              <w:spacing w:line="400" w:lineRule="exact"/>
              <w:rPr>
                <w:rFonts w:ascii="仿宋" w:hAnsi="仿宋" w:eastAsia="仿宋" w:cs="仿宋"/>
                <w:color w:val="000000" w:themeColor="text1"/>
                <w:spacing w:val="0"/>
                <w:kern w:val="2"/>
                <w:sz w:val="30"/>
                <w:szCs w:val="30"/>
                <w:shd w:val="clear" w:color="auto" w:fill="FFFFFF"/>
                <w14:textFill>
                  <w14:solidFill>
                    <w14:schemeClr w14:val="tx1"/>
                  </w14:solidFill>
                </w14:textFill>
              </w:rPr>
            </w:pPr>
            <w:r>
              <w:rPr>
                <w:rFonts w:hint="eastAsia" w:ascii="仿宋" w:hAnsi="仿宋" w:eastAsia="仿宋" w:cs="仿宋"/>
                <w:color w:val="000000" w:themeColor="text1"/>
                <w:spacing w:val="0"/>
                <w:kern w:val="2"/>
                <w:sz w:val="30"/>
                <w:szCs w:val="30"/>
                <w:shd w:val="clear" w:color="auto" w:fill="FFFFFF"/>
                <w14:textFill>
                  <w14:solidFill>
                    <w14:schemeClr w14:val="tx1"/>
                  </w14:solidFill>
                </w14:textFill>
              </w:rPr>
              <w:t>制定重大公共政策和措施涉及较强专业性、技术性内容存在较大意见分歧的；规定有关奖励、扶持措施的审査标准和审查程序的;可能导致重大财政投入或者社会成本大幅增加,需要进行成本效益分析的;对社会公众权益影响重大的,上述情形需要对拟决策事项的科学性、合法性、合理性进行专家论证的，应当包含专家论证情况</w:t>
            </w:r>
          </w:p>
        </w:tc>
        <w:tc>
          <w:tcPr>
            <w:tcW w:w="991" w:type="dxa"/>
            <w:vAlign w:val="center"/>
          </w:tcPr>
          <w:p>
            <w:pPr>
              <w:pStyle w:val="8"/>
              <w:widowControl/>
              <w:spacing w:beforeAutospacing="0" w:afterAutospacing="0" w:line="500" w:lineRule="exact"/>
              <w:jc w:val="center"/>
              <w:rPr>
                <w:rFonts w:ascii="仿宋" w:hAnsi="仿宋" w:eastAsia="仿宋" w:cs="仿宋"/>
                <w:color w:val="000000" w:themeColor="text1"/>
                <w:spacing w:val="0"/>
                <w:kern w:val="2"/>
                <w:sz w:val="30"/>
                <w:szCs w:val="30"/>
                <w:lang w:bidi="ar-SA"/>
                <w14:textFill>
                  <w14:solidFill>
                    <w14:schemeClr w14:val="tx1"/>
                  </w14:solidFill>
                </w14:textFill>
              </w:rPr>
            </w:pPr>
            <w:r>
              <w:rPr>
                <w:rFonts w:hint="eastAsia" w:ascii="仿宋" w:hAnsi="仿宋" w:eastAsia="仿宋" w:cs="仿宋"/>
                <w:color w:val="000000" w:themeColor="text1"/>
                <w:spacing w:val="0"/>
                <w:kern w:val="2"/>
                <w:sz w:val="30"/>
                <w:szCs w:val="30"/>
                <w:lang w:bidi="ar-SA"/>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7531" w:type="dxa"/>
            <w:gridSpan w:val="6"/>
            <w:vAlign w:val="center"/>
          </w:tcPr>
          <w:p>
            <w:pPr>
              <w:spacing w:line="400" w:lineRule="exac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凡是直接关系人民群众切身利益且涉及面广、容易引发社会稳定问题的重大行政决策事项,实施后可能对社会稳定、公共安全等方面造成潜在风险的,应当包含风险评估情况</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1" w:type="dxa"/>
            <w:gridSpan w:val="6"/>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合法性审查内容</w:t>
            </w:r>
          </w:p>
        </w:tc>
        <w:tc>
          <w:tcPr>
            <w:tcW w:w="991" w:type="dxa"/>
          </w:tcPr>
          <w:p>
            <w:pPr>
              <w:spacing w:line="500" w:lineRule="exact"/>
              <w:rPr>
                <w:rFonts w:ascii="仿宋" w:hAnsi="仿宋" w:eastAsia="仿宋" w:cs="仿宋"/>
                <w:spacing w:val="0"/>
                <w:kern w:val="2"/>
                <w:sz w:val="30"/>
                <w:szCs w:val="30"/>
              </w:rPr>
            </w:pPr>
            <w:r>
              <w:rPr>
                <w:rFonts w:hint="eastAsia" w:ascii="仿宋" w:hAnsi="仿宋" w:eastAsia="仿宋" w:cs="仿宋"/>
                <w:spacing w:val="0"/>
                <w:kern w:val="2"/>
                <w:sz w:val="30"/>
                <w:szCs w:val="30"/>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31" w:type="dxa"/>
            <w:gridSpan w:val="6"/>
            <w:vAlign w:val="center"/>
          </w:tcPr>
          <w:p>
            <w:pPr>
              <w:spacing w:line="360" w:lineRule="exact"/>
              <w:rPr>
                <w:rFonts w:ascii="仿宋" w:hAnsi="仿宋" w:eastAsia="仿宋_GB2312" w:cs="仿宋"/>
                <w:spacing w:val="0"/>
                <w:kern w:val="2"/>
                <w:sz w:val="30"/>
                <w:szCs w:val="30"/>
              </w:rPr>
            </w:pPr>
            <w:r>
              <w:rPr>
                <w:rFonts w:hint="eastAsia" w:ascii="仿宋_GB2312" w:hAnsi="仿宋_GB2312" w:eastAsia="仿宋_GB2312" w:cs="仿宋_GB2312"/>
                <w:spacing w:val="0"/>
                <w:kern w:val="2"/>
                <w:sz w:val="28"/>
                <w:szCs w:val="28"/>
              </w:rPr>
              <w:t>主体是否适格（规范性文件）</w:t>
            </w:r>
          </w:p>
        </w:tc>
        <w:tc>
          <w:tcPr>
            <w:tcW w:w="991" w:type="dxa"/>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531" w:type="dxa"/>
            <w:gridSpan w:val="6"/>
            <w:vAlign w:val="center"/>
          </w:tcPr>
          <w:p>
            <w:pPr>
              <w:spacing w:line="360" w:lineRule="exac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是否超越法定权限</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531" w:type="dxa"/>
            <w:gridSpan w:val="6"/>
            <w:vAlign w:val="center"/>
          </w:tcPr>
          <w:p>
            <w:pPr>
              <w:spacing w:line="360" w:lineRule="exac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是否违反法律、法规、规章规定</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531" w:type="dxa"/>
            <w:gridSpan w:val="6"/>
            <w:vAlign w:val="center"/>
          </w:tcPr>
          <w:p>
            <w:pPr>
              <w:spacing w:line="360" w:lineRule="exac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与上级规范性文件或其他相关政策文件是否协调一致</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31" w:type="dxa"/>
            <w:gridSpan w:val="6"/>
            <w:vAlign w:val="center"/>
          </w:tcPr>
          <w:p>
            <w:pPr>
              <w:spacing w:line="360" w:lineRule="exac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是否履行相关法定程序（包括征求意见、公众参与、专家论证、风险评估情况等）</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531" w:type="dxa"/>
            <w:gridSpan w:val="6"/>
            <w:vAlign w:val="center"/>
          </w:tcPr>
          <w:p>
            <w:pPr>
              <w:spacing w:line="360" w:lineRule="exact"/>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是否对利害关系人权益及有效保障造成影响的，是否违法设定行政许可、行政处罚、行政强制、行政征收、行政收费等事项（即，违法设定许可审批前置条件、违法增加行政相对人的基本义务或减损其基本权利的）</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31" w:type="dxa"/>
            <w:gridSpan w:val="6"/>
            <w:vAlign w:val="center"/>
          </w:tcPr>
          <w:p>
            <w:pPr>
              <w:spacing w:line="360" w:lineRule="exact"/>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lang w:bidi="ar"/>
                <w14:textFill>
                  <w14:solidFill>
                    <w14:schemeClr w14:val="tx1"/>
                  </w14:solidFill>
                </w14:textFill>
              </w:rPr>
              <w:t>是否存在没有法律、法规依据作出增加本单位权力或者缩减本单位法定职责的情形（规范性文件）</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531" w:type="dxa"/>
            <w:gridSpan w:val="6"/>
            <w:vAlign w:val="center"/>
          </w:tcPr>
          <w:p>
            <w:pPr>
              <w:spacing w:line="360" w:lineRule="exact"/>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是否存在明显不合理的规定</w:t>
            </w:r>
          </w:p>
        </w:tc>
        <w:tc>
          <w:tcPr>
            <w:tcW w:w="991" w:type="dxa"/>
            <w:vAlign w:val="center"/>
          </w:tcPr>
          <w:p>
            <w:pPr>
              <w:spacing w:line="500" w:lineRule="exact"/>
              <w:jc w:val="center"/>
              <w:rPr>
                <w:rFonts w:ascii="仿宋" w:hAnsi="仿宋" w:eastAsia="仿宋" w:cs="仿宋"/>
                <w:spacing w:val="0"/>
                <w:kern w:val="2"/>
                <w:sz w:val="30"/>
                <w:szCs w:val="30"/>
              </w:rPr>
            </w:pPr>
            <w:r>
              <w:rPr>
                <w:rFonts w:hint="eastAsia" w:ascii="仿宋" w:hAnsi="仿宋" w:eastAsia="仿宋" w:cs="仿宋"/>
                <w:spacing w:val="0"/>
                <w:kern w:val="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208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 w:hAnsi="仿宋" w:eastAsia="仿宋" w:cs="仿宋"/>
                <w:spacing w:val="0"/>
                <w:kern w:val="2"/>
                <w:sz w:val="30"/>
                <w:szCs w:val="30"/>
              </w:rPr>
            </w:pPr>
            <w:r>
              <w:rPr>
                <w:rFonts w:hint="eastAsia" w:ascii="仿宋" w:hAnsi="仿宋" w:eastAsia="仿宋" w:cs="仿宋"/>
                <w:color w:val="000000" w:themeColor="text1"/>
                <w:spacing w:val="0"/>
                <w:kern w:val="2"/>
                <w:sz w:val="30"/>
                <w:szCs w:val="30"/>
                <w14:textFill>
                  <w14:solidFill>
                    <w14:schemeClr w14:val="tx1"/>
                  </w14:solidFill>
                </w14:textFill>
              </w:rPr>
              <w:t>有关创新、细化完善上级政策文件或法律法规的内容</w:t>
            </w:r>
          </w:p>
        </w:tc>
        <w:tc>
          <w:tcPr>
            <w:tcW w:w="6436"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pacing w:val="0"/>
                <w:kern w:val="2"/>
                <w:sz w:val="30"/>
                <w:szCs w:val="30"/>
                <w:lang w:eastAsia="zh-CN"/>
              </w:rPr>
            </w:pPr>
            <w:r>
              <w:rPr>
                <w:rFonts w:hint="eastAsia" w:ascii="仿宋" w:hAnsi="仿宋" w:eastAsia="仿宋" w:cs="仿宋"/>
                <w:spacing w:val="0"/>
                <w:kern w:val="2"/>
                <w:sz w:val="30"/>
                <w:szCs w:val="30"/>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08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其他需要说明的情况</w:t>
            </w:r>
          </w:p>
        </w:tc>
        <w:tc>
          <w:tcPr>
            <w:tcW w:w="6436" w:type="dxa"/>
            <w:gridSpan w:val="5"/>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 w:hAnsi="仿宋" w:eastAsia="仿宋" w:cs="仿宋"/>
                <w:spacing w:val="0"/>
                <w:kern w:val="2"/>
                <w:sz w:val="30"/>
                <w:szCs w:val="30"/>
              </w:rPr>
            </w:pPr>
            <w:r>
              <w:rPr>
                <w:rFonts w:hint="eastAsia" w:ascii="仿宋" w:hAnsi="仿宋" w:eastAsia="仿宋" w:cs="仿宋"/>
                <w:spacing w:val="0"/>
                <w:kern w:val="2"/>
                <w:sz w:val="30"/>
                <w:szCs w:val="3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6" w:type="dxa"/>
            <w:gridSpan w:val="2"/>
            <w:vAlign w:val="center"/>
          </w:tcPr>
          <w:p>
            <w:pPr>
              <w:spacing w:line="500" w:lineRule="exact"/>
              <w:jc w:val="center"/>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法制机构合法性审查意见</w:t>
            </w:r>
          </w:p>
        </w:tc>
        <w:tc>
          <w:tcPr>
            <w:tcW w:w="6436" w:type="dxa"/>
            <w:gridSpan w:val="5"/>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小标宋简体" w:hAnsi="宋体" w:eastAsia="方正小标宋简体" w:cs="宋体"/>
                <w:bCs/>
                <w:spacing w:val="0"/>
                <w:kern w:val="2"/>
                <w:sz w:val="30"/>
                <w:szCs w:val="30"/>
              </w:rPr>
            </w:pPr>
            <w:r>
              <w:rPr>
                <w:rFonts w:hint="eastAsia" w:ascii="方正小标宋简体" w:hAnsi="宋体" w:eastAsia="方正小标宋简体" w:cs="宋体"/>
                <w:bCs/>
                <w:spacing w:val="0"/>
                <w:kern w:val="2"/>
                <w:sz w:val="30"/>
                <w:szCs w:val="30"/>
              </w:rPr>
              <w:t>关于对《</w:t>
            </w:r>
            <w:r>
              <w:rPr>
                <w:rFonts w:hint="eastAsia" w:ascii="方正小标宋简体" w:hAnsi="宋体" w:eastAsia="方正小标宋简体" w:cs="宋体"/>
                <w:bCs/>
                <w:spacing w:val="0"/>
                <w:kern w:val="2"/>
                <w:sz w:val="30"/>
                <w:szCs w:val="30"/>
                <w:lang w:val="en-US" w:eastAsia="zh-CN"/>
              </w:rPr>
              <w:t>北京市通州区</w:t>
            </w:r>
            <w:r>
              <w:rPr>
                <w:rFonts w:hint="eastAsia" w:ascii="方正小标宋简体" w:hAnsi="宋体" w:eastAsia="方正小标宋简体" w:cs="宋体"/>
                <w:bCs/>
                <w:spacing w:val="0"/>
                <w:kern w:val="2"/>
                <w:sz w:val="30"/>
                <w:szCs w:val="30"/>
              </w:rPr>
              <w:t>生态环境违法行为</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仿宋_GB2312" w:hAnsi="仿宋_GB2312" w:eastAsia="仿宋_GB2312" w:cs="仿宋_GB2312"/>
                <w:spacing w:val="0"/>
                <w:kern w:val="2"/>
                <w:sz w:val="30"/>
                <w:szCs w:val="30"/>
              </w:rPr>
            </w:pPr>
            <w:r>
              <w:rPr>
                <w:rFonts w:hint="eastAsia" w:ascii="方正小标宋简体" w:hAnsi="宋体" w:eastAsia="方正小标宋简体" w:cs="宋体"/>
                <w:bCs/>
                <w:spacing w:val="0"/>
                <w:kern w:val="2"/>
                <w:sz w:val="30"/>
                <w:szCs w:val="30"/>
              </w:rPr>
              <w:t>举报奖励规定》的合法性审核意见</w:t>
            </w:r>
          </w:p>
          <w:p>
            <w:pPr>
              <w:keepNext w:val="0"/>
              <w:keepLines w:val="0"/>
              <w:pageBreakBefore w:val="0"/>
              <w:widowControl w:val="0"/>
              <w:kinsoku/>
              <w:wordWrap/>
              <w:overflowPunct/>
              <w:topLinePunct w:val="0"/>
              <w:autoSpaceDE/>
              <w:autoSpaceDN/>
              <w:bidi w:val="0"/>
              <w:adjustRightInd/>
              <w:snapToGrid/>
              <w:spacing w:line="340" w:lineRule="exact"/>
              <w:ind w:right="69" w:rightChars="33"/>
              <w:textAlignment w:val="auto"/>
              <w:rPr>
                <w:rFonts w:ascii="仿宋_GB2312" w:hAnsi="仿宋_GB2312" w:eastAsia="仿宋_GB2312" w:cs="仿宋_GB2312"/>
                <w:spacing w:val="0"/>
                <w:kern w:val="2"/>
                <w:sz w:val="30"/>
                <w:szCs w:val="30"/>
              </w:rPr>
            </w:pPr>
            <w:r>
              <w:rPr>
                <w:rFonts w:hint="eastAsia" w:ascii="仿宋_GB2312" w:hAnsi="仿宋_GB2312" w:eastAsia="仿宋_GB2312" w:cs="仿宋_GB2312"/>
                <w:spacing w:val="0"/>
                <w:kern w:val="2"/>
                <w:sz w:val="30"/>
                <w:szCs w:val="30"/>
                <w:lang w:val="en-US" w:eastAsia="zh-CN"/>
              </w:rPr>
              <w:t>综合执法大队</w:t>
            </w:r>
            <w:r>
              <w:rPr>
                <w:rFonts w:hint="eastAsia" w:ascii="仿宋_GB2312" w:hAnsi="仿宋_GB2312" w:eastAsia="仿宋_GB2312" w:cs="仿宋_GB2312"/>
                <w:spacing w:val="0"/>
                <w:kern w:val="2"/>
                <w:sz w:val="30"/>
                <w:szCs w:val="30"/>
              </w:rPr>
              <w:t>：</w:t>
            </w:r>
          </w:p>
          <w:p>
            <w:pPr>
              <w:keepNext w:val="0"/>
              <w:keepLines w:val="0"/>
              <w:pageBreakBefore w:val="0"/>
              <w:widowControl w:val="0"/>
              <w:kinsoku/>
              <w:wordWrap/>
              <w:overflowPunct/>
              <w:topLinePunct w:val="0"/>
              <w:autoSpaceDE/>
              <w:autoSpaceDN/>
              <w:bidi w:val="0"/>
              <w:adjustRightInd/>
              <w:snapToGrid/>
              <w:spacing w:line="340" w:lineRule="exact"/>
              <w:ind w:right="69" w:rightChars="33" w:firstLine="600" w:firstLineChars="200"/>
              <w:textAlignment w:val="auto"/>
              <w:rPr>
                <w:rFonts w:ascii="仿宋_GB2312" w:hAnsi="仿宋_GB2312" w:eastAsia="仿宋_GB2312" w:cs="仿宋_GB2312"/>
                <w:spacing w:val="0"/>
                <w:kern w:val="2"/>
                <w:sz w:val="30"/>
                <w:szCs w:val="30"/>
              </w:rPr>
            </w:pPr>
            <w:r>
              <w:rPr>
                <w:rFonts w:hint="eastAsia" w:ascii="仿宋_GB2312" w:hAnsi="仿宋_GB2312" w:eastAsia="仿宋_GB2312" w:cs="仿宋_GB2312"/>
                <w:spacing w:val="0"/>
                <w:kern w:val="2"/>
                <w:sz w:val="30"/>
                <w:szCs w:val="30"/>
              </w:rPr>
              <w:t>你科室牵头起草的《</w:t>
            </w:r>
            <w:r>
              <w:rPr>
                <w:rFonts w:hint="eastAsia" w:ascii="仿宋_GB2312" w:hAnsi="仿宋_GB2312" w:eastAsia="仿宋_GB2312" w:cs="仿宋_GB2312"/>
                <w:spacing w:val="0"/>
                <w:kern w:val="2"/>
                <w:sz w:val="30"/>
                <w:szCs w:val="30"/>
                <w:lang w:val="en-US" w:eastAsia="zh-CN"/>
              </w:rPr>
              <w:t>北京市通州区</w:t>
            </w:r>
            <w:r>
              <w:rPr>
                <w:rFonts w:hint="eastAsia" w:ascii="仿宋_GB2312" w:hAnsi="仿宋_GB2312" w:eastAsia="仿宋_GB2312" w:cs="仿宋_GB2312"/>
                <w:spacing w:val="0"/>
                <w:kern w:val="2"/>
                <w:sz w:val="30"/>
                <w:szCs w:val="30"/>
              </w:rPr>
              <w:t>生态环境违法行为举报奖励规定（</w:t>
            </w:r>
            <w:r>
              <w:rPr>
                <w:rFonts w:hint="eastAsia" w:ascii="仿宋_GB2312" w:hAnsi="仿宋_GB2312" w:eastAsia="仿宋_GB2312" w:cs="仿宋_GB2312"/>
                <w:spacing w:val="0"/>
                <w:kern w:val="2"/>
                <w:sz w:val="30"/>
                <w:szCs w:val="30"/>
                <w:lang w:val="en-US" w:eastAsia="zh-CN"/>
              </w:rPr>
              <w:t>审议</w:t>
            </w:r>
            <w:r>
              <w:rPr>
                <w:rFonts w:hint="eastAsia" w:ascii="仿宋_GB2312" w:hAnsi="仿宋_GB2312" w:eastAsia="仿宋_GB2312" w:cs="仿宋_GB2312"/>
                <w:spacing w:val="0"/>
                <w:kern w:val="2"/>
                <w:sz w:val="30"/>
                <w:szCs w:val="30"/>
              </w:rPr>
              <w:t>稿）》，本科室进行了认真研究，同意按要求报送。</w:t>
            </w:r>
          </w:p>
          <w:p>
            <w:pPr>
              <w:keepNext w:val="0"/>
              <w:keepLines w:val="0"/>
              <w:pageBreakBefore w:val="0"/>
              <w:widowControl w:val="0"/>
              <w:kinsoku/>
              <w:wordWrap/>
              <w:overflowPunct/>
              <w:topLinePunct w:val="0"/>
              <w:autoSpaceDE/>
              <w:autoSpaceDN/>
              <w:bidi w:val="0"/>
              <w:adjustRightInd/>
              <w:snapToGrid/>
              <w:spacing w:line="340" w:lineRule="exact"/>
              <w:ind w:right="69" w:rightChars="33" w:firstLine="3900" w:firstLineChars="1300"/>
              <w:textAlignment w:val="auto"/>
              <w:rPr>
                <w:rFonts w:hint="eastAsia" w:ascii="仿宋_GB2312" w:hAnsi="仿宋_GB2312" w:eastAsia="仿宋_GB2312" w:cs="仿宋_GB2312"/>
                <w:spacing w:val="0"/>
                <w:kern w:val="2"/>
                <w:sz w:val="30"/>
                <w:szCs w:val="30"/>
              </w:rPr>
            </w:pPr>
            <w:r>
              <w:rPr>
                <w:rFonts w:hint="eastAsia" w:ascii="仿宋_GB2312" w:hAnsi="仿宋_GB2312" w:eastAsia="仿宋_GB2312" w:cs="仿宋_GB2312"/>
                <w:spacing w:val="0"/>
                <w:kern w:val="2"/>
                <w:sz w:val="30"/>
                <w:szCs w:val="30"/>
              </w:rPr>
              <w:t>执法监督科</w:t>
            </w: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ascii="仿宋" w:hAnsi="仿宋" w:eastAsia="仿宋" w:cs="仿宋"/>
                <w:spacing w:val="0"/>
                <w:kern w:val="2"/>
                <w:sz w:val="30"/>
                <w:szCs w:val="30"/>
              </w:rPr>
            </w:pPr>
            <w:r>
              <w:rPr>
                <w:rFonts w:hint="eastAsia" w:ascii="仿宋_GB2312" w:hAnsi="仿宋_GB2312" w:eastAsia="仿宋_GB2312" w:cs="仿宋_GB2312"/>
                <w:spacing w:val="0"/>
                <w:kern w:val="2"/>
                <w:sz w:val="32"/>
                <w:szCs w:val="32"/>
              </w:rPr>
              <w:t>2</w:t>
            </w:r>
            <w:r>
              <w:rPr>
                <w:rFonts w:ascii="仿宋_GB2312" w:hAnsi="仿宋_GB2312" w:eastAsia="仿宋_GB2312" w:cs="仿宋_GB2312"/>
                <w:spacing w:val="0"/>
                <w:kern w:val="2"/>
                <w:sz w:val="32"/>
                <w:szCs w:val="32"/>
              </w:rPr>
              <w:t>02</w:t>
            </w:r>
            <w:r>
              <w:rPr>
                <w:rFonts w:hint="eastAsia" w:ascii="仿宋_GB2312" w:hAnsi="仿宋_GB2312" w:eastAsia="仿宋_GB2312" w:cs="仿宋_GB2312"/>
                <w:spacing w:val="0"/>
                <w:kern w:val="2"/>
                <w:sz w:val="32"/>
                <w:szCs w:val="32"/>
                <w:lang w:val="en-US" w:eastAsia="zh-CN"/>
              </w:rPr>
              <w:t>2</w:t>
            </w:r>
            <w:r>
              <w:rPr>
                <w:rFonts w:hint="eastAsia" w:ascii="仿宋_GB2312" w:hAnsi="仿宋_GB2312" w:eastAsia="仿宋_GB2312" w:cs="仿宋_GB2312"/>
                <w:spacing w:val="0"/>
                <w:kern w:val="2"/>
                <w:sz w:val="32"/>
                <w:szCs w:val="32"/>
              </w:rPr>
              <w:t>年</w:t>
            </w:r>
            <w:r>
              <w:rPr>
                <w:rFonts w:hint="eastAsia" w:ascii="仿宋_GB2312" w:hAnsi="仿宋_GB2312" w:eastAsia="仿宋_GB2312" w:cs="仿宋_GB2312"/>
                <w:spacing w:val="0"/>
                <w:kern w:val="2"/>
                <w:sz w:val="32"/>
                <w:szCs w:val="32"/>
                <w:lang w:val="en-US" w:eastAsia="zh-CN"/>
              </w:rPr>
              <w:t>8</w:t>
            </w:r>
            <w:r>
              <w:rPr>
                <w:rFonts w:hint="eastAsia" w:ascii="仿宋_GB2312" w:hAnsi="仿宋_GB2312" w:eastAsia="仿宋_GB2312" w:cs="仿宋_GB2312"/>
                <w:spacing w:val="0"/>
                <w:kern w:val="2"/>
                <w:sz w:val="32"/>
                <w:szCs w:val="32"/>
              </w:rPr>
              <w:t>月</w:t>
            </w:r>
            <w:r>
              <w:rPr>
                <w:rFonts w:hint="eastAsia" w:ascii="仿宋_GB2312" w:hAnsi="仿宋_GB2312" w:eastAsia="仿宋_GB2312" w:cs="仿宋_GB2312"/>
                <w:spacing w:val="0"/>
                <w:kern w:val="2"/>
                <w:sz w:val="32"/>
                <w:szCs w:val="32"/>
                <w:lang w:val="en-US" w:eastAsia="zh-CN"/>
              </w:rPr>
              <w:t>24</w:t>
            </w:r>
            <w:r>
              <w:rPr>
                <w:rFonts w:hint="eastAsia" w:ascii="仿宋_GB2312" w:hAnsi="仿宋_GB2312" w:eastAsia="仿宋_GB2312" w:cs="仿宋_GB2312"/>
                <w:spacing w:val="0"/>
                <w:kern w:val="2"/>
                <w:sz w:val="32"/>
                <w:szCs w:val="32"/>
              </w:rPr>
              <w:t>日</w:t>
            </w:r>
            <w:r>
              <w:rPr>
                <w:rFonts w:hint="eastAsia" w:ascii="仿宋" w:hAnsi="仿宋" w:eastAsia="仿宋" w:cs="仿宋"/>
                <w:spacing w:val="0"/>
                <w:kern w:val="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86" w:type="dxa"/>
            <w:gridSpan w:val="2"/>
            <w:vAlign w:val="center"/>
          </w:tcPr>
          <w:p>
            <w:pPr>
              <w:spacing w:line="500" w:lineRule="exact"/>
              <w:jc w:val="center"/>
              <w:rPr>
                <w:rFonts w:ascii="仿宋" w:hAnsi="仿宋" w:eastAsia="仿宋" w:cs="仿宋"/>
                <w:color w:val="000000" w:themeColor="text1"/>
                <w:spacing w:val="0"/>
                <w:kern w:val="2"/>
                <w:sz w:val="30"/>
                <w:szCs w:val="30"/>
                <w14:textFill>
                  <w14:solidFill>
                    <w14:schemeClr w14:val="tx1"/>
                  </w14:solidFill>
                </w14:textFill>
              </w:rPr>
            </w:pPr>
            <w:r>
              <w:rPr>
                <w:rFonts w:hint="eastAsia" w:ascii="仿宋" w:hAnsi="仿宋" w:eastAsia="仿宋" w:cs="仿宋"/>
                <w:color w:val="000000" w:themeColor="text1"/>
                <w:spacing w:val="0"/>
                <w:kern w:val="2"/>
                <w:sz w:val="30"/>
                <w:szCs w:val="30"/>
                <w14:textFill>
                  <w14:solidFill>
                    <w14:schemeClr w14:val="tx1"/>
                  </w14:solidFill>
                </w14:textFill>
              </w:rPr>
              <w:t>备注</w:t>
            </w:r>
          </w:p>
        </w:tc>
        <w:tc>
          <w:tcPr>
            <w:tcW w:w="6436" w:type="dxa"/>
            <w:gridSpan w:val="5"/>
          </w:tcPr>
          <w:p>
            <w:pPr>
              <w:spacing w:line="500" w:lineRule="exact"/>
              <w:rPr>
                <w:rFonts w:ascii="仿宋" w:hAnsi="仿宋" w:eastAsia="仿宋" w:cs="仿宋"/>
                <w:spacing w:val="0"/>
                <w:kern w:val="2"/>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rFonts w:ascii="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4"/>
                              <w:rFonts w:ascii="宋体"/>
                              <w:sz w:val="28"/>
                              <w:szCs w:val="28"/>
                            </w:rPr>
                          </w:pPr>
                          <w:r>
                            <w:rPr>
                              <w:rFonts w:ascii="宋体" w:hAnsi="宋体" w:cs="宋体"/>
                              <w:sz w:val="28"/>
                              <w:szCs w:val="28"/>
                            </w:rPr>
                            <w:fldChar w:fldCharType="begin"/>
                          </w:r>
                          <w:r>
                            <w:rPr>
                              <w:rStyle w:val="14"/>
                              <w:rFonts w:ascii="宋体" w:hAnsi="宋体" w:cs="宋体"/>
                              <w:sz w:val="28"/>
                              <w:szCs w:val="28"/>
                            </w:rPr>
                            <w:instrText xml:space="preserve">PAGE  </w:instrText>
                          </w:r>
                          <w:r>
                            <w:rPr>
                              <w:rFonts w:ascii="宋体" w:hAnsi="宋体" w:cs="宋体"/>
                              <w:sz w:val="28"/>
                              <w:szCs w:val="28"/>
                            </w:rPr>
                            <w:fldChar w:fldCharType="separate"/>
                          </w:r>
                          <w:r>
                            <w:rPr>
                              <w:rStyle w:val="14"/>
                              <w:rFonts w:ascii="宋体" w:hAnsi="宋体" w:cs="宋体"/>
                              <w:sz w:val="28"/>
                              <w:szCs w:val="28"/>
                            </w:rPr>
                            <w:t>- 47 -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Style w:val="14"/>
                        <w:rFonts w:ascii="宋体"/>
                        <w:sz w:val="28"/>
                        <w:szCs w:val="28"/>
                      </w:rPr>
                    </w:pPr>
                    <w:r>
                      <w:rPr>
                        <w:rFonts w:ascii="宋体" w:hAnsi="宋体" w:cs="宋体"/>
                        <w:sz w:val="28"/>
                        <w:szCs w:val="28"/>
                      </w:rPr>
                      <w:fldChar w:fldCharType="begin"/>
                    </w:r>
                    <w:r>
                      <w:rPr>
                        <w:rStyle w:val="14"/>
                        <w:rFonts w:ascii="宋体" w:hAnsi="宋体" w:cs="宋体"/>
                        <w:sz w:val="28"/>
                        <w:szCs w:val="28"/>
                      </w:rPr>
                      <w:instrText xml:space="preserve">PAGE  </w:instrText>
                    </w:r>
                    <w:r>
                      <w:rPr>
                        <w:rFonts w:ascii="宋体" w:hAnsi="宋体" w:cs="宋体"/>
                        <w:sz w:val="28"/>
                        <w:szCs w:val="28"/>
                      </w:rPr>
                      <w:fldChar w:fldCharType="separate"/>
                    </w:r>
                    <w:r>
                      <w:rPr>
                        <w:rStyle w:val="14"/>
                        <w:rFonts w:ascii="宋体" w:hAnsi="宋体" w:cs="宋体"/>
                        <w:sz w:val="28"/>
                        <w:szCs w:val="28"/>
                      </w:rPr>
                      <w:t>- 47 -</w:t>
                    </w:r>
                    <w:r>
                      <w:rPr>
                        <w:rFonts w:ascii="宋体" w:hAnsi="宋体" w:cs="宋体"/>
                        <w:sz w:val="28"/>
                        <w:szCs w:val="28"/>
                      </w:rP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49000"/>
    <w:multiLevelType w:val="singleLevel"/>
    <w:tmpl w:val="C1849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91533"/>
    <w:rsid w:val="0E27009A"/>
    <w:rsid w:val="13DA16F9"/>
    <w:rsid w:val="1826353C"/>
    <w:rsid w:val="22854E02"/>
    <w:rsid w:val="358F2B33"/>
    <w:rsid w:val="39F51889"/>
    <w:rsid w:val="451A1FF0"/>
    <w:rsid w:val="5311368B"/>
    <w:rsid w:val="53AF3265"/>
    <w:rsid w:val="53DC2445"/>
    <w:rsid w:val="57B93384"/>
    <w:rsid w:val="5B5A6FE5"/>
    <w:rsid w:val="5EEF5FC9"/>
    <w:rsid w:val="620D7EBD"/>
    <w:rsid w:val="65A94060"/>
    <w:rsid w:val="7A7E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ind w:firstLine="420"/>
    </w:pPr>
  </w:style>
  <w:style w:type="paragraph" w:styleId="3">
    <w:name w:val="Body Text"/>
    <w:basedOn w:val="1"/>
    <w:next w:val="4"/>
    <w:qFormat/>
    <w:uiPriority w:val="99"/>
    <w:pPr>
      <w:jc w:val="center"/>
    </w:pPr>
    <w:rPr>
      <w:kern w:val="0"/>
    </w:rPr>
  </w:style>
  <w:style w:type="paragraph" w:styleId="4">
    <w:name w:val="Body Text 2"/>
    <w:basedOn w:val="1"/>
    <w:qFormat/>
    <w:uiPriority w:val="99"/>
    <w:pPr>
      <w:widowControl/>
      <w:spacing w:before="100" w:beforeAutospacing="1" w:after="100" w:afterAutospacing="1"/>
      <w:jc w:val="left"/>
    </w:pPr>
    <w:rPr>
      <w:kern w:val="0"/>
      <w:sz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index 9"/>
    <w:basedOn w:val="1"/>
    <w:next w:val="1"/>
    <w:qFormat/>
    <w:uiPriority w:val="0"/>
    <w:pPr>
      <w:jc w:val="left"/>
    </w:pPr>
    <w:rPr>
      <w:rFonts w:ascii="Calibri" w:hAnsi="Calibri" w:eastAsia="宋体" w:cs="Times New Roman"/>
      <w:szCs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3"/>
    <w:next w:val="10"/>
    <w:qFormat/>
    <w:uiPriority w:val="0"/>
    <w:pPr>
      <w:ind w:firstLine="420"/>
    </w:pPr>
    <w:rPr>
      <w:rFonts w:ascii="Calibri" w:hAnsi="Calibri" w:eastAsia="楷体_GB2312" w:cs="Times New Roman"/>
      <w:sz w:val="32"/>
      <w:szCs w:val="22"/>
    </w:rPr>
  </w:style>
  <w:style w:type="paragraph" w:styleId="10">
    <w:name w:val="Body Text First Indent 2"/>
    <w:basedOn w:val="1"/>
    <w:next w:val="1"/>
    <w:semiHidden/>
    <w:unhideWhenUsed/>
    <w:qFormat/>
    <w:uiPriority w:val="0"/>
    <w:pPr>
      <w:adjustRightInd w:val="0"/>
      <w:snapToGrid w:val="0"/>
      <w:ind w:firstLine="420" w:firstLineChars="200"/>
    </w:p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2022-08-26T08:28:00Z</dcterms:created>
  <dc:creator>123</dc:creator>
  <cp:lastModifiedBy>lenovo</cp:lastModifiedBy>
  <dcterms:modified xsi:type="dcterms:W3CDTF">2022-08-31T03:34:32Z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