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eastAsia="方正小标宋简体"/>
          <w:bCs/>
          <w:sz w:val="44"/>
        </w:rPr>
      </w:pPr>
      <w:bookmarkStart w:id="0" w:name="OLE_LINK3"/>
      <w:r>
        <w:rPr>
          <w:rFonts w:hint="eastAsia" w:ascii="方正小标宋简体" w:eastAsia="方正小标宋简体"/>
          <w:bCs/>
          <w:sz w:val="44"/>
        </w:rPr>
        <w:t>北京市</w:t>
      </w:r>
      <w:r>
        <w:rPr>
          <w:rFonts w:hint="eastAsia" w:ascii="方正小标宋简体" w:eastAsia="方正小标宋简体"/>
          <w:bCs/>
          <w:sz w:val="44"/>
          <w:lang w:eastAsia="zh-CN"/>
        </w:rPr>
        <w:t>通州区</w:t>
      </w:r>
      <w:r>
        <w:rPr>
          <w:rFonts w:hint="eastAsia" w:ascii="方正小标宋简体" w:eastAsia="方正小标宋简体"/>
          <w:bCs/>
          <w:sz w:val="44"/>
        </w:rPr>
        <w:t>发展和改革委员会</w:t>
      </w:r>
    </w:p>
    <w:p>
      <w:pPr>
        <w:spacing w:line="560" w:lineRule="exact"/>
        <w:jc w:val="center"/>
        <w:rPr>
          <w:rFonts w:hint="eastAsia" w:ascii="仿宋_GB2312" w:eastAsia="仿宋_GB2312"/>
          <w:b w:val="0"/>
          <w:sz w:val="32"/>
          <w:u w:val="thick" w:color="FF0000"/>
        </w:rPr>
      </w:pPr>
      <w:bookmarkStart w:id="1" w:name="OLE_LINK2"/>
      <w:r>
        <w:rPr>
          <w:rFonts w:hint="eastAsia" w:ascii="方正小标宋简体" w:eastAsia="方正小标宋简体"/>
          <w:bCs/>
          <w:sz w:val="44"/>
        </w:rPr>
        <w:t>关于北京城市副中心住房项目中航油管线迁改（第二次）工程</w:t>
      </w:r>
      <w:r>
        <w:rPr>
          <w:rFonts w:hint="eastAsia" w:ascii="方正小标宋简体" w:eastAsia="方正小标宋简体"/>
          <w:bCs/>
          <w:sz w:val="44"/>
          <w:lang w:eastAsia="zh-CN"/>
        </w:rPr>
        <w:t>核准</w:t>
      </w:r>
      <w:r>
        <w:rPr>
          <w:rFonts w:hint="eastAsia" w:ascii="方正小标宋简体" w:eastAsia="方正小标宋简体"/>
          <w:bCs/>
          <w:sz w:val="44"/>
        </w:rPr>
        <w:t>的批复</w:t>
      </w:r>
      <w:bookmarkEnd w:id="0"/>
      <w:bookmarkEnd w:id="1"/>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baseline"/>
        <w:rPr>
          <w:rFonts w:hint="default" w:ascii="华文中宋" w:hAnsi="华文中宋" w:eastAsia="楷体_GB2312"/>
          <w:sz w:val="48"/>
          <w:lang w:val="en-US" w:eastAsia="zh-CN"/>
        </w:rPr>
      </w:pPr>
      <w:r>
        <w:rPr>
          <w:rFonts w:hint="eastAsia" w:ascii="仿宋_GB2312" w:hAnsi="仿宋_GB2312" w:eastAsia="仿宋_GB2312" w:cs="仿宋_GB2312"/>
          <w:b w:val="0"/>
          <w:bCs w:val="0"/>
          <w:sz w:val="32"/>
          <w:szCs w:val="32"/>
          <w:lang w:eastAsia="zh-CN"/>
        </w:rPr>
        <w:t>京通州</w:t>
      </w:r>
      <w:r>
        <w:rPr>
          <w:rFonts w:hint="eastAsia" w:ascii="仿宋_GB2312" w:hAnsi="仿宋_GB2312" w:eastAsia="仿宋_GB2312" w:cs="仿宋_GB2312"/>
          <w:b w:val="0"/>
          <w:bCs w:val="0"/>
          <w:sz w:val="32"/>
          <w:szCs w:val="32"/>
        </w:rPr>
        <w:t>发改（</w:t>
      </w:r>
      <w:r>
        <w:rPr>
          <w:rFonts w:hint="eastAsia" w:ascii="仿宋_GB2312" w:hAnsi="仿宋_GB2312" w:eastAsia="仿宋_GB2312" w:cs="仿宋_GB2312"/>
          <w:b w:val="0"/>
          <w:bCs w:val="0"/>
          <w:sz w:val="32"/>
          <w:szCs w:val="32"/>
          <w:lang w:eastAsia="zh-CN"/>
        </w:rPr>
        <w:t>核</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号</w:t>
      </w:r>
    </w:p>
    <w:p>
      <w:pPr>
        <w:spacing w:line="560" w:lineRule="exact"/>
        <w:rPr>
          <w:rFonts w:ascii="仿宋_GB231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仿宋_GB2312" w:hAnsi="仿宋_GB2312" w:eastAsia="仿宋_GB2312" w:cs="仿宋_GB2312"/>
          <w:sz w:val="32"/>
          <w:szCs w:val="32"/>
          <w:lang w:eastAsia="zh-CN"/>
        </w:rPr>
      </w:pPr>
      <w:bookmarkStart w:id="2" w:name="OLE_LINK1"/>
      <w:r>
        <w:rPr>
          <w:rFonts w:hint="eastAsia" w:ascii="仿宋_GB2312" w:hAnsi="仿宋_GB2312" w:eastAsia="仿宋_GB2312" w:cs="仿宋_GB2312"/>
          <w:sz w:val="32"/>
          <w:szCs w:val="32"/>
          <w:lang w:val="en-US" w:eastAsia="zh-CN"/>
        </w:rPr>
        <w:t>北京保障房中心有限公司</w:t>
      </w:r>
      <w:bookmarkEnd w:id="2"/>
      <w:r>
        <w:rPr>
          <w:rFonts w:hint="eastAsia" w:ascii="仿宋_GB2312" w:hAnsi="仿宋_GB2312" w:eastAsia="仿宋_GB2312" w:cs="仿宋_GB2312"/>
          <w:sz w:val="32"/>
          <w:szCs w:val="32"/>
          <w:lang w:eastAsia="zh-CN"/>
        </w:rPr>
        <w:t>：</w:t>
      </w: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你单位《关于</w:t>
      </w:r>
      <w:r>
        <w:rPr>
          <w:rFonts w:hint="eastAsia" w:ascii="仿宋_GB2312" w:hAnsi="仿宋_GB2312" w:eastAsia="仿宋_GB2312" w:cs="仿宋_GB2312"/>
          <w:sz w:val="32"/>
          <w:szCs w:val="32"/>
          <w:lang w:eastAsia="zh-CN"/>
        </w:rPr>
        <w:t>报送</w:t>
      </w:r>
      <w:r>
        <w:rPr>
          <w:rFonts w:hint="eastAsia" w:ascii="仿宋_GB2312" w:hAnsi="仿宋_GB2312" w:eastAsia="仿宋_GB2312" w:cs="仿宋_GB2312"/>
          <w:sz w:val="32"/>
          <w:szCs w:val="32"/>
        </w:rPr>
        <w:t>北京城市副中心住房项目</w:t>
      </w:r>
      <w:r>
        <w:rPr>
          <w:rFonts w:hint="eastAsia" w:ascii="仿宋_GB2312" w:hAnsi="仿宋_GB2312" w:eastAsia="仿宋_GB2312" w:cs="仿宋_GB2312"/>
          <w:sz w:val="32"/>
          <w:szCs w:val="32"/>
          <w:lang w:val="en-US" w:eastAsia="zh-CN"/>
        </w:rPr>
        <w:t>中航油管线迁改（第二次）工程项目申请报告的请示</w:t>
      </w:r>
      <w:r>
        <w:rPr>
          <w:rFonts w:hint="eastAsia" w:ascii="仿宋_GB2312" w:hAnsi="仿宋_GB2312" w:eastAsia="仿宋_GB2312" w:cs="仿宋_GB2312"/>
          <w:sz w:val="32"/>
          <w:szCs w:val="32"/>
        </w:rPr>
        <w:t>》</w:t>
      </w:r>
      <w:r>
        <w:rPr>
          <w:rFonts w:hint="eastAsia" w:ascii="FangSong_GB2312" w:hAnsi="FangSong_GB2312" w:eastAsia="FangSong_GB2312"/>
          <w:sz w:val="32"/>
          <w:highlight w:val="none"/>
        </w:rPr>
        <w:t>（</w:t>
      </w:r>
      <w:r>
        <w:rPr>
          <w:rFonts w:hint="eastAsia" w:ascii="FangSong_GB2312" w:hAnsi="FangSong_GB2312" w:eastAsia="FangSong_GB2312"/>
          <w:sz w:val="32"/>
          <w:highlight w:val="none"/>
          <w:lang w:eastAsia="zh-CN"/>
        </w:rPr>
        <w:t>京保障房中心</w:t>
      </w:r>
      <w:r>
        <w:rPr>
          <w:rFonts w:hint="eastAsia" w:ascii="FangSong_GB2312" w:hAnsi="FangSong_GB2312" w:eastAsia="FangSong_GB2312"/>
          <w:sz w:val="32"/>
          <w:highlight w:val="none"/>
        </w:rPr>
        <w:t>〔202</w:t>
      </w:r>
      <w:r>
        <w:rPr>
          <w:rFonts w:hint="eastAsia" w:ascii="FangSong_GB2312" w:hAnsi="FangSong_GB2312" w:eastAsia="FangSong_GB2312"/>
          <w:sz w:val="32"/>
          <w:highlight w:val="none"/>
          <w:lang w:val="en-US" w:eastAsia="zh-CN"/>
        </w:rPr>
        <w:t>5</w:t>
      </w:r>
      <w:r>
        <w:rPr>
          <w:rFonts w:hint="eastAsia" w:ascii="FangSong_GB2312" w:hAnsi="FangSong_GB2312" w:eastAsia="FangSong_GB2312"/>
          <w:sz w:val="32"/>
          <w:highlight w:val="none"/>
        </w:rPr>
        <w:t>〕</w:t>
      </w:r>
      <w:r>
        <w:rPr>
          <w:rFonts w:hint="eastAsia" w:ascii="FangSong_GB2312" w:hAnsi="FangSong_GB2312" w:eastAsia="FangSong_GB2312"/>
          <w:sz w:val="32"/>
          <w:highlight w:val="none"/>
          <w:lang w:val="en-US" w:eastAsia="zh-CN"/>
        </w:rPr>
        <w:t>55</w:t>
      </w:r>
      <w:r>
        <w:rPr>
          <w:rFonts w:hint="eastAsia" w:ascii="FangSong_GB2312" w:hAnsi="FangSong_GB2312" w:eastAsia="FangSong_GB2312"/>
          <w:sz w:val="32"/>
          <w:highlight w:val="none"/>
        </w:rPr>
        <w:t>号）</w:t>
      </w:r>
      <w:r>
        <w:rPr>
          <w:rFonts w:hint="eastAsia" w:ascii="仿宋_GB2312" w:hAnsi="仿宋_GB2312" w:eastAsia="仿宋_GB2312" w:cs="仿宋_GB2312"/>
          <w:sz w:val="32"/>
          <w:szCs w:val="32"/>
          <w:highlight w:val="none"/>
          <w:lang w:eastAsia="zh-CN"/>
        </w:rPr>
        <w:t>、《关于报送北京城市副中心住房项目</w:t>
      </w:r>
      <w:r>
        <w:rPr>
          <w:rFonts w:hint="eastAsia" w:ascii="仿宋_GB2312" w:hAnsi="仿宋_GB2312" w:eastAsia="仿宋_GB2312" w:cs="仿宋_GB2312"/>
          <w:sz w:val="32"/>
          <w:szCs w:val="32"/>
          <w:highlight w:val="none"/>
          <w:lang w:val="en-US" w:eastAsia="zh-CN"/>
        </w:rPr>
        <w:t>中航油管线迁改（第二次）工程招标方案核准的请示</w:t>
      </w:r>
      <w:r>
        <w:rPr>
          <w:rFonts w:hint="eastAsia" w:ascii="仿宋_GB2312" w:hAnsi="仿宋_GB2312" w:eastAsia="仿宋_GB2312" w:cs="仿宋_GB2312"/>
          <w:sz w:val="32"/>
          <w:szCs w:val="32"/>
          <w:highlight w:val="none"/>
          <w:lang w:eastAsia="zh-CN"/>
        </w:rPr>
        <w:t>》</w:t>
      </w:r>
      <w:r>
        <w:rPr>
          <w:rFonts w:hint="eastAsia" w:ascii="FangSong_GB2312" w:hAnsi="FangSong_GB2312" w:eastAsia="FangSong_GB2312"/>
          <w:sz w:val="32"/>
          <w:highlight w:val="none"/>
        </w:rPr>
        <w:t>（</w:t>
      </w:r>
      <w:r>
        <w:rPr>
          <w:rFonts w:hint="eastAsia" w:ascii="FangSong_GB2312" w:hAnsi="FangSong_GB2312" w:eastAsia="FangSong_GB2312"/>
          <w:sz w:val="32"/>
          <w:highlight w:val="none"/>
          <w:lang w:eastAsia="zh-CN"/>
        </w:rPr>
        <w:t>京保障房中心</w:t>
      </w:r>
      <w:r>
        <w:rPr>
          <w:rFonts w:hint="eastAsia" w:ascii="FangSong_GB2312" w:hAnsi="FangSong_GB2312" w:eastAsia="FangSong_GB2312"/>
          <w:sz w:val="32"/>
          <w:highlight w:val="none"/>
        </w:rPr>
        <w:t>〔202</w:t>
      </w:r>
      <w:r>
        <w:rPr>
          <w:rFonts w:hint="eastAsia" w:ascii="FangSong_GB2312" w:hAnsi="FangSong_GB2312" w:eastAsia="FangSong_GB2312"/>
          <w:sz w:val="32"/>
          <w:highlight w:val="none"/>
          <w:lang w:val="en-US" w:eastAsia="zh-CN"/>
        </w:rPr>
        <w:t>5</w:t>
      </w:r>
      <w:r>
        <w:rPr>
          <w:rFonts w:hint="eastAsia" w:ascii="FangSong_GB2312" w:hAnsi="FangSong_GB2312" w:eastAsia="FangSong_GB2312"/>
          <w:sz w:val="32"/>
          <w:highlight w:val="none"/>
        </w:rPr>
        <w:t>〕</w:t>
      </w:r>
      <w:r>
        <w:rPr>
          <w:rFonts w:hint="eastAsia" w:ascii="FangSong_GB2312" w:hAnsi="FangSong_GB2312" w:eastAsia="FangSong_GB2312"/>
          <w:sz w:val="32"/>
          <w:highlight w:val="none"/>
          <w:lang w:val="en-US" w:eastAsia="zh-CN"/>
        </w:rPr>
        <w:t xml:space="preserve">  56</w:t>
      </w:r>
      <w:r>
        <w:rPr>
          <w:rFonts w:hint="eastAsia" w:ascii="FangSong_GB2312" w:hAnsi="FangSong_GB2312" w:eastAsia="FangSong_GB2312"/>
          <w:sz w:val="32"/>
          <w:highlight w:val="none"/>
        </w:rPr>
        <w:t>号）</w:t>
      </w:r>
      <w:r>
        <w:rPr>
          <w:rFonts w:hint="eastAsia" w:ascii="仿宋_GB2312" w:hAnsi="仿宋_GB2312" w:eastAsia="仿宋_GB2312" w:cs="仿宋_GB2312"/>
          <w:sz w:val="32"/>
          <w:szCs w:val="32"/>
        </w:rPr>
        <w:t>收悉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北京市规划和自然资源委员会通州分局</w:t>
      </w:r>
      <w:r>
        <w:rPr>
          <w:rFonts w:hint="eastAsia" w:ascii="仿宋_GB2312" w:hAnsi="仿宋_GB2312" w:eastAsia="仿宋_GB2312" w:cs="仿宋_GB2312"/>
          <w:sz w:val="32"/>
          <w:szCs w:val="32"/>
        </w:rPr>
        <w:t>《关于北京城市副中心住房项目中航油管线迁改（第二次）工程</w:t>
      </w:r>
      <w:r>
        <w:rPr>
          <w:rFonts w:hint="eastAsia" w:ascii="仿宋_GB2312" w:hAnsi="仿宋_GB2312" w:eastAsia="仿宋_GB2312" w:cs="仿宋_GB2312"/>
          <w:sz w:val="32"/>
          <w:szCs w:val="32"/>
          <w:lang w:val="en-US" w:eastAsia="zh-CN"/>
        </w:rPr>
        <w:t>“多规合一”协同意见的函</w:t>
      </w:r>
      <w:r>
        <w:rPr>
          <w:rFonts w:hint="eastAsia" w:ascii="仿宋_GB2312" w:hAnsi="仿宋_GB2312" w:eastAsia="仿宋_GB2312" w:cs="仿宋_GB2312"/>
          <w:sz w:val="32"/>
          <w:szCs w:val="32"/>
        </w:rPr>
        <w:t>》（京规自基础策划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函</w:t>
      </w:r>
      <w:r>
        <w:rPr>
          <w:rFonts w:hint="eastAsia" w:ascii="FangSong_GB2312" w:hAnsi="FangSong_GB2312" w:eastAsia="FangSong_GB2312"/>
          <w:sz w:val="32"/>
          <w:highlight w:val="none"/>
        </w:rPr>
        <w:t>〔202</w:t>
      </w:r>
      <w:r>
        <w:rPr>
          <w:rFonts w:hint="eastAsia" w:ascii="FangSong_GB2312" w:hAnsi="FangSong_GB2312" w:eastAsia="FangSong_GB2312"/>
          <w:sz w:val="32"/>
          <w:highlight w:val="none"/>
          <w:lang w:val="en-US" w:eastAsia="zh-CN"/>
        </w:rPr>
        <w:t>5</w:t>
      </w:r>
      <w:r>
        <w:rPr>
          <w:rFonts w:hint="eastAsia" w:ascii="FangSong_GB2312" w:hAnsi="FangSong_GB2312" w:eastAsia="FangSong_GB2312"/>
          <w:sz w:val="32"/>
          <w:highlight w:val="none"/>
        </w:rPr>
        <w:t>〕</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相关文件，</w:t>
      </w:r>
      <w:r>
        <w:rPr>
          <w:rFonts w:hint="eastAsia" w:ascii="仿宋_GB2312" w:hAnsi="仿宋_GB2312" w:eastAsia="仿宋_GB2312" w:cs="仿宋_GB2312"/>
          <w:sz w:val="32"/>
          <w:szCs w:val="32"/>
          <w:lang w:eastAsia="zh-CN"/>
        </w:rPr>
        <w:t>经研究，原则同意你单位建设</w:t>
      </w:r>
      <w:r>
        <w:rPr>
          <w:rFonts w:hint="eastAsia" w:ascii="仿宋_GB2312" w:hAnsi="仿宋_GB2312" w:eastAsia="仿宋_GB2312" w:cs="仿宋_GB2312"/>
          <w:sz w:val="32"/>
          <w:szCs w:val="32"/>
        </w:rPr>
        <w:t>北京城市</w:t>
      </w:r>
      <w:r>
        <w:rPr>
          <w:rFonts w:hint="eastAsia" w:ascii="仿宋_GB2312" w:hAnsi="仿宋_GB2312" w:eastAsia="仿宋_GB2312" w:cs="仿宋_GB2312"/>
          <w:sz w:val="32"/>
          <w:szCs w:val="32"/>
          <w:highlight w:val="none"/>
        </w:rPr>
        <w:t>副中心住房项目</w:t>
      </w:r>
      <w:r>
        <w:rPr>
          <w:rFonts w:hint="eastAsia" w:ascii="仿宋_GB2312" w:hAnsi="仿宋_GB2312" w:eastAsia="仿宋_GB2312" w:cs="仿宋_GB2312"/>
          <w:sz w:val="32"/>
          <w:szCs w:val="32"/>
          <w:highlight w:val="none"/>
          <w:lang w:val="en-US" w:eastAsia="zh-CN"/>
        </w:rPr>
        <w:t>中航油管线迁改（第二次）工</w:t>
      </w:r>
      <w:r>
        <w:rPr>
          <w:rFonts w:hint="eastAsia" w:ascii="仿宋_GB2312" w:hAnsi="仿宋_GB2312" w:eastAsia="仿宋_GB2312" w:cs="仿宋_GB2312"/>
          <w:sz w:val="32"/>
          <w:szCs w:val="32"/>
          <w:highlight w:val="none"/>
          <w:lang w:eastAsia="zh-CN"/>
        </w:rPr>
        <w:t>程。</w:t>
      </w:r>
      <w:r>
        <w:rPr>
          <w:rFonts w:hint="eastAsia" w:ascii="仿宋_GB2312" w:hAnsi="仿宋_GB2312" w:eastAsia="仿宋_GB2312" w:cs="仿宋_GB2312"/>
          <w:sz w:val="32"/>
          <w:szCs w:val="32"/>
          <w:highlight w:val="none"/>
        </w:rPr>
        <w:t>现就有关事项批复如下：</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eastAsia="zh-CN"/>
        </w:rPr>
        <w:t>一、建设地点：</w:t>
      </w:r>
      <w:bookmarkStart w:id="3" w:name="OLE_LINK5"/>
      <w:r>
        <w:rPr>
          <w:rFonts w:hint="eastAsia" w:ascii="仿宋_GB2312" w:hAnsi="仿宋_GB2312" w:eastAsia="仿宋_GB2312" w:cs="仿宋_GB2312"/>
          <w:sz w:val="32"/>
          <w:szCs w:val="32"/>
          <w:highlight w:val="none"/>
          <w:lang w:eastAsia="zh-CN"/>
        </w:rPr>
        <w:t>本项目位于中航油管道与宋庄文化区南街的交叉点。</w:t>
      </w:r>
      <w:bookmarkEnd w:id="3"/>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建设内容及规模：</w:t>
      </w:r>
      <w:bookmarkStart w:id="4" w:name="OLE_LINK4"/>
      <w:r>
        <w:rPr>
          <w:rFonts w:hint="eastAsia" w:ascii="仿宋_GB2312" w:hAnsi="仿宋_GB2312" w:eastAsia="仿宋_GB2312" w:cs="仿宋_GB2312"/>
          <w:sz w:val="32"/>
          <w:szCs w:val="32"/>
        </w:rPr>
        <w:t>管道迁改段沿宋庄文化区南街向西敷设，再向北敷设穿越宋庄文化区南街，迁改管道段带油开口与现有管道相连。</w:t>
      </w:r>
      <w:bookmarkEnd w:id="4"/>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三、投资规模</w:t>
      </w:r>
      <w:r>
        <w:rPr>
          <w:rFonts w:hint="eastAsia" w:ascii="仿宋_GB2312" w:hAnsi="仿宋_GB2312" w:eastAsia="仿宋_GB2312" w:cs="仿宋_GB2312"/>
          <w:sz w:val="32"/>
          <w:szCs w:val="32"/>
        </w:rPr>
        <w:t>及资金来源：</w:t>
      </w:r>
      <w:r>
        <w:rPr>
          <w:rFonts w:hint="eastAsia" w:ascii="仿宋_GB2312" w:hAnsi="仿宋_GB2312" w:eastAsia="仿宋_GB2312" w:cs="仿宋_GB2312"/>
          <w:sz w:val="32"/>
          <w:szCs w:val="32"/>
          <w:lang w:eastAsia="zh-CN"/>
        </w:rPr>
        <w:t>项目总投资约</w:t>
      </w:r>
      <w:r>
        <w:rPr>
          <w:rFonts w:hint="eastAsia" w:ascii="仿宋_GB2312" w:hAnsi="仿宋_GB2312" w:eastAsia="仿宋_GB2312" w:cs="仿宋_GB2312"/>
          <w:sz w:val="32"/>
          <w:szCs w:val="32"/>
          <w:highlight w:val="none"/>
          <w:lang w:val="en-US" w:eastAsia="zh-CN"/>
        </w:rPr>
        <w:t>795.96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，所需资金全部由北京保障房中心有限公司自筹解决。</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四、本批复附《建设项目招标方案核准意见书》1份。请据此依法开展招标工作。在建设项目实施过程中，确有特殊情况需要变更已核准的招标方案的，应当报送我委重新核准。</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本批复有效期2年,请据此开展相关工作。如需延期</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工建设的，应当在2年期限届满的30个工作日前，向我委提出延期申请。</w:t>
      </w: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ind w:firstLine="640" w:firstLineChars="200"/>
        <w:textAlignment w:val="baseline"/>
        <w:outlineLvl w:val="9"/>
        <w:rPr>
          <w:rFonts w:hint="eastAsia"/>
        </w:rPr>
      </w:pPr>
      <w:r>
        <w:rPr>
          <w:rFonts w:hint="eastAsia" w:ascii="仿宋_GB2312" w:hAnsi="仿宋_GB2312" w:eastAsia="仿宋_GB2312" w:cs="仿宋_GB2312"/>
          <w:sz w:val="32"/>
          <w:szCs w:val="32"/>
        </w:rPr>
        <w:t>附件：建设项目招标方案核准意见书</w:t>
      </w: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ind w:firstLine="3840" w:firstLineChars="1200"/>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ind w:firstLine="3840" w:firstLineChars="1200"/>
        <w:textAlignment w:val="baseline"/>
        <w:outlineLvl w:val="9"/>
        <w:rPr>
          <w:rFonts w:hint="eastAsia" w:ascii="仿宋_GB2312" w:hAnsi="仿宋_GB2312" w:eastAsia="仿宋_GB2312" w:cs="仿宋_GB2312"/>
          <w:sz w:val="32"/>
          <w:szCs w:val="32"/>
        </w:rPr>
      </w:pPr>
      <w:bookmarkStart w:id="5" w:name="OLE_LINK6"/>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发展和改革委员会</w:t>
      </w:r>
      <w:bookmarkEnd w:id="5"/>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ind w:firstLine="4800" w:firstLineChars="15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日</w:t>
      </w: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黑体" w:hAnsi="黑体" w:eastAsia="黑体" w:cs="黑体"/>
          <w:sz w:val="32"/>
          <w:szCs w:val="32"/>
          <w:lang w:eastAsia="zh-CN"/>
        </w:rPr>
      </w:pPr>
      <w:bookmarkStart w:id="8" w:name="_GoBack"/>
      <w:bookmarkEnd w:id="8"/>
      <w:r>
        <w:rPr>
          <w:rFonts w:hint="eastAsia" w:ascii="黑体" w:hAnsi="黑体" w:eastAsia="黑体" w:cs="黑体"/>
          <w:sz w:val="32"/>
          <w:szCs w:val="32"/>
        </w:rPr>
        <w:t>附件</w:t>
      </w:r>
    </w:p>
    <w:p>
      <w:pPr>
        <w:jc w:val="center"/>
        <w:rPr>
          <w:rFonts w:ascii="仿宋_GB2312"/>
        </w:rPr>
      </w:pPr>
      <w:bookmarkStart w:id="6" w:name="table_title"/>
      <w:r>
        <w:rPr>
          <w:rFonts w:hint="eastAsia" w:ascii="方正小标宋简体" w:hAnsi="黑体" w:eastAsia="方正小标宋简体" w:cs="宋体"/>
          <w:bCs/>
          <w:kern w:val="0"/>
          <w:sz w:val="44"/>
          <w:szCs w:val="44"/>
        </w:rPr>
        <w:t>建设项目招标方案核准意见书</w:t>
      </w:r>
      <w:bookmarkEnd w:id="6"/>
      <w:r>
        <w:rPr>
          <w:rFonts w:hint="eastAsia" w:ascii="方正小标宋简体" w:hAnsi="黑体" w:eastAsia="方正小标宋简体"/>
          <w:vanish/>
          <w:sz w:val="44"/>
          <w:szCs w:val="44"/>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项目名称：北京城市副中心住房项目中航油管线迁改（第二次）工程</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4"/>
          <w:lang w:val="en-US" w:eastAsia="zh-CN"/>
        </w:rPr>
        <w:t>项目建设单位名称：</w:t>
      </w:r>
      <w:bookmarkStart w:id="7" w:name="book_bid_tab"/>
      <w:r>
        <w:rPr>
          <w:rFonts w:hint="eastAsia" w:ascii="仿宋_GB2312" w:hAnsi="仿宋_GB2312" w:eastAsia="仿宋_GB2312" w:cs="仿宋_GB2312"/>
          <w:sz w:val="24"/>
          <w:szCs w:val="22"/>
        </w:rPr>
        <w:t>北京</w:t>
      </w:r>
      <w:r>
        <w:rPr>
          <w:rFonts w:hint="eastAsia" w:ascii="仿宋_GB2312" w:hAnsi="仿宋_GB2312" w:eastAsia="仿宋_GB2312" w:cs="仿宋_GB2312"/>
          <w:sz w:val="24"/>
          <w:szCs w:val="22"/>
          <w:lang w:eastAsia="zh-CN"/>
        </w:rPr>
        <w:t>保障房中心</w:t>
      </w:r>
      <w:r>
        <w:rPr>
          <w:rFonts w:hint="eastAsia" w:ascii="仿宋_GB2312" w:hAnsi="仿宋_GB2312" w:eastAsia="仿宋_GB2312" w:cs="仿宋_GB2312"/>
          <w:sz w:val="24"/>
          <w:szCs w:val="22"/>
        </w:rPr>
        <w:t>有限公司</w:t>
      </w:r>
    </w:p>
    <w:tbl>
      <w:tblPr>
        <w:tblStyle w:val="10"/>
        <w:tblpPr w:leftFromText="180" w:rightFromText="180" w:vertAnchor="text" w:horzAnchor="page" w:tblpX="1588" w:tblpY="285"/>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36"/>
        <w:gridCol w:w="1339"/>
        <w:gridCol w:w="1505"/>
        <w:gridCol w:w="1506"/>
        <w:gridCol w:w="108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075" w:type="dxa"/>
            <w:vAlign w:val="center"/>
          </w:tcPr>
          <w:p>
            <w:pPr>
              <w:spacing w:line="300" w:lineRule="exact"/>
              <w:jc w:val="center"/>
              <w:rPr>
                <w:rFonts w:hint="eastAsia" w:ascii="仿宋_GB2312" w:hAnsi="黑体" w:eastAsia="仿宋_GB2312" w:cs="黑体"/>
                <w:kern w:val="0"/>
                <w:sz w:val="21"/>
                <w:szCs w:val="21"/>
              </w:rPr>
            </w:pPr>
          </w:p>
        </w:tc>
        <w:tc>
          <w:tcPr>
            <w:tcW w:w="1236"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采购细项</w:t>
            </w:r>
          </w:p>
        </w:tc>
        <w:tc>
          <w:tcPr>
            <w:tcW w:w="1339"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单项合同</w:t>
            </w:r>
          </w:p>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估算金额</w:t>
            </w:r>
          </w:p>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（万元）</w:t>
            </w:r>
          </w:p>
        </w:tc>
        <w:tc>
          <w:tcPr>
            <w:tcW w:w="1505"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招标方式</w:t>
            </w:r>
          </w:p>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（公开招标或邀请招标）</w:t>
            </w:r>
          </w:p>
        </w:tc>
        <w:tc>
          <w:tcPr>
            <w:tcW w:w="1506"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招标组织形式</w:t>
            </w:r>
          </w:p>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（自行招标或委托招标）</w:t>
            </w:r>
          </w:p>
        </w:tc>
        <w:tc>
          <w:tcPr>
            <w:tcW w:w="1080"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不采用招标形式</w:t>
            </w:r>
          </w:p>
        </w:tc>
        <w:tc>
          <w:tcPr>
            <w:tcW w:w="1331"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75"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勘察</w:t>
            </w:r>
          </w:p>
        </w:tc>
        <w:tc>
          <w:tcPr>
            <w:tcW w:w="1236"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工程勘察</w:t>
            </w:r>
          </w:p>
        </w:tc>
        <w:tc>
          <w:tcPr>
            <w:tcW w:w="133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5.50</w:t>
            </w:r>
          </w:p>
        </w:tc>
        <w:tc>
          <w:tcPr>
            <w:tcW w:w="1505" w:type="dxa"/>
            <w:vAlign w:val="center"/>
          </w:tcPr>
          <w:p>
            <w:pPr>
              <w:spacing w:line="300" w:lineRule="exact"/>
              <w:jc w:val="center"/>
              <w:rPr>
                <w:rFonts w:hint="eastAsia" w:ascii="仿宋_GB2312" w:hAnsi="黑体" w:eastAsia="仿宋_GB2312" w:cs="黑体"/>
                <w:kern w:val="0"/>
                <w:sz w:val="21"/>
                <w:szCs w:val="21"/>
              </w:rPr>
            </w:pPr>
          </w:p>
        </w:tc>
        <w:tc>
          <w:tcPr>
            <w:tcW w:w="1506" w:type="dxa"/>
            <w:vAlign w:val="center"/>
          </w:tcPr>
          <w:p>
            <w:pPr>
              <w:spacing w:line="300" w:lineRule="exact"/>
              <w:jc w:val="center"/>
              <w:rPr>
                <w:rFonts w:hint="eastAsia" w:ascii="仿宋_GB2312" w:hAnsi="黑体" w:eastAsia="仿宋_GB2312" w:cs="黑体"/>
                <w:kern w:val="0"/>
                <w:sz w:val="21"/>
                <w:szCs w:val="21"/>
              </w:rPr>
            </w:pPr>
          </w:p>
        </w:tc>
        <w:tc>
          <w:tcPr>
            <w:tcW w:w="1080" w:type="dxa"/>
            <w:vAlign w:val="center"/>
          </w:tcPr>
          <w:p>
            <w:pPr>
              <w:spacing w:line="300" w:lineRule="exact"/>
              <w:jc w:val="center"/>
              <w:rPr>
                <w:rFonts w:hint="eastAsia"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w:t>
            </w:r>
          </w:p>
        </w:tc>
        <w:tc>
          <w:tcPr>
            <w:tcW w:w="1331"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未达到招标金额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075"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设计</w:t>
            </w:r>
          </w:p>
        </w:tc>
        <w:tc>
          <w:tcPr>
            <w:tcW w:w="1236"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工程设计</w:t>
            </w:r>
          </w:p>
        </w:tc>
        <w:tc>
          <w:tcPr>
            <w:tcW w:w="133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27.28</w:t>
            </w:r>
          </w:p>
        </w:tc>
        <w:tc>
          <w:tcPr>
            <w:tcW w:w="1505" w:type="dxa"/>
            <w:vAlign w:val="center"/>
          </w:tcPr>
          <w:p>
            <w:pPr>
              <w:jc w:val="center"/>
              <w:rPr>
                <w:rFonts w:hint="eastAsia" w:ascii="仿宋_GB2312" w:hAnsi="仿宋_GB2312" w:eastAsia="仿宋_GB2312" w:cs="仿宋_GB2312"/>
                <w:kern w:val="2"/>
                <w:sz w:val="21"/>
                <w:szCs w:val="21"/>
                <w:lang w:val="en-US" w:eastAsia="zh-CN" w:bidi="ar-SA"/>
              </w:rPr>
            </w:pPr>
          </w:p>
        </w:tc>
        <w:tc>
          <w:tcPr>
            <w:tcW w:w="1506" w:type="dxa"/>
            <w:vAlign w:val="center"/>
          </w:tcPr>
          <w:p>
            <w:pPr>
              <w:jc w:val="center"/>
              <w:rPr>
                <w:rFonts w:hint="eastAsia" w:ascii="仿宋_GB2312" w:hAnsi="仿宋_GB2312" w:eastAsia="仿宋_GB2312" w:cs="仿宋_GB2312"/>
                <w:kern w:val="2"/>
                <w:sz w:val="21"/>
                <w:szCs w:val="21"/>
                <w:lang w:val="en-US" w:eastAsia="zh-CN" w:bidi="ar-SA"/>
              </w:rPr>
            </w:pPr>
          </w:p>
        </w:tc>
        <w:tc>
          <w:tcPr>
            <w:tcW w:w="1080"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lang w:val="en-US" w:eastAsia="zh-CN"/>
              </w:rPr>
              <w:t>√</w:t>
            </w:r>
          </w:p>
        </w:tc>
        <w:tc>
          <w:tcPr>
            <w:tcW w:w="1331"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eastAsia="zh-CN"/>
              </w:rPr>
              <w:t>未达到招标金额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75" w:type="dxa"/>
            <w:vAlign w:val="center"/>
          </w:tcPr>
          <w:p>
            <w:pPr>
              <w:spacing w:line="300" w:lineRule="exact"/>
              <w:jc w:val="center"/>
              <w:rPr>
                <w:rFonts w:hint="eastAsia"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施工</w:t>
            </w:r>
          </w:p>
        </w:tc>
        <w:tc>
          <w:tcPr>
            <w:tcW w:w="1236"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工程</w:t>
            </w:r>
            <w:r>
              <w:rPr>
                <w:rFonts w:hint="eastAsia" w:ascii="仿宋_GB2312" w:hAnsi="黑体" w:eastAsia="仿宋_GB2312" w:cs="黑体"/>
                <w:kern w:val="0"/>
                <w:sz w:val="21"/>
                <w:szCs w:val="21"/>
                <w:lang w:val="en-US" w:eastAsia="zh-CN"/>
              </w:rPr>
              <w:t>施工</w:t>
            </w:r>
          </w:p>
        </w:tc>
        <w:tc>
          <w:tcPr>
            <w:tcW w:w="133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323.02</w:t>
            </w:r>
          </w:p>
        </w:tc>
        <w:tc>
          <w:tcPr>
            <w:tcW w:w="1505" w:type="dxa"/>
            <w:vAlign w:val="center"/>
          </w:tcPr>
          <w:p>
            <w:pPr>
              <w:spacing w:line="300" w:lineRule="exact"/>
              <w:jc w:val="center"/>
              <w:rPr>
                <w:rFonts w:hint="eastAsia" w:ascii="仿宋_GB2312" w:hAnsi="仿宋_GB2312" w:eastAsia="仿宋_GB2312" w:cs="仿宋_GB2312"/>
                <w:kern w:val="0"/>
                <w:sz w:val="21"/>
                <w:szCs w:val="21"/>
                <w:lang w:val="en-US" w:eastAsia="zh-CN"/>
              </w:rPr>
            </w:pPr>
          </w:p>
        </w:tc>
        <w:tc>
          <w:tcPr>
            <w:tcW w:w="1506" w:type="dxa"/>
            <w:vAlign w:val="center"/>
          </w:tcPr>
          <w:p>
            <w:pPr>
              <w:spacing w:line="300" w:lineRule="exact"/>
              <w:jc w:val="center"/>
              <w:rPr>
                <w:rFonts w:hint="eastAsia" w:ascii="仿宋_GB2312" w:hAnsi="仿宋_GB2312" w:eastAsia="仿宋_GB2312" w:cs="仿宋_GB2312"/>
                <w:kern w:val="0"/>
                <w:sz w:val="21"/>
                <w:szCs w:val="21"/>
                <w:lang w:val="en-US" w:eastAsia="zh-CN"/>
              </w:rPr>
            </w:pPr>
          </w:p>
        </w:tc>
        <w:tc>
          <w:tcPr>
            <w:tcW w:w="1080" w:type="dxa"/>
            <w:vAlign w:val="center"/>
          </w:tcPr>
          <w:p>
            <w:pPr>
              <w:spacing w:line="300" w:lineRule="exact"/>
              <w:jc w:val="center"/>
              <w:rPr>
                <w:rFonts w:hint="eastAsia" w:ascii="仿宋_GB2312" w:hAnsi="黑体" w:eastAsia="仿宋_GB2312" w:cs="黑体"/>
                <w:kern w:val="0"/>
                <w:sz w:val="21"/>
                <w:szCs w:val="21"/>
                <w:lang w:val="en-US" w:eastAsia="zh-CN" w:bidi="ar-SA"/>
              </w:rPr>
            </w:pPr>
            <w:r>
              <w:rPr>
                <w:rFonts w:hint="eastAsia" w:ascii="仿宋_GB2312" w:hAnsi="黑体" w:eastAsia="仿宋_GB2312" w:cs="黑体"/>
                <w:kern w:val="0"/>
                <w:sz w:val="21"/>
                <w:szCs w:val="21"/>
                <w:lang w:val="en-US" w:eastAsia="zh-CN"/>
              </w:rPr>
              <w:t>√</w:t>
            </w:r>
          </w:p>
        </w:tc>
        <w:tc>
          <w:tcPr>
            <w:tcW w:w="1331" w:type="dxa"/>
            <w:vAlign w:val="center"/>
          </w:tcPr>
          <w:p>
            <w:pPr>
              <w:spacing w:line="300" w:lineRule="exact"/>
              <w:jc w:val="center"/>
              <w:rPr>
                <w:rFonts w:hint="eastAsia" w:ascii="仿宋_GB2312" w:hAnsi="黑体" w:eastAsia="仿宋_GB2312" w:cs="黑体"/>
                <w:kern w:val="0"/>
                <w:sz w:val="21"/>
                <w:szCs w:val="21"/>
                <w:lang w:val="en-US" w:eastAsia="zh-CN" w:bidi="ar-SA"/>
              </w:rPr>
            </w:pPr>
            <w:r>
              <w:rPr>
                <w:rFonts w:hint="eastAsia" w:ascii="仿宋_GB2312" w:hAnsi="黑体" w:eastAsia="仿宋_GB2312" w:cs="黑体"/>
                <w:kern w:val="0"/>
                <w:sz w:val="21"/>
                <w:szCs w:val="21"/>
                <w:lang w:eastAsia="zh-CN"/>
              </w:rPr>
              <w:t>未达到招标金额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75"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监理</w:t>
            </w:r>
          </w:p>
        </w:tc>
        <w:tc>
          <w:tcPr>
            <w:tcW w:w="1236"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工程监理</w:t>
            </w:r>
          </w:p>
        </w:tc>
        <w:tc>
          <w:tcPr>
            <w:tcW w:w="133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11.54</w:t>
            </w:r>
          </w:p>
        </w:tc>
        <w:tc>
          <w:tcPr>
            <w:tcW w:w="1505" w:type="dxa"/>
            <w:vAlign w:val="center"/>
          </w:tcPr>
          <w:p>
            <w:pPr>
              <w:jc w:val="center"/>
              <w:rPr>
                <w:rFonts w:hint="eastAsia" w:ascii="仿宋_GB2312" w:hAnsi="仿宋_GB2312" w:eastAsia="仿宋_GB2312" w:cs="仿宋_GB2312"/>
                <w:kern w:val="2"/>
                <w:sz w:val="21"/>
                <w:szCs w:val="21"/>
                <w:lang w:val="en-US" w:eastAsia="zh-CN" w:bidi="ar-SA"/>
              </w:rPr>
            </w:pPr>
          </w:p>
        </w:tc>
        <w:tc>
          <w:tcPr>
            <w:tcW w:w="1506" w:type="dxa"/>
            <w:vAlign w:val="center"/>
          </w:tcPr>
          <w:p>
            <w:pPr>
              <w:jc w:val="center"/>
              <w:rPr>
                <w:rFonts w:hint="eastAsia" w:ascii="仿宋_GB2312" w:hAnsi="仿宋_GB2312" w:eastAsia="仿宋_GB2312" w:cs="仿宋_GB2312"/>
                <w:kern w:val="2"/>
                <w:sz w:val="21"/>
                <w:szCs w:val="21"/>
                <w:lang w:val="en-US" w:eastAsia="zh-CN" w:bidi="ar-SA"/>
              </w:rPr>
            </w:pPr>
          </w:p>
        </w:tc>
        <w:tc>
          <w:tcPr>
            <w:tcW w:w="1080"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val="en-US" w:eastAsia="zh-CN"/>
              </w:rPr>
              <w:t>√</w:t>
            </w:r>
          </w:p>
        </w:tc>
        <w:tc>
          <w:tcPr>
            <w:tcW w:w="1331" w:type="dxa"/>
            <w:vAlign w:val="center"/>
          </w:tcPr>
          <w:p>
            <w:pPr>
              <w:spacing w:line="300" w:lineRule="exact"/>
              <w:jc w:val="center"/>
              <w:rPr>
                <w:rFonts w:hint="eastAsia" w:ascii="仿宋_GB2312" w:hAnsi="黑体" w:eastAsia="仿宋_GB2312" w:cs="黑体"/>
                <w:kern w:val="0"/>
                <w:sz w:val="21"/>
                <w:szCs w:val="21"/>
                <w:lang w:val="en-US" w:eastAsia="zh-CN" w:bidi="ar-SA"/>
              </w:rPr>
            </w:pPr>
            <w:r>
              <w:rPr>
                <w:rFonts w:hint="eastAsia" w:ascii="仿宋_GB2312" w:hAnsi="黑体" w:eastAsia="仿宋_GB2312" w:cs="黑体"/>
                <w:kern w:val="0"/>
                <w:sz w:val="21"/>
                <w:szCs w:val="21"/>
                <w:lang w:eastAsia="zh-CN"/>
              </w:rPr>
              <w:t>未达到招标金额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75"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其他</w:t>
            </w:r>
          </w:p>
        </w:tc>
        <w:tc>
          <w:tcPr>
            <w:tcW w:w="1236" w:type="dxa"/>
            <w:vAlign w:val="center"/>
          </w:tcPr>
          <w:p>
            <w:pPr>
              <w:spacing w:line="300" w:lineRule="exact"/>
              <w:jc w:val="center"/>
              <w:rPr>
                <w:rFonts w:hint="eastAsia" w:ascii="仿宋_GB2312" w:hAnsi="黑体" w:eastAsia="仿宋_GB2312" w:cs="黑体"/>
                <w:kern w:val="0"/>
                <w:sz w:val="21"/>
                <w:szCs w:val="21"/>
                <w:lang w:eastAsia="zh-CN"/>
              </w:rPr>
            </w:pPr>
          </w:p>
        </w:tc>
        <w:tc>
          <w:tcPr>
            <w:tcW w:w="133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428.62</w:t>
            </w:r>
          </w:p>
        </w:tc>
        <w:tc>
          <w:tcPr>
            <w:tcW w:w="1505" w:type="dxa"/>
            <w:vAlign w:val="center"/>
          </w:tcPr>
          <w:p>
            <w:pPr>
              <w:spacing w:line="300" w:lineRule="exact"/>
              <w:jc w:val="center"/>
              <w:rPr>
                <w:rFonts w:hint="eastAsia" w:ascii="仿宋_GB2312" w:hAnsi="黑体" w:eastAsia="仿宋_GB2312" w:cs="黑体"/>
                <w:kern w:val="0"/>
                <w:sz w:val="21"/>
                <w:szCs w:val="21"/>
                <w:lang w:eastAsia="zh-CN"/>
              </w:rPr>
            </w:pPr>
          </w:p>
        </w:tc>
        <w:tc>
          <w:tcPr>
            <w:tcW w:w="1506" w:type="dxa"/>
            <w:vAlign w:val="center"/>
          </w:tcPr>
          <w:p>
            <w:pPr>
              <w:spacing w:line="300" w:lineRule="exact"/>
              <w:jc w:val="center"/>
              <w:rPr>
                <w:rFonts w:hint="eastAsia" w:ascii="仿宋_GB2312" w:hAnsi="黑体" w:eastAsia="仿宋_GB2312" w:cs="黑体"/>
                <w:kern w:val="0"/>
                <w:sz w:val="21"/>
                <w:szCs w:val="21"/>
                <w:lang w:eastAsia="zh-CN"/>
              </w:rPr>
            </w:pPr>
          </w:p>
        </w:tc>
        <w:tc>
          <w:tcPr>
            <w:tcW w:w="1080" w:type="dxa"/>
            <w:vAlign w:val="center"/>
          </w:tcPr>
          <w:p>
            <w:pPr>
              <w:spacing w:line="300" w:lineRule="exact"/>
              <w:jc w:val="center"/>
              <w:rPr>
                <w:rFonts w:hint="eastAsia" w:ascii="仿宋_GB2312" w:hAnsi="黑体" w:eastAsia="仿宋_GB2312" w:cs="黑体"/>
                <w:kern w:val="0"/>
                <w:sz w:val="21"/>
                <w:szCs w:val="21"/>
                <w:lang w:val="en-US" w:eastAsia="zh-CN" w:bidi="ar-SA"/>
              </w:rPr>
            </w:pPr>
            <w:r>
              <w:rPr>
                <w:rFonts w:hint="eastAsia" w:ascii="仿宋_GB2312" w:hAnsi="黑体" w:eastAsia="仿宋_GB2312" w:cs="黑体"/>
                <w:kern w:val="0"/>
                <w:sz w:val="21"/>
                <w:szCs w:val="21"/>
                <w:lang w:val="en-US" w:eastAsia="zh-CN"/>
              </w:rPr>
              <w:t>√</w:t>
            </w:r>
          </w:p>
        </w:tc>
        <w:tc>
          <w:tcPr>
            <w:tcW w:w="1331" w:type="dxa"/>
            <w:vAlign w:val="center"/>
          </w:tcPr>
          <w:p>
            <w:pPr>
              <w:spacing w:line="300" w:lineRule="exact"/>
              <w:jc w:val="center"/>
              <w:rPr>
                <w:rFonts w:hint="eastAsia" w:ascii="仿宋_GB2312" w:hAnsi="黑体" w:eastAsia="仿宋_GB2312" w:cs="黑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072" w:type="dxa"/>
            <w:gridSpan w:val="7"/>
          </w:tcPr>
          <w:p>
            <w:pPr>
              <w:spacing w:line="300" w:lineRule="exact"/>
              <w:jc w:val="both"/>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rPr>
              <w:t>核准意见说明：</w:t>
            </w:r>
            <w:r>
              <w:rPr>
                <w:rFonts w:hint="eastAsia" w:ascii="仿宋_GB2312" w:hAnsi="黑体" w:eastAsia="仿宋_GB2312" w:cs="黑体"/>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072" w:type="dxa"/>
            <w:gridSpan w:val="7"/>
            <w:tcBorders>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注意事项：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rPr>
              <w:t>1</w:t>
            </w:r>
            <w:r>
              <w:rPr>
                <w:rFonts w:hint="eastAsia" w:ascii="仿宋_GB2312" w:hAnsi="仿宋_GB2312" w:eastAsia="仿宋_GB2312" w:cs="仿宋_GB2312"/>
                <w:kern w:val="0"/>
                <w:sz w:val="24"/>
                <w:szCs w:val="24"/>
              </w:rPr>
              <w:t>、根据《招标公告和公示信息发布管理办法》（国家发展改革委令第10号），依法必须招标项目的招标公告和公示信息应当在北京市公共资源交易服务平台、中国招标投标公共服务平台上发布。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2、政府投资项目，项目单位应当将资格预审公告、招标公告、中标候选人公示、中标结果公示等信息在北京市公共资源交易服务平台（ggzyfw.beijing.gov.cn）上全过程公开。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hAnsi="仿宋_GB2312" w:cs="仿宋_GB2312"/>
                <w:kern w:val="0"/>
                <w:sz w:val="21"/>
                <w:szCs w:val="21"/>
              </w:rPr>
            </w:pPr>
            <w:r>
              <w:rPr>
                <w:rFonts w:hint="eastAsia" w:ascii="仿宋_GB2312" w:hAnsi="仿宋_GB2312" w:eastAsia="仿宋_GB2312" w:cs="仿宋_GB2312"/>
                <w:kern w:val="0"/>
                <w:sz w:val="24"/>
                <w:szCs w:val="24"/>
              </w:rPr>
              <w:t>3、招标方案核准意见在本项目实施全过程有效。在项目实施过程中，如确有特殊情况需要变更已经核准的招标方案的，应当报我委重新核准。</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2"/>
          <w:szCs w:val="21"/>
          <w:lang w:eastAsia="zh-CN"/>
        </w:rPr>
      </w:pPr>
    </w:p>
    <w:bookmarkEnd w:id="7"/>
    <w:tbl>
      <w:tblPr>
        <w:tblStyle w:val="10"/>
        <w:tblpPr w:leftFromText="181" w:rightFromText="181" w:vertAnchor="page" w:horzAnchor="page" w:tblpX="1563" w:tblpY="14336"/>
        <w:tblW w:w="8860" w:type="dxa"/>
        <w:tblInd w:w="0" w:type="dxa"/>
        <w:tblLayout w:type="fixed"/>
        <w:tblCellMar>
          <w:top w:w="0" w:type="dxa"/>
          <w:left w:w="0" w:type="dxa"/>
          <w:bottom w:w="0" w:type="dxa"/>
          <w:right w:w="0" w:type="dxa"/>
        </w:tblCellMar>
      </w:tblPr>
      <w:tblGrid>
        <w:gridCol w:w="4665"/>
        <w:gridCol w:w="4195"/>
      </w:tblGrid>
      <w:tr>
        <w:tblPrEx>
          <w:tblCellMar>
            <w:top w:w="0" w:type="dxa"/>
            <w:left w:w="0" w:type="dxa"/>
            <w:bottom w:w="0" w:type="dxa"/>
            <w:right w:w="0" w:type="dxa"/>
          </w:tblCellMar>
        </w:tblPrEx>
        <w:trPr>
          <w:cantSplit/>
          <w:trHeight w:val="578" w:hRule="atLeast"/>
        </w:trPr>
        <w:tc>
          <w:tcPr>
            <w:tcW w:w="4665" w:type="dxa"/>
            <w:tcBorders>
              <w:top w:val="single" w:color="auto" w:sz="4" w:space="0"/>
              <w:bottom w:val="single" w:color="auto" w:sz="8" w:space="0"/>
            </w:tcBorders>
            <w:tcMar>
              <w:left w:w="0" w:type="dxa"/>
              <w:right w:w="0" w:type="dxa"/>
            </w:tcMar>
            <w:vAlign w:val="center"/>
          </w:tcPr>
          <w:p>
            <w:pPr>
              <w:spacing w:line="520" w:lineRule="exact"/>
              <w:ind w:firstLine="280" w:firstLineChars="100"/>
              <w:rPr>
                <w:rFonts w:hint="eastAsia" w:ascii="仿宋_GB2312" w:hAnsi="仿宋_GB2312" w:eastAsia="仿宋_GB2312"/>
                <w:sz w:val="28"/>
              </w:rPr>
            </w:pPr>
            <w:r>
              <w:rPr>
                <w:rFonts w:hint="eastAsia" w:ascii="仿宋_GB2312" w:hAnsi="仿宋_GB2312" w:eastAsia="仿宋_GB2312"/>
                <w:sz w:val="28"/>
              </w:rPr>
              <w:t>通州区发展和改革委员会办公室</w:t>
            </w:r>
          </w:p>
        </w:tc>
        <w:tc>
          <w:tcPr>
            <w:tcW w:w="4195" w:type="dxa"/>
            <w:tcBorders>
              <w:top w:val="single" w:color="auto" w:sz="4" w:space="0"/>
              <w:bottom w:val="single" w:color="auto" w:sz="8" w:space="0"/>
            </w:tcBorders>
            <w:tcMar>
              <w:left w:w="0" w:type="dxa"/>
              <w:right w:w="0" w:type="dxa"/>
            </w:tcMar>
            <w:vAlign w:val="center"/>
          </w:tcPr>
          <w:p>
            <w:pPr>
              <w:spacing w:line="520" w:lineRule="exact"/>
              <w:jc w:val="center"/>
              <w:rPr>
                <w:rFonts w:hint="eastAsia" w:ascii="仿宋_GB2312" w:hAnsi="仿宋_GB2312" w:eastAsia="仿宋_GB2312"/>
                <w:sz w:val="28"/>
              </w:rPr>
            </w:pPr>
            <w:r>
              <w:rPr>
                <w:rFonts w:hint="eastAsia" w:ascii="仿宋_GB2312" w:hAnsi="仿宋_GB2312" w:eastAsia="仿宋_GB2312"/>
                <w:sz w:val="28"/>
                <w:lang w:val="en-US" w:eastAsia="zh-CN"/>
              </w:rPr>
              <w:t xml:space="preserve">     </w:t>
            </w:r>
            <w:r>
              <w:rPr>
                <w:rFonts w:hint="eastAsia" w:ascii="仿宋_GB2312" w:hAnsi="仿宋_GB2312" w:eastAsia="仿宋_GB2312"/>
                <w:sz w:val="28"/>
              </w:rPr>
              <w:t>202</w:t>
            </w:r>
            <w:r>
              <w:rPr>
                <w:rFonts w:hint="eastAsia" w:ascii="仿宋_GB2312" w:hAnsi="仿宋_GB2312" w:eastAsia="仿宋_GB2312"/>
                <w:sz w:val="28"/>
                <w:lang w:val="en-US" w:eastAsia="zh-CN"/>
              </w:rPr>
              <w:t>5</w:t>
            </w:r>
            <w:r>
              <w:rPr>
                <w:rFonts w:hint="eastAsia" w:ascii="仿宋_GB2312" w:hAnsi="仿宋_GB2312" w:eastAsia="仿宋_GB2312"/>
                <w:sz w:val="28"/>
              </w:rPr>
              <w:t>年</w:t>
            </w:r>
            <w:r>
              <w:rPr>
                <w:rFonts w:hint="eastAsia" w:ascii="仿宋_GB2312" w:hAnsi="仿宋_GB2312" w:eastAsia="仿宋_GB2312"/>
                <w:sz w:val="28"/>
                <w:lang w:val="en-US" w:eastAsia="zh-CN"/>
              </w:rPr>
              <w:t>6</w:t>
            </w:r>
            <w:r>
              <w:rPr>
                <w:rFonts w:hint="eastAsia" w:ascii="仿宋_GB2312" w:hAnsi="仿宋_GB2312" w:eastAsia="仿宋_GB2312"/>
                <w:sz w:val="28"/>
              </w:rPr>
              <w:t>月</w:t>
            </w:r>
            <w:r>
              <w:rPr>
                <w:rFonts w:hint="eastAsia" w:ascii="仿宋_GB2312" w:hAnsi="仿宋_GB2312" w:eastAsia="仿宋_GB2312"/>
                <w:sz w:val="28"/>
                <w:lang w:val="en-US" w:eastAsia="zh-CN"/>
              </w:rPr>
              <w:t>4</w:t>
            </w:r>
            <w:r>
              <w:rPr>
                <w:rFonts w:hint="eastAsia" w:ascii="仿宋_GB2312" w:hAnsi="仿宋_GB2312" w:eastAsia="仿宋_GB2312"/>
                <w:sz w:val="28"/>
              </w:rPr>
              <w:t>日印发</w:t>
            </w:r>
          </w:p>
        </w:tc>
      </w:tr>
    </w:tbl>
    <w:p>
      <w:pPr>
        <w:keepNext w:val="0"/>
        <w:keepLines w:val="0"/>
        <w:pageBreakBefore w:val="0"/>
        <w:widowControl w:val="0"/>
        <w:tabs>
          <w:tab w:val="left" w:pos="7350"/>
        </w:tabs>
        <w:kinsoku/>
        <w:wordWrap/>
        <w:overflowPunct/>
        <w:topLinePunct w:val="0"/>
        <w:autoSpaceDE/>
        <w:autoSpaceDN/>
        <w:bidi w:val="0"/>
        <w:adjustRightInd/>
        <w:snapToGrid/>
        <w:textAlignment w:val="auto"/>
        <w:rPr>
          <w:lang w:val="en-US" w:eastAsia="zh-CN"/>
        </w:rPr>
      </w:pPr>
      <w:r>
        <w:rPr>
          <w:rFonts w:hint="eastAsia" w:ascii="仿宋_GB2312" w:hAnsi="仿宋_GB2312" w:eastAsia="仿宋_GB2312" w:cs="仿宋_GB2312"/>
          <w:sz w:val="22"/>
          <w:szCs w:val="21"/>
          <w:lang w:eastAsia="zh-CN"/>
        </w:rPr>
        <w:drawing>
          <wp:anchor distT="0" distB="0" distL="114300" distR="114300" simplePos="0" relativeHeight="251659264" behindDoc="0" locked="0" layoutInCell="1" allowOverlap="1">
            <wp:simplePos x="0" y="0"/>
            <wp:positionH relativeFrom="column">
              <wp:posOffset>3713480</wp:posOffset>
            </wp:positionH>
            <wp:positionV relativeFrom="paragraph">
              <wp:posOffset>678815</wp:posOffset>
            </wp:positionV>
            <wp:extent cx="1664335" cy="615950"/>
            <wp:effectExtent l="0" t="0" r="12065" b="8890"/>
            <wp:wrapNone/>
            <wp:docPr id="2" name="图片 2" descr="174900590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9005909193"/>
                    <pic:cNvPicPr>
                      <a:picLocks noChangeAspect="1"/>
                    </pic:cNvPicPr>
                  </pic:nvPicPr>
                  <pic:blipFill>
                    <a:blip r:embed="rId5"/>
                    <a:srcRect t="3670"/>
                    <a:stretch>
                      <a:fillRect/>
                    </a:stretch>
                  </pic:blipFill>
                  <pic:spPr>
                    <a:xfrm>
                      <a:off x="0" y="0"/>
                      <a:ext cx="1664335" cy="615950"/>
                    </a:xfrm>
                    <a:prstGeom prst="rect">
                      <a:avLst/>
                    </a:prstGeom>
                  </pic:spPr>
                </pic:pic>
              </a:graphicData>
            </a:graphic>
          </wp:anchor>
        </w:drawing>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4"/>
      </w:rPr>
    </w:pPr>
  </w:p>
  <w:p>
    <w:pPr>
      <w:pStyle w:val="6"/>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mY1YzM1NmFmNDA2MDE3OWM4OTkxODQ4ZGRiZDgifQ=="/>
  </w:docVars>
  <w:rsids>
    <w:rsidRoot w:val="00172A27"/>
    <w:rsid w:val="00005209"/>
    <w:rsid w:val="000149DD"/>
    <w:rsid w:val="000218F7"/>
    <w:rsid w:val="0002716F"/>
    <w:rsid w:val="00035244"/>
    <w:rsid w:val="0004527E"/>
    <w:rsid w:val="0008765D"/>
    <w:rsid w:val="00094A26"/>
    <w:rsid w:val="000A020F"/>
    <w:rsid w:val="000A174B"/>
    <w:rsid w:val="000B16E6"/>
    <w:rsid w:val="000C5EEC"/>
    <w:rsid w:val="000C76C2"/>
    <w:rsid w:val="000D3CCA"/>
    <w:rsid w:val="000D7115"/>
    <w:rsid w:val="000E1798"/>
    <w:rsid w:val="000F2C71"/>
    <w:rsid w:val="00121579"/>
    <w:rsid w:val="0012274D"/>
    <w:rsid w:val="00125F26"/>
    <w:rsid w:val="00151935"/>
    <w:rsid w:val="00172A27"/>
    <w:rsid w:val="00176C2A"/>
    <w:rsid w:val="0018600F"/>
    <w:rsid w:val="0019031B"/>
    <w:rsid w:val="001D0E26"/>
    <w:rsid w:val="001E06D0"/>
    <w:rsid w:val="001E4F17"/>
    <w:rsid w:val="00205F40"/>
    <w:rsid w:val="00220AEE"/>
    <w:rsid w:val="00231479"/>
    <w:rsid w:val="002371E8"/>
    <w:rsid w:val="00242FF7"/>
    <w:rsid w:val="00246D6C"/>
    <w:rsid w:val="00261785"/>
    <w:rsid w:val="002630AC"/>
    <w:rsid w:val="002722DC"/>
    <w:rsid w:val="00273768"/>
    <w:rsid w:val="002776B2"/>
    <w:rsid w:val="00280B74"/>
    <w:rsid w:val="00297B54"/>
    <w:rsid w:val="002A1788"/>
    <w:rsid w:val="002A5FDC"/>
    <w:rsid w:val="002B5782"/>
    <w:rsid w:val="002E7C61"/>
    <w:rsid w:val="00301210"/>
    <w:rsid w:val="0031512C"/>
    <w:rsid w:val="00333A20"/>
    <w:rsid w:val="003341AF"/>
    <w:rsid w:val="00334496"/>
    <w:rsid w:val="00385E34"/>
    <w:rsid w:val="003A1285"/>
    <w:rsid w:val="003A4D3C"/>
    <w:rsid w:val="003B0BE9"/>
    <w:rsid w:val="003D0AA2"/>
    <w:rsid w:val="004060F2"/>
    <w:rsid w:val="00416129"/>
    <w:rsid w:val="00446A93"/>
    <w:rsid w:val="00447C0B"/>
    <w:rsid w:val="00453300"/>
    <w:rsid w:val="00453583"/>
    <w:rsid w:val="00453CE3"/>
    <w:rsid w:val="00481296"/>
    <w:rsid w:val="00486678"/>
    <w:rsid w:val="0048763F"/>
    <w:rsid w:val="00492EF8"/>
    <w:rsid w:val="004B2133"/>
    <w:rsid w:val="004B71F1"/>
    <w:rsid w:val="004B7B08"/>
    <w:rsid w:val="004C268A"/>
    <w:rsid w:val="004C4538"/>
    <w:rsid w:val="004C6672"/>
    <w:rsid w:val="004C6BA1"/>
    <w:rsid w:val="004C7145"/>
    <w:rsid w:val="004C7A38"/>
    <w:rsid w:val="004D259D"/>
    <w:rsid w:val="004E1BCD"/>
    <w:rsid w:val="004E4C50"/>
    <w:rsid w:val="004E6839"/>
    <w:rsid w:val="004F6533"/>
    <w:rsid w:val="00507DFD"/>
    <w:rsid w:val="00510FC6"/>
    <w:rsid w:val="0054131E"/>
    <w:rsid w:val="005667B7"/>
    <w:rsid w:val="00566FDC"/>
    <w:rsid w:val="005742BE"/>
    <w:rsid w:val="005840D1"/>
    <w:rsid w:val="00591980"/>
    <w:rsid w:val="00597E54"/>
    <w:rsid w:val="005C6DB6"/>
    <w:rsid w:val="005E565F"/>
    <w:rsid w:val="00604D0A"/>
    <w:rsid w:val="00606140"/>
    <w:rsid w:val="006075DA"/>
    <w:rsid w:val="00615B66"/>
    <w:rsid w:val="00617C3C"/>
    <w:rsid w:val="006212A9"/>
    <w:rsid w:val="00621BB5"/>
    <w:rsid w:val="00621DA9"/>
    <w:rsid w:val="0065391C"/>
    <w:rsid w:val="00655430"/>
    <w:rsid w:val="00684E27"/>
    <w:rsid w:val="00695A40"/>
    <w:rsid w:val="00697581"/>
    <w:rsid w:val="006A006C"/>
    <w:rsid w:val="006A44F2"/>
    <w:rsid w:val="006D44A7"/>
    <w:rsid w:val="006D7EBF"/>
    <w:rsid w:val="006E4C88"/>
    <w:rsid w:val="006F4F4D"/>
    <w:rsid w:val="006F7785"/>
    <w:rsid w:val="00707E97"/>
    <w:rsid w:val="00714F00"/>
    <w:rsid w:val="00750DB9"/>
    <w:rsid w:val="00764D98"/>
    <w:rsid w:val="0078482E"/>
    <w:rsid w:val="00786CB5"/>
    <w:rsid w:val="007925AD"/>
    <w:rsid w:val="007C1D85"/>
    <w:rsid w:val="007D1E51"/>
    <w:rsid w:val="007E5474"/>
    <w:rsid w:val="007F67F7"/>
    <w:rsid w:val="00802A4A"/>
    <w:rsid w:val="00815DC4"/>
    <w:rsid w:val="008501FA"/>
    <w:rsid w:val="00852CE6"/>
    <w:rsid w:val="00863033"/>
    <w:rsid w:val="0089012D"/>
    <w:rsid w:val="008918A1"/>
    <w:rsid w:val="008A0825"/>
    <w:rsid w:val="008B5D5B"/>
    <w:rsid w:val="008C2A06"/>
    <w:rsid w:val="008D2E5D"/>
    <w:rsid w:val="008E3AB7"/>
    <w:rsid w:val="008F523E"/>
    <w:rsid w:val="0090583C"/>
    <w:rsid w:val="00905FE4"/>
    <w:rsid w:val="00961D62"/>
    <w:rsid w:val="00971EC0"/>
    <w:rsid w:val="0097273F"/>
    <w:rsid w:val="009813F8"/>
    <w:rsid w:val="00983BB4"/>
    <w:rsid w:val="009A2C79"/>
    <w:rsid w:val="009A6420"/>
    <w:rsid w:val="009A77BA"/>
    <w:rsid w:val="009C1F09"/>
    <w:rsid w:val="009C1F7C"/>
    <w:rsid w:val="009C5EE4"/>
    <w:rsid w:val="009D3C54"/>
    <w:rsid w:val="009D67EF"/>
    <w:rsid w:val="009D7672"/>
    <w:rsid w:val="009F35B7"/>
    <w:rsid w:val="009F6B0C"/>
    <w:rsid w:val="00A001C2"/>
    <w:rsid w:val="00A04487"/>
    <w:rsid w:val="00A05EBC"/>
    <w:rsid w:val="00A06C13"/>
    <w:rsid w:val="00A11F11"/>
    <w:rsid w:val="00A16F77"/>
    <w:rsid w:val="00A318F6"/>
    <w:rsid w:val="00A35BC1"/>
    <w:rsid w:val="00A55BB5"/>
    <w:rsid w:val="00A60B71"/>
    <w:rsid w:val="00A6427D"/>
    <w:rsid w:val="00A8377D"/>
    <w:rsid w:val="00A90C2C"/>
    <w:rsid w:val="00AC49B8"/>
    <w:rsid w:val="00AC7685"/>
    <w:rsid w:val="00AD1CEE"/>
    <w:rsid w:val="00AF562A"/>
    <w:rsid w:val="00B02372"/>
    <w:rsid w:val="00B031FA"/>
    <w:rsid w:val="00B10C12"/>
    <w:rsid w:val="00B211E6"/>
    <w:rsid w:val="00B2471E"/>
    <w:rsid w:val="00B42737"/>
    <w:rsid w:val="00B67488"/>
    <w:rsid w:val="00B80702"/>
    <w:rsid w:val="00BB099E"/>
    <w:rsid w:val="00BB6DAA"/>
    <w:rsid w:val="00BD6D3A"/>
    <w:rsid w:val="00BE382C"/>
    <w:rsid w:val="00BE6D90"/>
    <w:rsid w:val="00C002D8"/>
    <w:rsid w:val="00C0496E"/>
    <w:rsid w:val="00C05534"/>
    <w:rsid w:val="00C057C7"/>
    <w:rsid w:val="00C1010B"/>
    <w:rsid w:val="00C2466C"/>
    <w:rsid w:val="00C33CAC"/>
    <w:rsid w:val="00C431CC"/>
    <w:rsid w:val="00C44763"/>
    <w:rsid w:val="00C55100"/>
    <w:rsid w:val="00C5754C"/>
    <w:rsid w:val="00C75585"/>
    <w:rsid w:val="00C76ADD"/>
    <w:rsid w:val="00C819D7"/>
    <w:rsid w:val="00C82F69"/>
    <w:rsid w:val="00C95C2C"/>
    <w:rsid w:val="00C96F1F"/>
    <w:rsid w:val="00CB775E"/>
    <w:rsid w:val="00CC50DB"/>
    <w:rsid w:val="00CE3190"/>
    <w:rsid w:val="00D00B5F"/>
    <w:rsid w:val="00D14C31"/>
    <w:rsid w:val="00D14CF5"/>
    <w:rsid w:val="00D2184E"/>
    <w:rsid w:val="00D37468"/>
    <w:rsid w:val="00D42F06"/>
    <w:rsid w:val="00D42F40"/>
    <w:rsid w:val="00D827C5"/>
    <w:rsid w:val="00DB2410"/>
    <w:rsid w:val="00DB47B9"/>
    <w:rsid w:val="00DB5EFD"/>
    <w:rsid w:val="00DB6094"/>
    <w:rsid w:val="00DC2077"/>
    <w:rsid w:val="00DD414E"/>
    <w:rsid w:val="00DF4DE9"/>
    <w:rsid w:val="00E06820"/>
    <w:rsid w:val="00E30B7D"/>
    <w:rsid w:val="00E34BCB"/>
    <w:rsid w:val="00E513A6"/>
    <w:rsid w:val="00E600F8"/>
    <w:rsid w:val="00E60DE5"/>
    <w:rsid w:val="00E63F99"/>
    <w:rsid w:val="00E6628B"/>
    <w:rsid w:val="00E70381"/>
    <w:rsid w:val="00EA5E5C"/>
    <w:rsid w:val="00EA742E"/>
    <w:rsid w:val="00EC128C"/>
    <w:rsid w:val="00EC1789"/>
    <w:rsid w:val="00EC5DF6"/>
    <w:rsid w:val="00ED374D"/>
    <w:rsid w:val="00ED5E04"/>
    <w:rsid w:val="00EE0685"/>
    <w:rsid w:val="00EE4BA7"/>
    <w:rsid w:val="00EE7765"/>
    <w:rsid w:val="00F03ED0"/>
    <w:rsid w:val="00F17F02"/>
    <w:rsid w:val="00F216DF"/>
    <w:rsid w:val="00F23739"/>
    <w:rsid w:val="00F5159E"/>
    <w:rsid w:val="00F540E6"/>
    <w:rsid w:val="00F541E0"/>
    <w:rsid w:val="00F62CC0"/>
    <w:rsid w:val="00F8109C"/>
    <w:rsid w:val="00F81468"/>
    <w:rsid w:val="00FD60A5"/>
    <w:rsid w:val="00FD62C9"/>
    <w:rsid w:val="00FE1CA1"/>
    <w:rsid w:val="00FE3841"/>
    <w:rsid w:val="01B11575"/>
    <w:rsid w:val="01F10F2F"/>
    <w:rsid w:val="0227097B"/>
    <w:rsid w:val="02A0184A"/>
    <w:rsid w:val="02B10FE0"/>
    <w:rsid w:val="042D191E"/>
    <w:rsid w:val="04D50EFA"/>
    <w:rsid w:val="05132376"/>
    <w:rsid w:val="053F3C16"/>
    <w:rsid w:val="05ED4186"/>
    <w:rsid w:val="061B6D66"/>
    <w:rsid w:val="06227D5C"/>
    <w:rsid w:val="06530E2F"/>
    <w:rsid w:val="065B7D5E"/>
    <w:rsid w:val="067E5E4B"/>
    <w:rsid w:val="07411113"/>
    <w:rsid w:val="07737C11"/>
    <w:rsid w:val="08A42BA5"/>
    <w:rsid w:val="09570682"/>
    <w:rsid w:val="09F52429"/>
    <w:rsid w:val="0A0E20F1"/>
    <w:rsid w:val="0A394710"/>
    <w:rsid w:val="0B142C26"/>
    <w:rsid w:val="0B3F6586"/>
    <w:rsid w:val="0B9252D1"/>
    <w:rsid w:val="0C081FD9"/>
    <w:rsid w:val="0C0832F6"/>
    <w:rsid w:val="0D2801AA"/>
    <w:rsid w:val="0E2277CB"/>
    <w:rsid w:val="0E2F0364"/>
    <w:rsid w:val="0E54779A"/>
    <w:rsid w:val="0F1A4DA5"/>
    <w:rsid w:val="0FCE1E42"/>
    <w:rsid w:val="0FD14A20"/>
    <w:rsid w:val="0FF320B4"/>
    <w:rsid w:val="10326620"/>
    <w:rsid w:val="10395A91"/>
    <w:rsid w:val="1049359A"/>
    <w:rsid w:val="106C62AC"/>
    <w:rsid w:val="114636C6"/>
    <w:rsid w:val="11D43A3F"/>
    <w:rsid w:val="11DD1FA6"/>
    <w:rsid w:val="12EE3129"/>
    <w:rsid w:val="13E26A72"/>
    <w:rsid w:val="142C3204"/>
    <w:rsid w:val="144417E3"/>
    <w:rsid w:val="146779EB"/>
    <w:rsid w:val="14CB74F9"/>
    <w:rsid w:val="157A3A5C"/>
    <w:rsid w:val="15B3508F"/>
    <w:rsid w:val="15C63520"/>
    <w:rsid w:val="162131E6"/>
    <w:rsid w:val="16A23F21"/>
    <w:rsid w:val="1775192E"/>
    <w:rsid w:val="17AA2167"/>
    <w:rsid w:val="18691509"/>
    <w:rsid w:val="18FE6EBA"/>
    <w:rsid w:val="191A7E5B"/>
    <w:rsid w:val="1A4D7C6D"/>
    <w:rsid w:val="1BEF7250"/>
    <w:rsid w:val="1CCF1D5B"/>
    <w:rsid w:val="1D5A5D40"/>
    <w:rsid w:val="1DAA74CC"/>
    <w:rsid w:val="1E5D4AA3"/>
    <w:rsid w:val="1F110B89"/>
    <w:rsid w:val="1FC505A0"/>
    <w:rsid w:val="209C3893"/>
    <w:rsid w:val="22BE5F44"/>
    <w:rsid w:val="22EC4B30"/>
    <w:rsid w:val="24CB26E2"/>
    <w:rsid w:val="256C329A"/>
    <w:rsid w:val="258C4677"/>
    <w:rsid w:val="25CF5750"/>
    <w:rsid w:val="269237CC"/>
    <w:rsid w:val="26E347A2"/>
    <w:rsid w:val="26EF744B"/>
    <w:rsid w:val="289C2E72"/>
    <w:rsid w:val="29777338"/>
    <w:rsid w:val="29E40A0D"/>
    <w:rsid w:val="2AE826DF"/>
    <w:rsid w:val="2B197D64"/>
    <w:rsid w:val="2B2F4D25"/>
    <w:rsid w:val="2D067762"/>
    <w:rsid w:val="2D7354A9"/>
    <w:rsid w:val="2D77767C"/>
    <w:rsid w:val="2DA66CA0"/>
    <w:rsid w:val="2E1A0968"/>
    <w:rsid w:val="2E297D6F"/>
    <w:rsid w:val="2E461099"/>
    <w:rsid w:val="2F595A0B"/>
    <w:rsid w:val="2F8E785D"/>
    <w:rsid w:val="2FFE2977"/>
    <w:rsid w:val="300371EA"/>
    <w:rsid w:val="30171D35"/>
    <w:rsid w:val="30190B1C"/>
    <w:rsid w:val="30236D92"/>
    <w:rsid w:val="3118459C"/>
    <w:rsid w:val="32321932"/>
    <w:rsid w:val="334A0D48"/>
    <w:rsid w:val="336D5B07"/>
    <w:rsid w:val="33721D32"/>
    <w:rsid w:val="34356B70"/>
    <w:rsid w:val="350A5538"/>
    <w:rsid w:val="355B2B76"/>
    <w:rsid w:val="358A78E3"/>
    <w:rsid w:val="35E27D80"/>
    <w:rsid w:val="360D23D1"/>
    <w:rsid w:val="37325771"/>
    <w:rsid w:val="379A30C2"/>
    <w:rsid w:val="38102F59"/>
    <w:rsid w:val="3845163F"/>
    <w:rsid w:val="38AD40AD"/>
    <w:rsid w:val="3A3303D1"/>
    <w:rsid w:val="3A8F37B6"/>
    <w:rsid w:val="3A9D1366"/>
    <w:rsid w:val="3AE575D8"/>
    <w:rsid w:val="3CE97584"/>
    <w:rsid w:val="3D723818"/>
    <w:rsid w:val="3DF2368E"/>
    <w:rsid w:val="3EED45D7"/>
    <w:rsid w:val="3F606432"/>
    <w:rsid w:val="40362EE0"/>
    <w:rsid w:val="40984E1F"/>
    <w:rsid w:val="420403F7"/>
    <w:rsid w:val="420743FC"/>
    <w:rsid w:val="42D069E5"/>
    <w:rsid w:val="44247717"/>
    <w:rsid w:val="44616634"/>
    <w:rsid w:val="44CC16FD"/>
    <w:rsid w:val="45095480"/>
    <w:rsid w:val="45423313"/>
    <w:rsid w:val="45983CF3"/>
    <w:rsid w:val="46B1640B"/>
    <w:rsid w:val="46CE1FA1"/>
    <w:rsid w:val="46D27ACF"/>
    <w:rsid w:val="472A4760"/>
    <w:rsid w:val="47C67D18"/>
    <w:rsid w:val="49324D4E"/>
    <w:rsid w:val="49DB351E"/>
    <w:rsid w:val="49EA3CF6"/>
    <w:rsid w:val="4A965018"/>
    <w:rsid w:val="4BDE19C2"/>
    <w:rsid w:val="4F514FED"/>
    <w:rsid w:val="528F09B8"/>
    <w:rsid w:val="543C0F3D"/>
    <w:rsid w:val="54C27B5B"/>
    <w:rsid w:val="552C1C13"/>
    <w:rsid w:val="58EA4062"/>
    <w:rsid w:val="594A639D"/>
    <w:rsid w:val="596252F6"/>
    <w:rsid w:val="5AA70668"/>
    <w:rsid w:val="5C542763"/>
    <w:rsid w:val="5E4C2329"/>
    <w:rsid w:val="5E5E3F1C"/>
    <w:rsid w:val="5E7365EB"/>
    <w:rsid w:val="5F174CF1"/>
    <w:rsid w:val="5F2243BB"/>
    <w:rsid w:val="5FC707AE"/>
    <w:rsid w:val="5FF64265"/>
    <w:rsid w:val="60815702"/>
    <w:rsid w:val="60E3232E"/>
    <w:rsid w:val="60F3336C"/>
    <w:rsid w:val="610B7446"/>
    <w:rsid w:val="61B75EBB"/>
    <w:rsid w:val="62C926A6"/>
    <w:rsid w:val="63792132"/>
    <w:rsid w:val="638B18AC"/>
    <w:rsid w:val="64A84B6A"/>
    <w:rsid w:val="6536727F"/>
    <w:rsid w:val="6573056E"/>
    <w:rsid w:val="665121E0"/>
    <w:rsid w:val="66A95DE7"/>
    <w:rsid w:val="67506317"/>
    <w:rsid w:val="67E43AB7"/>
    <w:rsid w:val="69155A6E"/>
    <w:rsid w:val="69B0655D"/>
    <w:rsid w:val="6AB06C2A"/>
    <w:rsid w:val="6B883EE8"/>
    <w:rsid w:val="6C195994"/>
    <w:rsid w:val="6D4F4286"/>
    <w:rsid w:val="6D801142"/>
    <w:rsid w:val="6DD62405"/>
    <w:rsid w:val="6F066DAC"/>
    <w:rsid w:val="6FCE545F"/>
    <w:rsid w:val="6FEC09C8"/>
    <w:rsid w:val="706A4BAF"/>
    <w:rsid w:val="715C33BB"/>
    <w:rsid w:val="72A7310A"/>
    <w:rsid w:val="72E92C14"/>
    <w:rsid w:val="73091AF0"/>
    <w:rsid w:val="731C2A2E"/>
    <w:rsid w:val="74783646"/>
    <w:rsid w:val="7486115D"/>
    <w:rsid w:val="755D671E"/>
    <w:rsid w:val="77231470"/>
    <w:rsid w:val="787358C9"/>
    <w:rsid w:val="78830AE4"/>
    <w:rsid w:val="78841962"/>
    <w:rsid w:val="78997DB6"/>
    <w:rsid w:val="793F5EA6"/>
    <w:rsid w:val="7AA928DC"/>
    <w:rsid w:val="7B3509F0"/>
    <w:rsid w:val="7B8F79DF"/>
    <w:rsid w:val="7B98702C"/>
    <w:rsid w:val="7D270BF6"/>
    <w:rsid w:val="7D5B5686"/>
    <w:rsid w:val="7D972B64"/>
    <w:rsid w:val="7E09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360"/>
      <w:jc w:val="center"/>
    </w:pPr>
    <w:rPr>
      <w:rFonts w:eastAsia="黑体"/>
      <w:b/>
      <w:sz w:val="44"/>
    </w:rPr>
  </w:style>
  <w:style w:type="paragraph" w:styleId="3">
    <w:name w:val="Body Text Indent"/>
    <w:basedOn w:val="1"/>
    <w:qFormat/>
    <w:uiPriority w:val="0"/>
    <w:pPr>
      <w:spacing w:after="120"/>
      <w:ind w:left="42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tabs>
        <w:tab w:val="center" w:pos="4153"/>
        <w:tab w:val="right" w:pos="8306"/>
      </w:tabs>
      <w:snapToGrid w:val="0"/>
    </w:pPr>
    <w:rPr>
      <w:sz w:val="18"/>
    </w:rPr>
  </w:style>
  <w:style w:type="paragraph" w:styleId="8">
    <w:name w:val="Body Text 2"/>
    <w:basedOn w:val="1"/>
    <w:qFormat/>
    <w:uiPriority w:val="0"/>
    <w:pPr>
      <w:spacing w:after="120" w:line="480" w:lineRule="auto"/>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2D106-DAFA-4EFA-B850-F12E5EA4776C}">
  <ds:schemaRefs/>
</ds:datastoreItem>
</file>

<file path=docProps/app.xml><?xml version="1.0" encoding="utf-8"?>
<Properties xmlns="http://schemas.openxmlformats.org/officeDocument/2006/extended-properties" xmlns:vt="http://schemas.openxmlformats.org/officeDocument/2006/docPropsVTypes">
  <Template>Normal</Template>
  <Pages>4</Pages>
  <Words>1272</Words>
  <Characters>1402</Characters>
  <Lines>2</Lines>
  <Paragraphs>1</Paragraphs>
  <TotalTime>1</TotalTime>
  <ScaleCrop>false</ScaleCrop>
  <LinksUpToDate>false</LinksUpToDate>
  <CharactersWithSpaces>1408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2018-06-05T05:55:00Z</dcterms:created>
  <dc:creator>谚语</dc:creator>
  <cp:lastModifiedBy>Administrator</cp:lastModifiedBy>
  <cp:lastPrinted>2025-06-03T06:02:00Z</cp:lastPrinted>
  <dcterms:modified xsi:type="dcterms:W3CDTF">2025-06-04T03:45:46Z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A4E68E0B65FD44139D23A6E5AFA96C38</vt:lpwstr>
  </property>
</Properties>
</file>