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center"/>
        <w:rPr>
          <w:rFonts w:hint="eastAsia" w:ascii="仿宋" w:hAnsi="仿宋" w:eastAsia="仿宋" w:cs="仿宋"/>
          <w:b/>
          <w:bCs/>
          <w:i w:val="0"/>
          <w:iCs w:val="0"/>
          <w:caps w:val="0"/>
          <w:color w:val="auto"/>
          <w:spacing w:val="0"/>
          <w:sz w:val="36"/>
          <w:szCs w:val="36"/>
          <w:highlight w:val="none"/>
          <w:shd w:val="clear" w:fill="FFFFFF"/>
        </w:rPr>
      </w:pPr>
      <w:r>
        <w:rPr>
          <w:rFonts w:hint="eastAsia" w:ascii="仿宋" w:hAnsi="仿宋" w:eastAsia="仿宋" w:cs="仿宋"/>
          <w:b/>
          <w:bCs/>
          <w:i w:val="0"/>
          <w:iCs w:val="0"/>
          <w:caps w:val="0"/>
          <w:color w:val="auto"/>
          <w:spacing w:val="0"/>
          <w:sz w:val="36"/>
          <w:szCs w:val="36"/>
          <w:highlight w:val="none"/>
          <w:shd w:val="clear" w:fill="FFFFFF"/>
        </w:rPr>
        <w:t>北京市通州区人力资源和社会保障局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center"/>
        <w:rPr>
          <w:rFonts w:hint="eastAsia" w:ascii="仿宋" w:hAnsi="仿宋" w:eastAsia="仿宋" w:cs="仿宋"/>
          <w:b/>
          <w:bCs/>
          <w:i w:val="0"/>
          <w:iCs w:val="0"/>
          <w:caps w:val="0"/>
          <w:color w:val="auto"/>
          <w:spacing w:val="0"/>
          <w:sz w:val="36"/>
          <w:szCs w:val="36"/>
          <w:highlight w:val="none"/>
          <w:shd w:val="clear" w:fill="FFFFFF"/>
        </w:rPr>
      </w:pPr>
      <w:r>
        <w:rPr>
          <w:rFonts w:hint="eastAsia" w:ascii="仿宋" w:hAnsi="仿宋" w:eastAsia="仿宋" w:cs="仿宋"/>
          <w:b/>
          <w:bCs/>
          <w:i w:val="0"/>
          <w:iCs w:val="0"/>
          <w:caps w:val="0"/>
          <w:color w:val="auto"/>
          <w:spacing w:val="0"/>
          <w:sz w:val="36"/>
          <w:szCs w:val="36"/>
          <w:highlight w:val="none"/>
          <w:shd w:val="clear" w:fill="FFFFFF"/>
        </w:rPr>
        <w:t>202</w:t>
      </w:r>
      <w:r>
        <w:rPr>
          <w:rFonts w:hint="eastAsia" w:ascii="仿宋" w:hAnsi="仿宋" w:eastAsia="仿宋" w:cs="仿宋"/>
          <w:b/>
          <w:bCs/>
          <w:i w:val="0"/>
          <w:iCs w:val="0"/>
          <w:caps w:val="0"/>
          <w:color w:val="auto"/>
          <w:spacing w:val="0"/>
          <w:sz w:val="36"/>
          <w:szCs w:val="36"/>
          <w:highlight w:val="none"/>
          <w:shd w:val="clear" w:fill="FFFFFF"/>
          <w:lang w:val="en-US" w:eastAsia="zh-CN"/>
        </w:rPr>
        <w:t>1</w:t>
      </w:r>
      <w:r>
        <w:rPr>
          <w:rFonts w:hint="eastAsia" w:ascii="仿宋" w:hAnsi="仿宋" w:eastAsia="仿宋" w:cs="仿宋"/>
          <w:b/>
          <w:bCs/>
          <w:i w:val="0"/>
          <w:iCs w:val="0"/>
          <w:caps w:val="0"/>
          <w:color w:val="auto"/>
          <w:spacing w:val="0"/>
          <w:sz w:val="36"/>
          <w:szCs w:val="36"/>
          <w:highlight w:val="none"/>
          <w:shd w:val="clear" w:fill="FFFFFF"/>
        </w:rPr>
        <w:t>年行政执法统计年报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center"/>
        <w:rPr>
          <w:rFonts w:hint="eastAsia" w:ascii="仿宋" w:hAnsi="仿宋" w:eastAsia="仿宋" w:cs="仿宋"/>
          <w:b/>
          <w:bCs/>
          <w:i w:val="0"/>
          <w:iCs w:val="0"/>
          <w:caps w:val="0"/>
          <w:color w:val="auto"/>
          <w:spacing w:val="0"/>
          <w:sz w:val="36"/>
          <w:szCs w:val="36"/>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我局依法行政工作以党的十九大精神为指导，全面贯彻中央依法治国基本方略，紧紧围绕全区人力社保发展大局，深化推进市、区两级依法行政工作要求，提高法律素质和法治意识，全面提升全局依法行政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一、行政执法机关的执法主体名称和数量情况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Calibri" w:hAnsi="Calibri" w:eastAsia="仿宋" w:cs="Calibri"/>
          <w:i w:val="0"/>
          <w:iCs w:val="0"/>
          <w:caps w:val="0"/>
          <w:color w:val="333333"/>
          <w:spacing w:val="0"/>
          <w:sz w:val="21"/>
          <w:szCs w:val="21"/>
          <w:lang w:eastAsia="zh-CN"/>
        </w:rPr>
      </w:pPr>
      <w:r>
        <w:rPr>
          <w:rFonts w:hint="eastAsia" w:ascii="仿宋" w:hAnsi="仿宋" w:eastAsia="仿宋" w:cs="仿宋"/>
          <w:i w:val="0"/>
          <w:iCs w:val="0"/>
          <w:caps w:val="0"/>
          <w:color w:val="333333"/>
          <w:spacing w:val="0"/>
          <w:sz w:val="32"/>
          <w:szCs w:val="32"/>
          <w:shd w:val="clear" w:fill="FFFFFF"/>
        </w:rPr>
        <w:t>行政执法机关的执法主体名称为北京市通州区人力资源和社会保障局</w:t>
      </w:r>
      <w:r>
        <w:rPr>
          <w:rFonts w:hint="eastAsia" w:ascii="仿宋" w:hAnsi="仿宋" w:eastAsia="仿宋" w:cs="仿宋"/>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b/>
          <w:bCs/>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二、各执法主体的执法岗位设置及执法人员在岗情况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按照北京市人力资源和社会保障局对区级行政执法事项要求，我局行政执法事项</w:t>
      </w:r>
      <w:bookmarkStart w:id="0" w:name="_GoBack"/>
      <w:bookmarkEnd w:id="0"/>
      <w:r>
        <w:rPr>
          <w:rFonts w:hint="eastAsia" w:ascii="仿宋" w:hAnsi="仿宋" w:eastAsia="仿宋" w:cs="仿宋"/>
          <w:i w:val="0"/>
          <w:iCs w:val="0"/>
          <w:caps w:val="0"/>
          <w:color w:val="333333"/>
          <w:spacing w:val="0"/>
          <w:sz w:val="32"/>
          <w:szCs w:val="32"/>
          <w:shd w:val="clear" w:fill="FFFFFF"/>
        </w:rPr>
        <w:t>已全部核定执</w:t>
      </w:r>
      <w:r>
        <w:rPr>
          <w:rFonts w:hint="eastAsia" w:ascii="仿宋" w:hAnsi="仿宋" w:eastAsia="仿宋" w:cs="仿宋"/>
          <w:i w:val="0"/>
          <w:iCs w:val="0"/>
          <w:caps w:val="0"/>
          <w:color w:val="333333"/>
          <w:spacing w:val="0"/>
          <w:sz w:val="32"/>
          <w:szCs w:val="32"/>
          <w:shd w:val="clear" w:fill="FFFFFF"/>
          <w:lang w:eastAsia="zh-CN"/>
        </w:rPr>
        <w:t>法人员，其中A</w:t>
      </w:r>
      <w:r>
        <w:rPr>
          <w:rFonts w:hint="eastAsia" w:ascii="仿宋" w:hAnsi="仿宋" w:eastAsia="仿宋" w:cs="仿宋"/>
          <w:i w:val="0"/>
          <w:iCs w:val="0"/>
          <w:caps w:val="0"/>
          <w:color w:val="333333"/>
          <w:spacing w:val="0"/>
          <w:sz w:val="32"/>
          <w:szCs w:val="32"/>
          <w:shd w:val="clear" w:fill="FFFFFF"/>
        </w:rPr>
        <w:t>类</w:t>
      </w:r>
      <w:r>
        <w:rPr>
          <w:rFonts w:hint="eastAsia" w:ascii="仿宋" w:hAnsi="仿宋" w:eastAsia="仿宋" w:cs="仿宋"/>
          <w:i w:val="0"/>
          <w:iCs w:val="0"/>
          <w:caps w:val="0"/>
          <w:color w:val="333333"/>
          <w:spacing w:val="0"/>
          <w:sz w:val="32"/>
          <w:szCs w:val="32"/>
          <w:shd w:val="clear" w:fill="FFFFFF"/>
        </w:rPr>
        <w:t>岗位编</w:t>
      </w:r>
      <w:r>
        <w:rPr>
          <w:rFonts w:hint="eastAsia" w:ascii="仿宋" w:hAnsi="仿宋" w:eastAsia="仿宋" w:cs="仿宋"/>
          <w:i w:val="0"/>
          <w:iCs w:val="0"/>
          <w:caps w:val="0"/>
          <w:color w:val="333333"/>
          <w:spacing w:val="0"/>
          <w:sz w:val="32"/>
          <w:szCs w:val="32"/>
          <w:shd w:val="clear" w:fill="FFFFFF"/>
          <w:lang w:eastAsia="zh-CN"/>
        </w:rPr>
        <w:t>制人员14人，包括对遵守劳动保障法律、法规规章情况进行检查和处理 2人，社会保险稽核（不含医疗保险和生育保险）1人，通州区劳动监察综合执法业务承办岗10人；B类岗位编制人员</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lang w:eastAsia="zh-CN"/>
        </w:rPr>
        <w:t>人，包括通州区人力资源和社会保障行政确认业务承办岗1人、通州区人力资源和社会保障相关事务处理业务承办岗1人</w:t>
      </w:r>
      <w:r>
        <w:rPr>
          <w:rFonts w:hint="eastAsia" w:ascii="仿宋" w:hAnsi="仿宋" w:eastAsia="仿宋" w:cs="仿宋"/>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三、执法力量投入情况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2021年我局10名在编人员参加北京市行政执法资格考试，通过率85%，为我局行政执法工作储备充足力量。截至目前，全局共有46名人员具有行政执法资格证。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b/>
          <w:bCs/>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四、政务服务事项的办理情况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结合机构改革情况，202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lang w:eastAsia="zh-CN"/>
        </w:rPr>
        <w:t>年我局重新梳理政务服务事项，更新事项清单，当前全局共有政务服务事项</w:t>
      </w:r>
      <w:r>
        <w:rPr>
          <w:rFonts w:hint="eastAsia" w:ascii="仿宋" w:hAnsi="仿宋" w:eastAsia="仿宋" w:cs="仿宋"/>
          <w:i w:val="0"/>
          <w:iCs w:val="0"/>
          <w:caps w:val="0"/>
          <w:color w:val="333333"/>
          <w:spacing w:val="0"/>
          <w:sz w:val="32"/>
          <w:szCs w:val="32"/>
          <w:shd w:val="clear" w:fill="FFFFFF"/>
          <w:lang w:val="en-US" w:eastAsia="zh-CN"/>
        </w:rPr>
        <w:t>151</w:t>
      </w:r>
      <w:r>
        <w:rPr>
          <w:rFonts w:hint="eastAsia" w:ascii="仿宋" w:hAnsi="仿宋" w:eastAsia="仿宋" w:cs="仿宋"/>
          <w:i w:val="0"/>
          <w:iCs w:val="0"/>
          <w:caps w:val="0"/>
          <w:color w:val="333333"/>
          <w:spacing w:val="0"/>
          <w:sz w:val="32"/>
          <w:szCs w:val="32"/>
          <w:shd w:val="clear" w:fill="FFFFFF"/>
          <w:lang w:eastAsia="zh-CN"/>
        </w:rPr>
        <w:t>项，推动业务下沉及全区通办工作，通过清单式管理，加强与社保所对口业务培训，已实现</w:t>
      </w:r>
      <w:r>
        <w:rPr>
          <w:rFonts w:hint="eastAsia" w:ascii="仿宋" w:hAnsi="仿宋" w:eastAsia="仿宋" w:cs="仿宋"/>
          <w:i w:val="0"/>
          <w:iCs w:val="0"/>
          <w:caps w:val="0"/>
          <w:color w:val="333333"/>
          <w:spacing w:val="0"/>
          <w:sz w:val="32"/>
          <w:szCs w:val="32"/>
          <w:shd w:val="clear" w:fill="FFFFFF"/>
          <w:lang w:val="en-US" w:eastAsia="zh-CN"/>
        </w:rPr>
        <w:t>89</w:t>
      </w:r>
      <w:r>
        <w:rPr>
          <w:rFonts w:hint="eastAsia" w:ascii="仿宋" w:hAnsi="仿宋" w:eastAsia="仿宋" w:cs="仿宋"/>
          <w:i w:val="0"/>
          <w:iCs w:val="0"/>
          <w:caps w:val="0"/>
          <w:color w:val="333333"/>
          <w:spacing w:val="0"/>
          <w:sz w:val="32"/>
          <w:szCs w:val="32"/>
          <w:shd w:val="clear" w:fill="FFFFFF"/>
          <w:lang w:eastAsia="zh-CN"/>
        </w:rPr>
        <w:t>项办事事项下沉。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b/>
          <w:bCs/>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五、执法检查计划执行情况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lang w:eastAsia="zh-CN"/>
        </w:rPr>
        <w:t>年，根据北京市疫情防控的形势要求，我局</w:t>
      </w:r>
      <w:r>
        <w:rPr>
          <w:rFonts w:hint="eastAsia" w:ascii="仿宋" w:hAnsi="仿宋" w:eastAsia="仿宋" w:cs="仿宋"/>
          <w:i w:val="0"/>
          <w:iCs w:val="0"/>
          <w:caps w:val="0"/>
          <w:color w:val="333333"/>
          <w:spacing w:val="0"/>
          <w:sz w:val="32"/>
          <w:szCs w:val="32"/>
          <w:shd w:val="clear" w:fill="FFFFFF"/>
          <w:lang w:eastAsia="zh-CN"/>
        </w:rPr>
        <w:t>综合执法队主要针对人力资源市场及在施工程项目两个重点领域加大专项执法力度，先后开展根治欠薪、清理整顿等专项执法检查</w:t>
      </w:r>
      <w:r>
        <w:rPr>
          <w:rFonts w:hint="eastAsia" w:ascii="仿宋" w:hAnsi="仿宋" w:eastAsia="仿宋" w:cs="仿宋"/>
          <w:i w:val="0"/>
          <w:iCs w:val="0"/>
          <w:caps w:val="0"/>
          <w:color w:val="333333"/>
          <w:spacing w:val="0"/>
          <w:sz w:val="32"/>
          <w:szCs w:val="32"/>
          <w:shd w:val="clear" w:fill="FFFFFF"/>
          <w:lang w:val="en-US" w:eastAsia="zh-CN"/>
        </w:rPr>
        <w:t>11</w:t>
      </w:r>
      <w:r>
        <w:rPr>
          <w:rFonts w:hint="eastAsia" w:ascii="仿宋" w:hAnsi="仿宋" w:eastAsia="仿宋" w:cs="仿宋"/>
          <w:i w:val="0"/>
          <w:iCs w:val="0"/>
          <w:caps w:val="0"/>
          <w:color w:val="333333"/>
          <w:spacing w:val="0"/>
          <w:sz w:val="32"/>
          <w:szCs w:val="32"/>
          <w:shd w:val="clear" w:fill="FFFFFF"/>
          <w:lang w:eastAsia="zh-CN"/>
        </w:rPr>
        <w:t>次，年度检查用人单位</w:t>
      </w:r>
      <w:r>
        <w:rPr>
          <w:rFonts w:hint="eastAsia" w:ascii="仿宋" w:hAnsi="仿宋" w:eastAsia="仿宋" w:cs="仿宋"/>
          <w:i w:val="0"/>
          <w:iCs w:val="0"/>
          <w:caps w:val="0"/>
          <w:color w:val="333333"/>
          <w:spacing w:val="0"/>
          <w:sz w:val="32"/>
          <w:szCs w:val="32"/>
          <w:shd w:val="clear" w:fill="FFFFFF"/>
          <w:lang w:val="en-US" w:eastAsia="zh-CN"/>
        </w:rPr>
        <w:t>2903</w:t>
      </w:r>
      <w:r>
        <w:rPr>
          <w:rFonts w:hint="eastAsia" w:ascii="仿宋" w:hAnsi="仿宋" w:eastAsia="仿宋" w:cs="仿宋"/>
          <w:i w:val="0"/>
          <w:iCs w:val="0"/>
          <w:caps w:val="0"/>
          <w:color w:val="333333"/>
          <w:spacing w:val="0"/>
          <w:sz w:val="32"/>
          <w:szCs w:val="32"/>
          <w:shd w:val="clear" w:fill="FFFFFF"/>
          <w:lang w:eastAsia="zh-CN"/>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六、行政处罚、行政强制等案件的办理情况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 w:hAnsi="仿宋" w:eastAsia="仿宋" w:cs="仿宋"/>
          <w:i w:val="0"/>
          <w:iCs w:val="0"/>
          <w:caps w:val="0"/>
          <w:color w:val="333333"/>
          <w:spacing w:val="0"/>
          <w:sz w:val="32"/>
          <w:szCs w:val="32"/>
          <w:highlight w:val="yellow"/>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lang w:eastAsia="zh-CN"/>
        </w:rPr>
        <w:t>年作出行政许可</w:t>
      </w:r>
      <w:r>
        <w:rPr>
          <w:rFonts w:hint="eastAsia" w:ascii="仿宋" w:hAnsi="仿宋" w:eastAsia="仿宋" w:cs="仿宋"/>
          <w:i w:val="0"/>
          <w:iCs w:val="0"/>
          <w:caps w:val="0"/>
          <w:color w:val="333333"/>
          <w:spacing w:val="0"/>
          <w:sz w:val="32"/>
          <w:szCs w:val="32"/>
          <w:shd w:val="clear" w:fill="FFFFFF"/>
          <w:lang w:val="en-US" w:eastAsia="zh-CN"/>
        </w:rPr>
        <w:t>277件</w:t>
      </w:r>
      <w:r>
        <w:rPr>
          <w:rFonts w:hint="eastAsia" w:ascii="仿宋" w:hAnsi="仿宋" w:eastAsia="仿宋" w:cs="仿宋"/>
          <w:i w:val="0"/>
          <w:iCs w:val="0"/>
          <w:caps w:val="0"/>
          <w:color w:val="333333"/>
          <w:spacing w:val="0"/>
          <w:sz w:val="32"/>
          <w:szCs w:val="32"/>
          <w:shd w:val="clear" w:fill="FFFFFF"/>
          <w:lang w:eastAsia="zh-CN"/>
        </w:rPr>
        <w:t>、行政处罚</w:t>
      </w:r>
      <w:r>
        <w:rPr>
          <w:rFonts w:hint="eastAsia" w:ascii="仿宋" w:hAnsi="仿宋" w:eastAsia="仿宋" w:cs="仿宋"/>
          <w:i w:val="0"/>
          <w:iCs w:val="0"/>
          <w:caps w:val="0"/>
          <w:color w:val="333333"/>
          <w:spacing w:val="0"/>
          <w:sz w:val="32"/>
          <w:szCs w:val="32"/>
          <w:shd w:val="clear" w:fill="FFFFFF"/>
          <w:lang w:val="en-US" w:eastAsia="zh-CN"/>
        </w:rPr>
        <w:t>10件</w:t>
      </w:r>
      <w:r>
        <w:rPr>
          <w:rFonts w:hint="eastAsia" w:ascii="仿宋" w:hAnsi="仿宋" w:eastAsia="仿宋" w:cs="仿宋"/>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b/>
          <w:bCs/>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七、投诉、举报案件的受理和分类办理情况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lang w:eastAsia="zh-CN"/>
        </w:rPr>
        <w:t>年共接到投诉、举报案件</w:t>
      </w:r>
      <w:r>
        <w:rPr>
          <w:rFonts w:hint="eastAsia" w:ascii="仿宋" w:hAnsi="仿宋" w:eastAsia="仿宋" w:cs="仿宋"/>
          <w:i w:val="0"/>
          <w:iCs w:val="0"/>
          <w:caps w:val="0"/>
          <w:color w:val="333333"/>
          <w:spacing w:val="0"/>
          <w:sz w:val="32"/>
          <w:szCs w:val="32"/>
          <w:shd w:val="clear" w:fill="FFFFFF"/>
          <w:lang w:val="en-US" w:eastAsia="zh-CN"/>
        </w:rPr>
        <w:t>398</w:t>
      </w:r>
      <w:r>
        <w:rPr>
          <w:rFonts w:hint="eastAsia" w:ascii="仿宋" w:hAnsi="仿宋" w:eastAsia="仿宋" w:cs="仿宋"/>
          <w:i w:val="0"/>
          <w:iCs w:val="0"/>
          <w:caps w:val="0"/>
          <w:color w:val="333333"/>
          <w:spacing w:val="0"/>
          <w:sz w:val="32"/>
          <w:szCs w:val="32"/>
          <w:shd w:val="clear" w:fill="FFFFFF"/>
          <w:lang w:eastAsia="zh-CN"/>
        </w:rPr>
        <w:t>件</w:t>
      </w:r>
      <w:r>
        <w:rPr>
          <w:rFonts w:hint="eastAsia" w:ascii="仿宋" w:hAnsi="仿宋" w:eastAsia="仿宋" w:cs="仿宋"/>
          <w:i w:val="0"/>
          <w:iCs w:val="0"/>
          <w:caps w:val="0"/>
          <w:color w:val="333333"/>
          <w:spacing w:val="0"/>
          <w:sz w:val="32"/>
          <w:szCs w:val="32"/>
          <w:shd w:val="clear" w:fill="FFFFFF"/>
          <w:lang w:eastAsia="zh-CN"/>
        </w:rPr>
        <w:t>（不含</w:t>
      </w:r>
      <w:r>
        <w:rPr>
          <w:rFonts w:hint="eastAsia" w:ascii="仿宋" w:hAnsi="仿宋" w:eastAsia="仿宋" w:cs="仿宋"/>
          <w:i w:val="0"/>
          <w:iCs w:val="0"/>
          <w:caps w:val="0"/>
          <w:color w:val="333333"/>
          <w:spacing w:val="0"/>
          <w:sz w:val="32"/>
          <w:szCs w:val="32"/>
          <w:shd w:val="clear" w:fill="FFFFFF"/>
          <w:lang w:val="en-US" w:eastAsia="zh-CN"/>
        </w:rPr>
        <w:t>12345及信访投诉</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eastAsia="zh-CN"/>
        </w:rPr>
        <w:t>结案率为</w:t>
      </w:r>
      <w:r>
        <w:rPr>
          <w:rFonts w:hint="eastAsia" w:ascii="仿宋" w:hAnsi="仿宋" w:eastAsia="仿宋" w:cs="仿宋"/>
          <w:i w:val="0"/>
          <w:iCs w:val="0"/>
          <w:caps w:val="0"/>
          <w:color w:val="333333"/>
          <w:spacing w:val="0"/>
          <w:sz w:val="32"/>
          <w:szCs w:val="32"/>
          <w:shd w:val="clear" w:fill="FFFFFF"/>
          <w:lang w:val="en-US" w:eastAsia="zh-CN"/>
        </w:rPr>
        <w:t>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b/>
          <w:bCs/>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八、行政执法机关认为需要公示的其他情况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right"/>
        <w:rPr>
          <w:rFonts w:hint="eastAsia" w:ascii="仿宋" w:hAnsi="仿宋" w:eastAsia="仿宋" w:cs="仿宋"/>
          <w:i w:val="0"/>
          <w:iCs w:val="0"/>
          <w:caps w:val="0"/>
          <w:color w:val="FF0000"/>
          <w:spacing w:val="0"/>
          <w:sz w:val="32"/>
          <w:szCs w:val="32"/>
          <w:highlight w:val="yellow"/>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right"/>
      </w:pPr>
      <w:r>
        <w:rPr>
          <w:rFonts w:hint="eastAsia" w:ascii="仿宋" w:hAnsi="仿宋" w:eastAsia="仿宋" w:cs="仿宋"/>
          <w:i w:val="0"/>
          <w:iCs w:val="0"/>
          <w:caps w:val="0"/>
          <w:color w:val="auto"/>
          <w:spacing w:val="0"/>
          <w:sz w:val="32"/>
          <w:szCs w:val="32"/>
          <w:highlight w:val="none"/>
          <w:shd w:val="clear" w:fill="FFFFFF"/>
        </w:rPr>
        <w:t>202</w:t>
      </w:r>
      <w:r>
        <w:rPr>
          <w:rFonts w:hint="eastAsia" w:ascii="仿宋" w:hAnsi="仿宋" w:eastAsia="仿宋" w:cs="仿宋"/>
          <w:i w:val="0"/>
          <w:iCs w:val="0"/>
          <w:caps w:val="0"/>
          <w:color w:val="auto"/>
          <w:spacing w:val="0"/>
          <w:sz w:val="32"/>
          <w:szCs w:val="32"/>
          <w:highlight w:val="none"/>
          <w:shd w:val="clear" w:fill="FFFFFF"/>
          <w:lang w:val="en-US" w:eastAsia="zh-CN"/>
        </w:rPr>
        <w:t>2</w:t>
      </w:r>
      <w:r>
        <w:rPr>
          <w:rFonts w:hint="eastAsia" w:ascii="仿宋" w:hAnsi="仿宋" w:eastAsia="仿宋" w:cs="仿宋"/>
          <w:i w:val="0"/>
          <w:iCs w:val="0"/>
          <w:caps w:val="0"/>
          <w:color w:val="auto"/>
          <w:spacing w:val="0"/>
          <w:sz w:val="32"/>
          <w:szCs w:val="32"/>
          <w:highlight w:val="none"/>
          <w:shd w:val="clear" w:fill="FFFFFF"/>
        </w:rPr>
        <w:t>年</w:t>
      </w:r>
      <w:r>
        <w:rPr>
          <w:rFonts w:hint="eastAsia" w:ascii="仿宋" w:hAnsi="仿宋" w:eastAsia="仿宋" w:cs="仿宋"/>
          <w:i w:val="0"/>
          <w:iCs w:val="0"/>
          <w:caps w:val="0"/>
          <w:color w:val="auto"/>
          <w:spacing w:val="0"/>
          <w:sz w:val="32"/>
          <w:szCs w:val="32"/>
          <w:highlight w:val="none"/>
          <w:shd w:val="clear" w:fill="FFFFFF"/>
          <w:lang w:val="en-US" w:eastAsia="zh-CN"/>
        </w:rPr>
        <w:t>1</w:t>
      </w:r>
      <w:r>
        <w:rPr>
          <w:rFonts w:hint="eastAsia" w:ascii="仿宋" w:hAnsi="仿宋" w:eastAsia="仿宋" w:cs="仿宋"/>
          <w:i w:val="0"/>
          <w:iCs w:val="0"/>
          <w:caps w:val="0"/>
          <w:color w:val="auto"/>
          <w:spacing w:val="0"/>
          <w:sz w:val="32"/>
          <w:szCs w:val="32"/>
          <w:highlight w:val="none"/>
          <w:shd w:val="clear" w:fill="FFFFFF"/>
        </w:rPr>
        <w:t>月</w:t>
      </w:r>
      <w:r>
        <w:rPr>
          <w:rFonts w:hint="eastAsia" w:ascii="仿宋" w:hAnsi="仿宋" w:eastAsia="仿宋" w:cs="仿宋"/>
          <w:i w:val="0"/>
          <w:iCs w:val="0"/>
          <w:caps w:val="0"/>
          <w:color w:val="auto"/>
          <w:spacing w:val="0"/>
          <w:sz w:val="32"/>
          <w:szCs w:val="32"/>
          <w:highlight w:val="none"/>
          <w:shd w:val="clear" w:fill="FFFFFF"/>
          <w:lang w:val="en-US" w:eastAsia="zh-CN"/>
        </w:rPr>
        <w:t>20</w:t>
      </w:r>
      <w:r>
        <w:rPr>
          <w:rFonts w:hint="eastAsia" w:ascii="仿宋" w:hAnsi="仿宋" w:eastAsia="仿宋" w:cs="仿宋"/>
          <w:i w:val="0"/>
          <w:iCs w:val="0"/>
          <w:caps w:val="0"/>
          <w:color w:val="auto"/>
          <w:spacing w:val="0"/>
          <w:sz w:val="32"/>
          <w:szCs w:val="32"/>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724CA"/>
    <w:rsid w:val="03DA3D81"/>
    <w:rsid w:val="046724CA"/>
    <w:rsid w:val="1BDD67D6"/>
    <w:rsid w:val="3CCB25C2"/>
    <w:rsid w:val="45EB1C83"/>
    <w:rsid w:val="4C852A04"/>
    <w:rsid w:val="51B92483"/>
    <w:rsid w:val="6B505616"/>
    <w:rsid w:val="7A1B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2022-01-25T03:00:00Z</dcterms:created>
  <dc:creator>牛海虹</dc:creator>
  <cp:lastModifiedBy>牛海虹</cp:lastModifiedBy>
  <cp:lastPrinted>2022-01-25T06:04:00Z</cp:lastPrinted>
  <dcterms:modified xsi:type="dcterms:W3CDTF">2022-01-26T03:16:51Z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D99CC805BC4F4D5AA530BBBEEB244565</vt:lpwstr>
  </property>
</Properties>
</file>