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center"/>
        <w:textAlignment w:val="baseline"/>
        <w:rPr>
          <w:rFonts w:hint="eastAsia" w:ascii="宋体" w:hAnsi="宋体" w:eastAsia="宋体" w:cs="宋体"/>
          <w:i w:val="0"/>
          <w:caps w:val="0"/>
          <w:color w:val="505050"/>
          <w:spacing w:val="0"/>
          <w:sz w:val="18"/>
          <w:szCs w:val="18"/>
          <w:u w:val="none"/>
        </w:rPr>
      </w:pPr>
      <w:r>
        <w:rPr>
          <w:rFonts w:ascii="仿宋" w:hAnsi="仿宋" w:eastAsia="仿宋" w:cs="仿宋"/>
          <w:b/>
          <w:i w:val="0"/>
          <w:caps w:val="0"/>
          <w:color w:val="505050"/>
          <w:spacing w:val="0"/>
          <w:sz w:val="36"/>
          <w:szCs w:val="36"/>
          <w:u w:val="none"/>
          <w:shd w:val="clear" w:fill="FFFFFF"/>
          <w:vertAlign w:val="baseline"/>
        </w:rPr>
        <w:t>202</w:t>
      </w:r>
      <w:r>
        <w:rPr>
          <w:rFonts w:hint="eastAsia" w:ascii="仿宋" w:hAnsi="仿宋" w:eastAsia="仿宋" w:cs="仿宋"/>
          <w:b/>
          <w:i w:val="0"/>
          <w:caps w:val="0"/>
          <w:color w:val="505050"/>
          <w:spacing w:val="0"/>
          <w:sz w:val="36"/>
          <w:szCs w:val="36"/>
          <w:u w:val="none"/>
          <w:shd w:val="clear" w:fill="FFFFFF"/>
          <w:vertAlign w:val="baseline"/>
          <w:lang w:val="en-US" w:eastAsia="zh-CN"/>
        </w:rPr>
        <w:t>4</w:t>
      </w:r>
      <w:r>
        <w:rPr>
          <w:rFonts w:hint="eastAsia" w:ascii="仿宋" w:hAnsi="仿宋" w:eastAsia="仿宋" w:cs="仿宋"/>
          <w:b/>
          <w:i w:val="0"/>
          <w:caps w:val="0"/>
          <w:color w:val="505050"/>
          <w:spacing w:val="0"/>
          <w:sz w:val="36"/>
          <w:szCs w:val="36"/>
          <w:u w:val="none"/>
          <w:shd w:val="clear" w:fill="FFFFFF"/>
          <w:vertAlign w:val="baseline"/>
        </w:rPr>
        <w:t>年北京市通州区农业农村局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center"/>
        <w:textAlignment w:val="baseline"/>
        <w:rPr>
          <w:rFonts w:hint="eastAsia" w:ascii="宋体" w:hAnsi="宋体" w:eastAsia="宋体" w:cs="宋体"/>
          <w:i w:val="0"/>
          <w:caps w:val="0"/>
          <w:color w:val="505050"/>
          <w:spacing w:val="0"/>
          <w:sz w:val="18"/>
          <w:szCs w:val="18"/>
          <w:u w:val="none"/>
        </w:rPr>
      </w:pPr>
      <w:r>
        <w:rPr>
          <w:rFonts w:hint="eastAsia" w:ascii="仿宋" w:hAnsi="仿宋" w:eastAsia="仿宋" w:cs="仿宋"/>
          <w:b/>
          <w:i w:val="0"/>
          <w:caps w:val="0"/>
          <w:color w:val="505050"/>
          <w:spacing w:val="0"/>
          <w:sz w:val="36"/>
          <w:szCs w:val="36"/>
          <w:u w:val="none"/>
          <w:shd w:val="clear" w:fill="FFFFFF"/>
          <w:vertAlign w:val="baseline"/>
        </w:rPr>
        <w:t>行政执法统计年报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center"/>
        <w:textAlignment w:val="baseline"/>
        <w:rPr>
          <w:rFonts w:hint="eastAsia" w:ascii="宋体" w:hAnsi="宋体" w:eastAsia="宋体" w:cs="宋体"/>
          <w:i w:val="0"/>
          <w:caps w:val="0"/>
          <w:color w:val="505050"/>
          <w:spacing w:val="0"/>
          <w:sz w:val="18"/>
          <w:szCs w:val="18"/>
          <w:u w:val="none"/>
        </w:rPr>
      </w:pPr>
      <w:r>
        <w:rPr>
          <w:rFonts w:ascii="仿宋_GB2312" w:hAnsi="宋体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both"/>
        <w:textAlignment w:val="baseline"/>
        <w:rPr>
          <w:rFonts w:hint="eastAsia" w:ascii="宋体" w:hAnsi="宋体" w:eastAsia="宋体" w:cs="宋体"/>
          <w:i w:val="0"/>
          <w:caps w:val="0"/>
          <w:color w:val="505050"/>
          <w:spacing w:val="0"/>
          <w:sz w:val="18"/>
          <w:szCs w:val="18"/>
          <w:u w:val="none"/>
        </w:rPr>
      </w:pPr>
      <w:r>
        <w:rPr>
          <w:rFonts w:hint="eastAsia" w:ascii="仿宋_GB2312" w:hAnsi="宋体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一、行政执法机关的执法主体名称和数量情况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both"/>
        <w:textAlignment w:val="baseline"/>
        <w:rPr>
          <w:rFonts w:hint="eastAsia" w:ascii="宋体" w:hAnsi="宋体" w:eastAsia="宋体" w:cs="宋体"/>
          <w:i w:val="0"/>
          <w:caps w:val="0"/>
          <w:color w:val="505050"/>
          <w:spacing w:val="0"/>
          <w:sz w:val="18"/>
          <w:szCs w:val="18"/>
          <w:u w:val="none"/>
        </w:rPr>
      </w:pP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本单位</w:t>
      </w: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行政执法机关的执法主体</w:t>
      </w: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数量为1个，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名称为北京市通州区农业综合执法大队。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both"/>
        <w:textAlignment w:val="baseline"/>
        <w:rPr>
          <w:rFonts w:hint="eastAsia" w:ascii="宋体" w:hAnsi="宋体" w:eastAsia="宋体" w:cs="宋体"/>
          <w:i w:val="0"/>
          <w:caps w:val="0"/>
          <w:color w:val="505050"/>
          <w:spacing w:val="0"/>
          <w:sz w:val="18"/>
          <w:szCs w:val="18"/>
          <w:u w:val="none"/>
        </w:rPr>
      </w:pPr>
      <w:r>
        <w:rPr>
          <w:rFonts w:hint="eastAsia" w:ascii="仿宋_GB2312" w:hAnsi="宋体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二、各执法主体的执法岗位设置及执法人员在岗情况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70" w:lineRule="atLeast"/>
        <w:ind w:left="0" w:right="0" w:firstLine="640"/>
        <w:jc w:val="left"/>
        <w:textAlignment w:val="baseline"/>
        <w:rPr>
          <w:rFonts w:hint="eastAsia" w:ascii="宋体" w:hAnsi="宋体" w:eastAsia="宋体" w:cs="宋体"/>
          <w:i w:val="0"/>
          <w:caps w:val="0"/>
          <w:color w:val="505050"/>
          <w:spacing w:val="0"/>
          <w:sz w:val="18"/>
          <w:szCs w:val="18"/>
          <w:u w:val="none"/>
        </w:rPr>
      </w:pP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  <w:t>区农业综合执法大队编制108个，实际在岗人数88人，持证人员83人，A岗设定77人（实际人数77人）。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both"/>
        <w:textAlignment w:val="baseline"/>
        <w:rPr>
          <w:rFonts w:hint="eastAsia" w:ascii="宋体" w:hAnsi="宋体" w:eastAsia="宋体" w:cs="宋体"/>
          <w:i w:val="0"/>
          <w:caps w:val="0"/>
          <w:color w:val="505050"/>
          <w:spacing w:val="0"/>
          <w:sz w:val="18"/>
          <w:szCs w:val="18"/>
          <w:u w:val="none"/>
        </w:rPr>
      </w:pPr>
      <w:r>
        <w:rPr>
          <w:rFonts w:hint="eastAsia" w:ascii="仿宋_GB2312" w:hAnsi="宋体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三、执法力量投入情况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270" w:lineRule="atLeast"/>
        <w:ind w:left="0" w:right="0" w:firstLine="640"/>
        <w:jc w:val="left"/>
        <w:textAlignment w:val="baseline"/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  <w:t>高度重视行政执法工作，按照“一码查”监管工作的相关要求行使检查职权，将重点检查与全面检查相结合。全部A岗执法人员参与行政执法检查。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both"/>
        <w:textAlignment w:val="baseline"/>
        <w:rPr>
          <w:rFonts w:hint="eastAsia" w:ascii="宋体" w:hAnsi="宋体" w:eastAsia="宋体" w:cs="宋体"/>
          <w:i w:val="0"/>
          <w:caps w:val="0"/>
          <w:color w:val="505050"/>
          <w:spacing w:val="0"/>
          <w:sz w:val="18"/>
          <w:szCs w:val="18"/>
          <w:u w:val="none"/>
        </w:rPr>
      </w:pPr>
      <w:r>
        <w:rPr>
          <w:rFonts w:hint="eastAsia" w:ascii="仿宋_GB2312" w:hAnsi="宋体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四、政务服务事项的办理情况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40" w:firstLineChars="200"/>
        <w:jc w:val="both"/>
        <w:textAlignment w:val="baseline"/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  <w:t>2024年我局实施政务服务事项60项，开通告知承诺制办理方式的9项，首都之窗上线公示率100%，政务事项进驻率100%（不含例外事项）。今年共计完成行政审批事项277760件，群众满意率100%，并获企业赠送锦旗2面。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43" w:firstLineChars="200"/>
        <w:jc w:val="both"/>
        <w:textAlignment w:val="baseline"/>
        <w:rPr>
          <w:rFonts w:hint="eastAsia" w:ascii="宋体" w:hAnsi="宋体" w:eastAsia="宋体" w:cs="宋体"/>
          <w:i w:val="0"/>
          <w:caps w:val="0"/>
          <w:color w:val="505050"/>
          <w:spacing w:val="0"/>
          <w:sz w:val="18"/>
          <w:szCs w:val="18"/>
          <w:u w:val="none"/>
        </w:rPr>
      </w:pPr>
      <w:r>
        <w:rPr>
          <w:rFonts w:hint="eastAsia" w:ascii="仿宋_GB2312" w:hAnsi="宋体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五、执法检查计划执行情况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both"/>
        <w:textAlignment w:val="baseline"/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</w:pP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2024年累计出动执法人员18609人次，执法检查量7250个次。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43" w:firstLineChars="200"/>
        <w:jc w:val="both"/>
        <w:textAlignment w:val="baseline"/>
        <w:rPr>
          <w:rFonts w:hint="eastAsia" w:ascii="仿宋_GB2312" w:hAnsi="宋体" w:eastAsia="仿宋_GB2312" w:cs="仿宋_GB2312"/>
          <w:b/>
          <w:bCs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</w:pPr>
      <w:r>
        <w:rPr>
          <w:rFonts w:hint="eastAsia" w:ascii="仿宋_GB2312" w:hAnsi="宋体" w:eastAsia="仿宋_GB2312" w:cs="仿宋_GB2312"/>
          <w:b/>
          <w:bCs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六、</w:t>
      </w:r>
      <w:r>
        <w:rPr>
          <w:rFonts w:hint="eastAsia" w:ascii="仿宋_GB2312" w:hAnsi="宋体" w:eastAsia="仿宋_GB2312" w:cs="仿宋_GB2312"/>
          <w:b/>
          <w:bCs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部门联合执法检查情况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both"/>
        <w:textAlignment w:val="baseline"/>
        <w:rPr>
          <w:rFonts w:hint="default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全年开展联合双随机发起任务数42个，参与委办局发起任务数2个，共计联合开展检查198个次；部门双随机开展检查157个次。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both"/>
        <w:textAlignment w:val="baseline"/>
        <w:rPr>
          <w:rFonts w:hint="eastAsia" w:ascii="宋体" w:hAnsi="宋体" w:eastAsia="宋体" w:cs="宋体"/>
          <w:i w:val="0"/>
          <w:caps w:val="0"/>
          <w:color w:val="505050"/>
          <w:spacing w:val="0"/>
          <w:sz w:val="18"/>
          <w:szCs w:val="18"/>
          <w:u w:val="none"/>
        </w:rPr>
      </w:pPr>
      <w:r>
        <w:rPr>
          <w:rFonts w:hint="eastAsia" w:ascii="仿宋_GB2312" w:hAnsi="宋体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七</w:t>
      </w:r>
      <w:r>
        <w:rPr>
          <w:rFonts w:hint="eastAsia" w:ascii="仿宋_GB2312" w:hAnsi="宋体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、行政处罚、行政强制等案件的办理情况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both"/>
        <w:textAlignment w:val="baseline"/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</w:pP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全年开展联合双随机发起任务数42个，参与委办局发起任务数2个，共计联合开展检查198个次；部门双随机开展检查157个次。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both"/>
        <w:textAlignment w:val="baseline"/>
        <w:rPr>
          <w:rFonts w:hint="eastAsia" w:ascii="宋体" w:hAnsi="宋体" w:eastAsia="宋体" w:cs="宋体"/>
          <w:i w:val="0"/>
          <w:caps w:val="0"/>
          <w:color w:val="505050"/>
          <w:spacing w:val="0"/>
          <w:sz w:val="18"/>
          <w:szCs w:val="18"/>
          <w:u w:val="none"/>
        </w:rPr>
      </w:pPr>
      <w:r>
        <w:rPr>
          <w:rFonts w:hint="eastAsia" w:ascii="仿宋_GB2312" w:hAnsi="宋体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八</w:t>
      </w:r>
      <w:r>
        <w:rPr>
          <w:rFonts w:hint="eastAsia" w:ascii="仿宋_GB2312" w:hAnsi="宋体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、投诉、举报案件的受理和分类办理情况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both"/>
        <w:textAlignment w:val="baseline"/>
        <w:rPr>
          <w:rFonts w:hint="eastAsia" w:ascii="宋体" w:hAnsi="宋体" w:eastAsia="宋体" w:cs="宋体"/>
          <w:i w:val="0"/>
          <w:caps w:val="0"/>
          <w:color w:val="505050"/>
          <w:spacing w:val="0"/>
          <w:sz w:val="18"/>
          <w:szCs w:val="18"/>
          <w:u w:val="none"/>
        </w:rPr>
      </w:pP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202</w:t>
      </w: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4</w:t>
      </w: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年，区农业综合执法大队共办理各类12345</w:t>
      </w: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eastAsia="zh-CN"/>
        </w:rPr>
        <w:t>“</w:t>
      </w: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接诉即办</w:t>
      </w: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eastAsia="zh-CN"/>
        </w:rPr>
        <w:t>”</w:t>
      </w: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案件</w:t>
      </w: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3</w:t>
      </w: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09</w:t>
      </w: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件</w:t>
      </w: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eastAsia="zh-CN"/>
        </w:rPr>
        <w:t>，</w:t>
      </w: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政务服务便民热线</w:t>
      </w: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78件</w:t>
      </w: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，“接诉即办”月均响应率、月均解决率和满意率均得到了大幅度提升。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both"/>
        <w:textAlignment w:val="baseline"/>
        <w:rPr>
          <w:rFonts w:hint="eastAsia" w:ascii="宋体" w:hAnsi="宋体" w:eastAsia="宋体" w:cs="宋体"/>
          <w:i w:val="0"/>
          <w:caps w:val="0"/>
          <w:color w:val="505050"/>
          <w:spacing w:val="0"/>
          <w:sz w:val="18"/>
          <w:szCs w:val="18"/>
          <w:u w:val="none"/>
        </w:rPr>
      </w:pPr>
      <w:r>
        <w:rPr>
          <w:rFonts w:hint="eastAsia" w:ascii="仿宋_GB2312" w:hAnsi="宋体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九</w:t>
      </w:r>
      <w:r>
        <w:rPr>
          <w:rFonts w:hint="eastAsia" w:ascii="仿宋_GB2312" w:hAnsi="宋体" w:eastAsia="仿宋_GB2312" w:cs="仿宋_GB2312"/>
          <w:b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、行政执法机关认为需要公示的其他情况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0"/>
        <w:jc w:val="both"/>
        <w:textAlignment w:val="baseline"/>
      </w:pPr>
      <w:r>
        <w:rPr>
          <w:rFonts w:hint="eastAsia" w:ascii="仿宋_GB2312" w:hAnsi="宋体" w:eastAsia="仿宋_GB2312" w:cs="仿宋_GB2312"/>
          <w:i w:val="0"/>
          <w:caps w:val="0"/>
          <w:color w:val="505050"/>
          <w:spacing w:val="0"/>
          <w:sz w:val="32"/>
          <w:szCs w:val="32"/>
          <w:u w:val="none"/>
          <w:shd w:val="clear" w:fill="FFFFFF"/>
          <w:vertAlign w:val="baseline"/>
        </w:rPr>
        <w:t>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70663"/>
    <w:rsid w:val="09F14D11"/>
    <w:rsid w:val="219F29BE"/>
    <w:rsid w:val="2C8760D4"/>
    <w:rsid w:val="329E00AE"/>
    <w:rsid w:val="41F708ED"/>
    <w:rsid w:val="577915F8"/>
    <w:rsid w:val="5C2A19AC"/>
    <w:rsid w:val="66270663"/>
    <w:rsid w:val="7295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2025-01-06T06:56:00Z</dcterms:created>
  <dc:creator>Lenovo</dc:creator>
  <cp:lastModifiedBy>Lenovo</cp:lastModifiedBy>
  <dcterms:modified xsi:type="dcterms:W3CDTF">2025-01-21T03:17:02Z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