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firstLine="640" w:firstLineChars="200"/>
        <w:rPr>
          <w:rFonts w:hint="eastAsia" w:ascii="宋体" w:hAnsi="宋体" w:cs="宋体"/>
          <w:b/>
          <w:bCs w:val="0"/>
          <w:i w:val="0"/>
          <w:color w:val="000000"/>
          <w:kern w:val="0"/>
          <w:sz w:val="32"/>
          <w:szCs w:val="32"/>
          <w:u w:val="none"/>
          <w:lang w:val="en-US" w:eastAsia="zh-CN"/>
        </w:rPr>
      </w:pPr>
      <w:bookmarkStart w:id="0" w:name="_GoBack"/>
      <w:bookmarkEnd w:id="0"/>
      <w:r>
        <w:rPr>
          <w:rFonts w:hint="eastAsia" w:ascii="仿宋_GB2312" w:hAnsi="仿宋_GB2312" w:eastAsia="仿宋_GB2312" w:cs="仿宋_GB2312"/>
          <w:b w:val="0"/>
          <w:bCs/>
          <w:i w:val="0"/>
          <w:color w:val="000000"/>
          <w:kern w:val="0"/>
          <w:sz w:val="32"/>
          <w:szCs w:val="32"/>
          <w:u w:val="none"/>
          <w:lang w:val="en-US" w:eastAsia="zh-CN"/>
        </w:rPr>
        <w:t>附件：</w:t>
      </w:r>
      <w:r>
        <w:rPr>
          <w:rFonts w:hint="eastAsia" w:ascii="宋体" w:hAnsi="宋体" w:cs="宋体"/>
          <w:b/>
          <w:i w:val="0"/>
          <w:color w:val="000000"/>
          <w:kern w:val="0"/>
          <w:sz w:val="32"/>
          <w:szCs w:val="32"/>
          <w:u w:val="none"/>
          <w:lang w:val="en-US" w:eastAsia="zh-CN"/>
        </w:rPr>
        <w:t xml:space="preserve">                  </w:t>
      </w:r>
      <w:r>
        <w:rPr>
          <w:rFonts w:hint="eastAsia" w:ascii="宋体" w:hAnsi="宋体" w:cs="宋体"/>
          <w:b w:val="0"/>
          <w:bCs/>
          <w:i w:val="0"/>
          <w:color w:val="000000"/>
          <w:kern w:val="0"/>
          <w:sz w:val="32"/>
          <w:szCs w:val="32"/>
          <w:u w:val="none"/>
          <w:lang w:val="en-US" w:eastAsia="zh-CN"/>
        </w:rPr>
        <w:t xml:space="preserve"> </w:t>
      </w:r>
      <w:r>
        <w:rPr>
          <w:rFonts w:hint="eastAsia" w:ascii="宋体" w:hAnsi="宋体" w:cs="宋体"/>
          <w:b/>
          <w:bCs w:val="0"/>
          <w:i w:val="0"/>
          <w:color w:val="000000"/>
          <w:kern w:val="0"/>
          <w:sz w:val="32"/>
          <w:szCs w:val="32"/>
          <w:u w:val="none"/>
          <w:lang w:val="en-US" w:eastAsia="zh-CN"/>
        </w:rPr>
        <w:t xml:space="preserve"> </w:t>
      </w:r>
    </w:p>
    <w:p>
      <w:pPr>
        <w:pStyle w:val="19"/>
        <w:ind w:firstLine="640" w:firstLineChars="200"/>
        <w:jc w:val="center"/>
        <w:rPr>
          <w:rFonts w:hint="eastAsia" w:ascii="方正小标宋简体" w:hAnsi="方正小标宋简体" w:eastAsia="方正小标宋简体" w:cs="方正小标宋简体"/>
          <w:b w:val="0"/>
          <w:bCs/>
          <w:spacing w:val="0"/>
          <w:sz w:val="32"/>
          <w:szCs w:val="32"/>
          <w:lang w:val="en-US" w:eastAsia="zh-CN"/>
        </w:rPr>
      </w:pPr>
      <w:r>
        <w:rPr>
          <w:rFonts w:hint="eastAsia" w:ascii="方正小标宋简体" w:hAnsi="方正小标宋简体" w:eastAsia="方正小标宋简体" w:cs="方正小标宋简体"/>
          <w:b w:val="0"/>
          <w:bCs/>
          <w:spacing w:val="0"/>
          <w:sz w:val="32"/>
          <w:szCs w:val="32"/>
          <w:lang w:val="en-US" w:eastAsia="zh-CN"/>
        </w:rPr>
        <w:t>2025年通州区生态环境综合执法重点任务清单</w:t>
      </w:r>
    </w:p>
    <w:p>
      <w:pPr>
        <w:rPr>
          <w:rFonts w:hint="eastAsia"/>
          <w:lang w:val="en-US" w:eastAsia="zh-CN"/>
        </w:rPr>
      </w:pPr>
    </w:p>
    <w:tbl>
      <w:tblPr>
        <w:tblStyle w:val="15"/>
        <w:tblW w:w="16273" w:type="dxa"/>
        <w:tblInd w:w="0" w:type="dxa"/>
        <w:shd w:val="clear" w:color="auto" w:fill="auto"/>
        <w:tblLayout w:type="fixed"/>
        <w:tblCellMar>
          <w:top w:w="0" w:type="dxa"/>
          <w:left w:w="0" w:type="dxa"/>
          <w:bottom w:w="0" w:type="dxa"/>
          <w:right w:w="0" w:type="dxa"/>
        </w:tblCellMar>
      </w:tblPr>
      <w:tblGrid>
        <w:gridCol w:w="392"/>
        <w:gridCol w:w="795"/>
        <w:gridCol w:w="1140"/>
        <w:gridCol w:w="779"/>
        <w:gridCol w:w="934"/>
        <w:gridCol w:w="685"/>
        <w:gridCol w:w="674"/>
        <w:gridCol w:w="1189"/>
        <w:gridCol w:w="819"/>
        <w:gridCol w:w="957"/>
        <w:gridCol w:w="697"/>
        <w:gridCol w:w="732"/>
        <w:gridCol w:w="990"/>
        <w:gridCol w:w="627"/>
        <w:gridCol w:w="725"/>
        <w:gridCol w:w="926"/>
        <w:gridCol w:w="636"/>
        <w:gridCol w:w="728"/>
        <w:gridCol w:w="596"/>
        <w:gridCol w:w="655"/>
        <w:gridCol w:w="597"/>
      </w:tblGrid>
      <w:tr>
        <w:tblPrEx>
          <w:shd w:val="clear" w:color="auto" w:fill="auto"/>
          <w:tblLayout w:type="fixed"/>
          <w:tblCellMar>
            <w:top w:w="0" w:type="dxa"/>
            <w:left w:w="0" w:type="dxa"/>
            <w:bottom w:w="0" w:type="dxa"/>
            <w:right w:w="0" w:type="dxa"/>
          </w:tblCellMar>
        </w:tblPrEx>
        <w:trPr>
          <w:trHeight w:val="12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  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任务 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检查内容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检查  主体</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制定任务依据</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任务类型</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检查类型</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是否采用双随机方式</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检查方式</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检查单</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编号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检查层级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任务日期自</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任务日期至</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是否涉企</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对象 范围</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检查对象基数</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检查  比例</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检查  频次</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计划现场检查次数</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计划非现场检查次数</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单次检查周期</w:t>
            </w:r>
          </w:p>
        </w:tc>
      </w:tr>
      <w:tr>
        <w:tblPrEx>
          <w:tblLayout w:type="fixed"/>
          <w:tblCellMar>
            <w:top w:w="0" w:type="dxa"/>
            <w:left w:w="0" w:type="dxa"/>
            <w:bottom w:w="0" w:type="dxa"/>
            <w:right w:w="0" w:type="dxa"/>
          </w:tblCellMar>
        </w:tblPrEx>
        <w:trPr>
          <w:trHeight w:val="624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“点穴式”执法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1.大气点穴：每季度对3个街道（乡镇）90家次开展检查，并对市级“点穴式”执法检查发现移送问题开展现场整改检查,共计385家次。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2.噪声点穴：根据商业固定设备、施工噪声投诉数据分析的噪声地图开展检查，每年60家次。</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单部门+跨部门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非现场（非现场驱动的现场）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涉及大气、噪声等污染物排放的单位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6846</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445</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24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书记点评会执法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对市级移送的问题线索进行现场执法检查整改。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非现场（非现场驱动的现场）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涉及大气污染物排放的单位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6846</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0.2%</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792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重点时期执法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落实分级监管要求，加大对空气重污染应急减排清单中低绩效级别企业的检查力度，对企业协商减排或应急减排措施落实情况进行核查；以热点网格报警区域为重点，深化“三监”联动，借助科技手段，加大对典型问题的检查力度；重大活动期间对危废、涉辐射单位开展检查，排查环境风险。</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涉及大气污染物排放的单位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6846</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根据保障任务次数开展,预计2次/年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24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采暖季锅炉执法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对未安装在线监控的单纯采暖季锅炉使用单位开展专项执法检查，注重执法监测联动。</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涉及未安装污染源自动监控的采暖季锅炉单位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292</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24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餐饮包案执法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根据2024年涉餐饮油烟投诉举报件开展执法。</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涉及餐饮油烟排放的单位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3347</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623</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36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信访投诉执法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对受理的生态环境信访案件，按规定时限，完成现场执法检查、办理结果反馈等工作。符合举报奖励的案件，按规定流程给予奖励。</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即时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各类环境问题</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24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ODS执法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对已备案企业开展检查。</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跨部门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涉及ODS使用的单位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36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中高考期间噪声执法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通过联合执法、全时执法等方式，配合公安、城管执法部门做好消夏夜市、装修扰民等社会生活噪声和学校、考点周边的施工噪声检查。</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跨部门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涉及产生噪声的单位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6845</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0.9%</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408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在用车执法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按照“环保检测、公安处罚”模式，在进京路口和重点道路对进京及过境的重型车开展执法检查。依据非现场发现的重型车线索，精准开展入户执法。</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涉及车辆使用单位及个人</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384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非道路移动机械执法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根据施工工地、企业、物流园、机场等非道路移动机械编码登记和实时进出场登记情况，聚焦国三及以下排放标准柴油机械开展精准执法。</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涉及机械使用单位及个人</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3300万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432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机动车检验机构和维修机构执法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依托机动车定期排放监管系统，开展非现场执法，发现问题进行现场核查；针对涉及到维修机构的问题进行现场查处；针对摩托车检验开展现场监督检查。</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单部门+跨部门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涉及摩托车检验业务的单位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1次/月</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24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机动车遥感监测(黑烟抓拍)执法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利用机动车遥感监测(黑烟抓拍)系统,开展非现场执法检查。</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日常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涉及车辆使用单位及个人</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336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流域“点穴式”执法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对入河排污口、污水处理设施、未纳管工业企业和饮用水水源保护区等开展以涉水环境检查为重点的流域“点穴式”专项执法。</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非现场（非现场驱动的现场）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涉及水污染物排放的单位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932</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576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饮用水水源保护区执法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饮用水水源保护区内开展专项执法检查，依法查处水源保护区内的违法排污口、排放污染物的建设项目（一级区内与保护水源和供水无关的建设项目）、养殖粪污水、垃圾堆放、钓鱼等违法行为。地下水型1年1次。</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饮用水水源保护区涉及单位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24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入河排污口执法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对入河排污口开展专项执法检查，依法查处违规设置审批等环境违法行为。</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涉及向河流排放水污染物的单位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24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农村生活污水处理设施执法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对农村生活污水处理设施开展专项执法检查，督促其正常运行、达标排放。</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涉及处理农村生活污水的单位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336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污染地块执法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检查土壤污染状况调查、风险评估、风险管控措施、修复、风险管控效果评估及修复效果评估和后期管理等过程是否符合规定。</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涉及污染地块的单位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792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新污染物和新化学物质执法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严格落实国家和本市关于新污染物治理工作要求，对涉重点管控新污染物企事业单位依法开展检查，加大对未按规定落实环境风险管控措施企业的监督执法力度。落实《新化学物质环境管理登记办法》要求，深入挖掘线索，严查未依法办理新化学物质登记、备案手续的违法行为，防范环境风险。</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涉及新污染物、新化学物质的单位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312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生态空间执法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对自然保护区和生态保护红线内的污染源进行检查,针对相关部门通过卫星遥感等发现的违法线索进行现场核查。</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涉及自然保护区和生态保护红线内的污染源</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336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辐射执法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按照技术程序对涉及辐射单位开展日常非现场执法，根据工作实际需求进行辐射安全和防护设施运行情况等现场执法检查。</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涉及生产、销售、使用放射源及射线装置的场所</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206</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215</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504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分级分类执法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对污染源涉及的大气、水、土壤、固体废物、噪声等要素，开展差异化、多要素、综合性的日常检查。</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日常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涉及污染物排放的单位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总数：6846</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其中A级：145</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B级：:1192</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C级：1182</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D级：300</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E级：130</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建设项目：688（报告书56、报告表632）</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A级：33.2%</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B级：0.83%</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C级：3%</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D级：5%</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E级：9%</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报告书：9%</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报告表：2.9%</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（A级4次/年；</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B级10%/年；C级36%/年；D级60%/年；E级100%/年；</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建设项目报告书类1次/年；报告表类35%/年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504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科技手段线索核查执法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利用自动监控、油气回收在线监控、热点网格、机动车检验机构网络监控等系统平台开展专项非现场执法检查，对发现的问题线索开展非现场驱动的现场执法检查，依法查处违法行为。</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市区两级</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非现场（非现场驱动的现场）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涉及污染物排放的单位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3306</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504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“三监”联动线索核查执法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根据“三监”联动反馈裸地、重型车、用电监控等问题线索，以及管理部门转办的碳排放、建设项目、辐射、排污许可证后核查、环境信息披露等问题线索，开展即时非现场执法检查。</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即时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非现场（非现场驱动的现场）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涉及污染物排放的单位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819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“两打”专项执法行动以及深化打击第三方环保服务机构弄虚作假问题专项整治行动</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危险废物产生、收集、处置单位（个人）和非法加油活动开展联合检查；对自动监控筛选频繁故障（含超标后标记或报告故障）、超标后骤降、虚假标记、恒值、贴线生产等异常线索开展检查；对第三方弄虚作假，严查采样人未到场、同一采样人在相近时间出现在不同地点、原始记录缺失等篡改、伪造监测数据的情形。</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涉及污染物排放的单位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1136</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24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京津冀联合执法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围绕大气、水、危废跨省转移、重型车以及交界处重点难点信访举报案件开展联动执法。</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非现场+现场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京生态环境〔2024〕3号京生态环境〔2024〕2号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涉及污染物排放的单位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288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执法监测</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对《2025年北京市生态环境监测方案》中的执法监测及相关执法监测任务，开展专项现场执法检查。</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涉及需要开展监测的污染源排放单位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312</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336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全时执法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与重点时期、重点地区、重点任务和问题线索相结合，采取工作日、休息日及昼、夜不间断的“全时”形式开展执法检查。</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北京市通州区生态环境局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《2025年北京市生态环境综合执法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重点工作》京环办〔2025〕11号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日常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涉及污染物排放的单位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6846</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264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涉镉重金属单位执法检查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对涉镉重金属单位的现场检查</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通州区生态环境综合执法大队</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《生态环境部关于加强涉重金属行业污染防控的意见》环土壤〔2018〕22号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涉重金属排放单位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24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新发排污许可证单位执法检查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对新发排污许可证的现场检查</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通州区生态环境综合执法大队</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《关于加强排污许可执法监管的指导意见》（环执法〔2022〕23号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新发排污许可证单位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r>
        <w:tblPrEx>
          <w:tblLayout w:type="fixed"/>
          <w:tblCellMar>
            <w:top w:w="0" w:type="dxa"/>
            <w:left w:w="0" w:type="dxa"/>
            <w:bottom w:w="0" w:type="dxa"/>
            <w:right w:w="0" w:type="dxa"/>
          </w:tblCellMar>
        </w:tblPrEx>
        <w:trPr>
          <w:trHeight w:val="24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排污许可证单位自行监测抽查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对排污许可单位自信检查情况的抽查</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通州区生态环境综合执法大队</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《北京市排污单位自行监测数据质量提升工作方案（征求意见稿）》</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单部门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 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现场</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京生态环境〔2024〕3号</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4月1日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12月31日</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排污许可管理单位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337</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重点管理40%，简化管理5%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1次/年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0.5天</w:t>
            </w:r>
          </w:p>
        </w:tc>
      </w:tr>
    </w:tbl>
    <w:p>
      <w:pPr>
        <w:pStyle w:val="2"/>
        <w:ind w:left="0" w:leftChars="0" w:firstLine="0" w:firstLineChars="0"/>
        <w:rPr>
          <w:rStyle w:val="30"/>
          <w:rFonts w:hint="eastAsia" w:ascii="仿宋_GB2312" w:hAnsi="仿宋_GB2312" w:eastAsia="仿宋_GB2312" w:cs="仿宋_GB2312"/>
          <w:color w:val="auto"/>
          <w:sz w:val="32"/>
          <w:szCs w:val="32"/>
          <w:lang w:val="en-US" w:eastAsia="zh-CN" w:bidi="ar"/>
        </w:rPr>
      </w:pPr>
    </w:p>
    <w:sectPr>
      <w:headerReference r:id="rId3" w:type="default"/>
      <w:footerReference r:id="rId5" w:type="default"/>
      <w:headerReference r:id="rId4" w:type="even"/>
      <w:footerReference r:id="rId6" w:type="even"/>
      <w:pgSz w:w="16838" w:h="11906" w:orient="landscape"/>
      <w:pgMar w:top="1417" w:right="283" w:bottom="850" w:left="283"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0" distR="0" simplePos="0" relativeHeight="1024" behindDoc="0" locked="0" layoutInCell="1" allowOverlap="1">
              <wp:simplePos x="0" y="0"/>
              <wp:positionH relativeFrom="margin">
                <wp:align>left</wp:align>
              </wp:positionH>
              <wp:positionV relativeFrom="paragraph">
                <wp:posOffset>28575</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ind w:right="210" w:rightChars="100" w:firstLine="15680" w:firstLineChars="5600"/>
                            <w:rPr>
                              <w:rStyle w:val="17"/>
                              <w:rFonts w:hint="eastAsia"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3</w:t>
                          </w:r>
                          <w:r>
                            <w:rPr>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2.25pt;height:144pt;width:144pt;mso-position-horizontal:left;mso-position-horizontal-relative:margin;mso-wrap-style:none;z-index:1024;mso-width-relative:page;mso-height-relative:page;" filled="f" stroked="f" coordsize="21600,21600" o:gfxdata="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shf&#10;t9MAAAAGAQAADwAAAAAAAAABACAAAAAiAAAAZHJzL2Rvd25yZXYueG1sUEsBAhQAFAAAAAgAh07i&#10;QO8SYfC1AQAATQMAAA4AAAAAAAAAAQAgAAAAIgEAAGRycy9lMm9Eb2MueG1sUEsFBgAAAAAGAAYA&#10;WQEAAEkFAAAAAA==&#10;">
              <v:fill on="f" focussize="0,0"/>
              <v:stroke on="f"/>
              <v:imagedata o:title=""/>
              <o:lock v:ext="edit" aspectratio="f"/>
              <v:textbox inset="0mm,0mm,0mm,0mm" style="mso-fit-shape-to-text:t;">
                <w:txbxContent>
                  <w:p>
                    <w:pPr>
                      <w:pStyle w:val="9"/>
                      <w:ind w:right="210" w:rightChars="100" w:firstLine="15680" w:firstLineChars="5600"/>
                      <w:rPr>
                        <w:rStyle w:val="17"/>
                        <w:rFonts w:hint="eastAsia"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3</w:t>
                    </w:r>
                    <w:r>
                      <w:rPr>
                        <w:rFonts w:ascii="宋体" w:hAnsi="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307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3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D3516"/>
    <w:rsid w:val="0A832E6B"/>
    <w:rsid w:val="0C3436A2"/>
    <w:rsid w:val="0DF01641"/>
    <w:rsid w:val="0EBC3BBC"/>
    <w:rsid w:val="0FAE2878"/>
    <w:rsid w:val="15024B82"/>
    <w:rsid w:val="15B80862"/>
    <w:rsid w:val="16FE3AE1"/>
    <w:rsid w:val="17DD6583"/>
    <w:rsid w:val="1AA42D05"/>
    <w:rsid w:val="1B293FFD"/>
    <w:rsid w:val="1D670D79"/>
    <w:rsid w:val="1ECE3A77"/>
    <w:rsid w:val="22D6473E"/>
    <w:rsid w:val="233D2A5F"/>
    <w:rsid w:val="24D905E2"/>
    <w:rsid w:val="26011499"/>
    <w:rsid w:val="27170466"/>
    <w:rsid w:val="27E27698"/>
    <w:rsid w:val="2A5E0E8C"/>
    <w:rsid w:val="2C4254A7"/>
    <w:rsid w:val="2CF34D5A"/>
    <w:rsid w:val="2F52126A"/>
    <w:rsid w:val="30D43A3B"/>
    <w:rsid w:val="332C1BDC"/>
    <w:rsid w:val="40440164"/>
    <w:rsid w:val="43803724"/>
    <w:rsid w:val="4C052002"/>
    <w:rsid w:val="50FB7994"/>
    <w:rsid w:val="58567F97"/>
    <w:rsid w:val="596D25E3"/>
    <w:rsid w:val="5BFB26D6"/>
    <w:rsid w:val="5CDB38C4"/>
    <w:rsid w:val="5FAA7543"/>
    <w:rsid w:val="66032B02"/>
    <w:rsid w:val="68BD5A93"/>
    <w:rsid w:val="6AA47D26"/>
    <w:rsid w:val="6ABE16B2"/>
    <w:rsid w:val="6C6D22F8"/>
    <w:rsid w:val="6FE0620A"/>
    <w:rsid w:val="73B17E44"/>
    <w:rsid w:val="762F2AA5"/>
    <w:rsid w:val="7ADB2E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qFormat/>
    <w:uiPriority w:val="9"/>
    <w:pPr>
      <w:keepNext/>
      <w:widowControl/>
      <w:spacing w:before="240" w:after="60"/>
      <w:jc w:val="left"/>
      <w:outlineLvl w:val="2"/>
    </w:pPr>
    <w:rPr>
      <w:rFonts w:ascii="Cambria" w:hAnsi="Cambria"/>
      <w:b/>
      <w:bCs/>
      <w:kern w:val="0"/>
      <w:sz w:val="26"/>
      <w:szCs w:val="26"/>
    </w:rPr>
  </w:style>
  <w:style w:type="character" w:default="1" w:styleId="16">
    <w:name w:val="Default Paragraph Font"/>
    <w:qFormat/>
    <w:uiPriority w:val="0"/>
  </w:style>
  <w:style w:type="table" w:default="1" w:styleId="15">
    <w:name w:val="Normal Table"/>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ascii="Calibri" w:hAnsi="Calibri" w:eastAsia="楷体_GB2312"/>
      <w:sz w:val="32"/>
      <w:szCs w:val="22"/>
    </w:rPr>
  </w:style>
  <w:style w:type="paragraph" w:styleId="3">
    <w:name w:val="Body Text"/>
    <w:basedOn w:val="1"/>
    <w:next w:val="4"/>
    <w:qFormat/>
    <w:uiPriority w:val="99"/>
    <w:pPr>
      <w:spacing w:after="120"/>
    </w:pPr>
  </w:style>
  <w:style w:type="paragraph" w:styleId="4">
    <w:name w:val="Body Text 2"/>
    <w:basedOn w:val="1"/>
    <w:qFormat/>
    <w:uiPriority w:val="0"/>
    <w:pPr>
      <w:spacing w:line="360" w:lineRule="auto"/>
      <w:ind w:firstLine="200" w:firstLineChars="200"/>
    </w:pPr>
    <w:rPr>
      <w:rFonts w:eastAsia="楷体_GB2312"/>
      <w:sz w:val="32"/>
    </w:rPr>
  </w:style>
  <w:style w:type="paragraph" w:styleId="6">
    <w:name w:val="Normal Indent"/>
    <w:basedOn w:val="1"/>
    <w:qFormat/>
    <w:uiPriority w:val="0"/>
    <w:pPr>
      <w:widowControl/>
      <w:spacing w:before="100" w:beforeAutospacing="1" w:after="100" w:afterAutospacing="1" w:line="360" w:lineRule="auto"/>
      <w:jc w:val="left"/>
    </w:pPr>
    <w:rPr>
      <w:rFonts w:ascii="宋体" w:hAnsi="宋体" w:eastAsia="仿宋_GB2312"/>
      <w:color w:val="333333"/>
      <w:kern w:val="0"/>
      <w:sz w:val="18"/>
      <w:szCs w:val="18"/>
      <w:lang w:val="zh-CN"/>
    </w:rPr>
  </w:style>
  <w:style w:type="paragraph" w:styleId="7">
    <w:name w:val="Body Text Indent"/>
    <w:basedOn w:val="1"/>
    <w:qFormat/>
    <w:uiPriority w:val="99"/>
    <w:pPr>
      <w:spacing w:line="600" w:lineRule="atLeast"/>
      <w:ind w:left="360" w:hanging="540"/>
    </w:pPr>
    <w:rPr>
      <w:rFonts w:ascii="仿宋_GB2312" w:eastAsia="仿宋_GB2312"/>
      <w:kern w:val="0"/>
      <w:sz w:val="32"/>
      <w:szCs w:val="20"/>
    </w:rPr>
  </w:style>
  <w:style w:type="paragraph" w:styleId="8">
    <w:name w:val="toc 3"/>
    <w:basedOn w:val="1"/>
    <w:next w:val="1"/>
    <w:qFormat/>
    <w:uiPriority w:val="39"/>
    <w:pPr>
      <w:ind w:left="840" w:leftChars="400"/>
    </w:pPr>
  </w:style>
  <w:style w:type="paragraph" w:styleId="9">
    <w:name w:val="footer"/>
    <w:basedOn w:val="1"/>
    <w:next w:val="1"/>
    <w:qFormat/>
    <w:uiPriority w:val="99"/>
    <w:pPr>
      <w:tabs>
        <w:tab w:val="center" w:pos="4153"/>
        <w:tab w:val="right" w:pos="8306"/>
      </w:tabs>
      <w:snapToGrid w:val="0"/>
      <w:jc w:val="left"/>
    </w:pPr>
    <w:rPr>
      <w:sz w:val="18"/>
    </w:rPr>
  </w:style>
  <w:style w:type="paragraph" w:styleId="10">
    <w:name w:val="header"/>
    <w:basedOn w:val="1"/>
    <w:next w:val="11"/>
    <w:qFormat/>
    <w:uiPriority w:val="99"/>
    <w:pPr>
      <w:pBdr>
        <w:bottom w:val="single" w:color="auto" w:sz="6" w:space="1"/>
      </w:pBdr>
      <w:tabs>
        <w:tab w:val="center" w:pos="4153"/>
        <w:tab w:val="right" w:pos="8306"/>
      </w:tabs>
      <w:snapToGrid w:val="0"/>
      <w:jc w:val="center"/>
    </w:pPr>
    <w:rPr>
      <w:sz w:val="18"/>
    </w:rPr>
  </w:style>
  <w:style w:type="paragraph" w:customStyle="1" w:styleId="11">
    <w:name w:val="样式5"/>
    <w:basedOn w:val="12"/>
    <w:qFormat/>
    <w:uiPriority w:val="0"/>
    <w:pPr>
      <w:spacing w:line="480" w:lineRule="atLeast"/>
      <w:ind w:firstLine="454"/>
    </w:pPr>
    <w:rPr>
      <w:rFonts w:ascii="Calibri" w:hAnsi="Times New Roman"/>
      <w:sz w:val="24"/>
      <w:szCs w:val="20"/>
    </w:rPr>
  </w:style>
  <w:style w:type="paragraph" w:customStyle="1" w:styleId="12">
    <w:name w:val="正文1"/>
    <w:basedOn w:val="1"/>
    <w:qFormat/>
    <w:uiPriority w:val="0"/>
    <w:pPr>
      <w:spacing w:line="500" w:lineRule="atLeast"/>
      <w:ind w:firstLine="567"/>
    </w:pPr>
    <w:rPr>
      <w:rFonts w:hAnsi="Calibri"/>
      <w:sz w:val="28"/>
    </w:r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qFormat/>
    <w:uiPriority w:val="0"/>
    <w:pPr>
      <w:widowControl w:val="0"/>
      <w:spacing w:after="120" w:line="560" w:lineRule="exact"/>
      <w:ind w:left="420" w:leftChars="200" w:firstLine="420" w:firstLineChars="200"/>
      <w:jc w:val="both"/>
    </w:pPr>
    <w:rPr>
      <w:rFonts w:ascii="Calibri" w:hAnsi="Calibri" w:eastAsia="仿宋_GB2312" w:cs="Times New Roman"/>
      <w:kern w:val="2"/>
      <w:sz w:val="32"/>
      <w:szCs w:val="24"/>
      <w:lang w:val="en-US" w:eastAsia="zh-CN" w:bidi="ar-SA"/>
    </w:rPr>
  </w:style>
  <w:style w:type="character" w:styleId="17">
    <w:name w:val="page number"/>
    <w:basedOn w:val="16"/>
    <w:qFormat/>
    <w:uiPriority w:val="0"/>
  </w:style>
  <w:style w:type="character" w:styleId="18">
    <w:name w:val="Emphasis"/>
    <w:basedOn w:val="16"/>
    <w:qFormat/>
    <w:uiPriority w:val="0"/>
    <w:rPr>
      <w:i/>
    </w:rPr>
  </w:style>
  <w:style w:type="paragraph" w:customStyle="1" w:styleId="19">
    <w:name w:val="BodyText"/>
    <w:next w:val="1"/>
    <w:qFormat/>
    <w:uiPriority w:val="0"/>
    <w:pPr>
      <w:widowControl/>
      <w:spacing w:line="560" w:lineRule="exact"/>
      <w:jc w:val="both"/>
    </w:pPr>
    <w:rPr>
      <w:rFonts w:ascii="Calibri" w:hAnsi="Calibri" w:eastAsia="仿宋_GB2312" w:cs="Times New Roman"/>
      <w:kern w:val="2"/>
      <w:sz w:val="32"/>
      <w:szCs w:val="32"/>
      <w:lang w:val="en-US" w:eastAsia="zh-CN" w:bidi="ar-SA"/>
    </w:rPr>
  </w:style>
  <w:style w:type="paragraph" w:customStyle="1" w:styleId="20">
    <w:name w:val="正文首行缩进 21"/>
    <w:basedOn w:val="21"/>
    <w:qFormat/>
    <w:uiPriority w:val="0"/>
    <w:pPr>
      <w:ind w:firstLine="420" w:firstLineChars="200"/>
    </w:pPr>
    <w:rPr>
      <w:rFonts w:ascii="Calibri" w:hAnsi="Calibri"/>
      <w:szCs w:val="20"/>
    </w:rPr>
  </w:style>
  <w:style w:type="paragraph" w:customStyle="1" w:styleId="21">
    <w:name w:val="正文文本缩进1"/>
    <w:basedOn w:val="1"/>
    <w:next w:val="10"/>
    <w:qFormat/>
    <w:uiPriority w:val="0"/>
    <w:pPr>
      <w:spacing w:line="360" w:lineRule="auto"/>
      <w:ind w:firstLine="567"/>
    </w:pPr>
    <w:rPr>
      <w:sz w:val="28"/>
    </w:rPr>
  </w:style>
  <w:style w:type="paragraph" w:customStyle="1" w:styleId="22">
    <w:name w:val="BodyText1I2"/>
    <w:basedOn w:val="23"/>
    <w:qFormat/>
    <w:uiPriority w:val="0"/>
    <w:pPr>
      <w:spacing w:line="240" w:lineRule="auto"/>
      <w:ind w:firstLine="420"/>
    </w:pPr>
    <w:rPr>
      <w:rFonts w:hAnsi="Calibri"/>
    </w:rPr>
  </w:style>
  <w:style w:type="paragraph" w:customStyle="1" w:styleId="23">
    <w:name w:val="BodyTextIndent"/>
    <w:basedOn w:val="1"/>
    <w:qFormat/>
    <w:uiPriority w:val="0"/>
    <w:pPr>
      <w:ind w:firstLine="645"/>
      <w:textAlignment w:val="baseline"/>
    </w:pPr>
    <w:rPr>
      <w:sz w:val="32"/>
    </w:rPr>
  </w:style>
  <w:style w:type="character" w:customStyle="1" w:styleId="24">
    <w:name w:val="15"/>
    <w:qFormat/>
    <w:uiPriority w:val="0"/>
    <w:rPr>
      <w:rFonts w:hint="eastAsia" w:ascii="宋体" w:hAnsi="宋体" w:eastAsia="宋体"/>
      <w:color w:val="000000"/>
      <w:sz w:val="24"/>
      <w:szCs w:val="24"/>
    </w:rPr>
  </w:style>
  <w:style w:type="character" w:customStyle="1" w:styleId="25">
    <w:name w:val="font31"/>
    <w:basedOn w:val="16"/>
    <w:qFormat/>
    <w:uiPriority w:val="0"/>
    <w:rPr>
      <w:rFonts w:hint="eastAsia" w:ascii="宋体" w:hAnsi="宋体" w:eastAsia="宋体" w:cs="宋体"/>
      <w:color w:val="000000"/>
      <w:sz w:val="20"/>
      <w:szCs w:val="20"/>
      <w:u w:val="none"/>
    </w:rPr>
  </w:style>
  <w:style w:type="character" w:customStyle="1" w:styleId="26">
    <w:name w:val="font91"/>
    <w:basedOn w:val="16"/>
    <w:qFormat/>
    <w:uiPriority w:val="0"/>
    <w:rPr>
      <w:rFonts w:hint="eastAsia" w:ascii="宋体" w:hAnsi="宋体" w:eastAsia="宋体" w:cs="宋体"/>
      <w:color w:val="000000"/>
      <w:sz w:val="20"/>
      <w:szCs w:val="20"/>
      <w:u w:val="none"/>
    </w:rPr>
  </w:style>
  <w:style w:type="character" w:customStyle="1" w:styleId="27">
    <w:name w:val="font51"/>
    <w:basedOn w:val="16"/>
    <w:qFormat/>
    <w:uiPriority w:val="0"/>
    <w:rPr>
      <w:rFonts w:hint="eastAsia" w:ascii="宋体" w:hAnsi="宋体" w:eastAsia="宋体" w:cs="宋体"/>
      <w:color w:val="000000"/>
      <w:sz w:val="20"/>
      <w:szCs w:val="20"/>
      <w:u w:val="none"/>
    </w:rPr>
  </w:style>
  <w:style w:type="character" w:customStyle="1" w:styleId="28">
    <w:name w:val="font11"/>
    <w:basedOn w:val="16"/>
    <w:qFormat/>
    <w:uiPriority w:val="0"/>
    <w:rPr>
      <w:rFonts w:hint="eastAsia" w:ascii="宋体" w:hAnsi="宋体" w:eastAsia="宋体" w:cs="宋体"/>
      <w:color w:val="000000"/>
      <w:sz w:val="20"/>
      <w:szCs w:val="20"/>
      <w:u w:val="none"/>
    </w:rPr>
  </w:style>
  <w:style w:type="character" w:customStyle="1" w:styleId="29">
    <w:name w:val="font61"/>
    <w:basedOn w:val="16"/>
    <w:qFormat/>
    <w:uiPriority w:val="0"/>
    <w:rPr>
      <w:rFonts w:hint="eastAsia" w:ascii="宋体" w:hAnsi="宋体" w:eastAsia="宋体" w:cs="宋体"/>
      <w:color w:val="FF0000"/>
      <w:sz w:val="20"/>
      <w:szCs w:val="20"/>
      <w:u w:val="none"/>
    </w:rPr>
  </w:style>
  <w:style w:type="character" w:customStyle="1" w:styleId="30">
    <w:name w:val="font21"/>
    <w:basedOn w:val="16"/>
    <w:qFormat/>
    <w:uiPriority w:val="0"/>
    <w:rPr>
      <w:rFonts w:hint="eastAsia" w:ascii="方正小标宋简体" w:hAnsi="方正小标宋简体" w:eastAsia="方正小标宋简体" w:cs="方正小标宋简体"/>
      <w:color w:val="FF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9866</Words>
  <Characters>10322</Characters>
  <Paragraphs>643</Paragraphs>
  <TotalTime>13</TotalTime>
  <ScaleCrop>false</ScaleCrop>
  <LinksUpToDate>false</LinksUpToDate>
  <CharactersWithSpaces>10513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2020-05-21T17:52:00Z</dcterms:created>
  <dc:creator>uos</dc:creator>
  <cp:lastModifiedBy>SY</cp:lastModifiedBy>
  <cp:lastPrinted>2023-03-03T07:15:00Z</cp:lastPrinted>
  <dcterms:modified xsi:type="dcterms:W3CDTF">2025-03-28T02:37:36Z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a1dda6a97e534b1aa2e0163dcb7a62a7</vt:lpwstr>
  </property>
</Properties>
</file>