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99F06">
      <w:pPr>
        <w:spacing w:line="600" w:lineRule="exact"/>
        <w:jc w:val="center"/>
        <w:rPr>
          <w:rFonts w:ascii="方正小标宋简体" w:hAnsi="微软雅黑" w:eastAsia="方正小标宋简体" w:cs="宋体"/>
          <w:b/>
          <w:bCs/>
          <w:color w:val="333333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微软雅黑" w:eastAsia="方正小标宋简体" w:cs="宋体"/>
          <w:b/>
          <w:bCs/>
          <w:color w:val="333333"/>
          <w:kern w:val="0"/>
          <w:sz w:val="44"/>
          <w:szCs w:val="44"/>
        </w:rPr>
        <w:t>北京市通州区供排水事务中心</w:t>
      </w:r>
    </w:p>
    <w:p w14:paraId="23DE30F5">
      <w:pPr>
        <w:spacing w:line="600" w:lineRule="exact"/>
        <w:jc w:val="center"/>
        <w:rPr>
          <w:rFonts w:ascii="方正小标宋简体" w:hAnsi="微软雅黑" w:eastAsia="方正小标宋简体" w:cs="宋体"/>
          <w:b/>
          <w:bCs/>
          <w:color w:val="333333"/>
          <w:kern w:val="0"/>
          <w:sz w:val="44"/>
          <w:szCs w:val="44"/>
        </w:rPr>
      </w:pPr>
      <w:r>
        <w:rPr>
          <w:rFonts w:hint="eastAsia" w:ascii="方正小标宋简体" w:hAnsi="微软雅黑" w:eastAsia="方正小标宋简体" w:cs="宋体"/>
          <w:b/>
          <w:bCs/>
          <w:color w:val="333333"/>
          <w:kern w:val="0"/>
          <w:sz w:val="44"/>
          <w:szCs w:val="44"/>
        </w:rPr>
        <w:t>2020年预算情况说明</w:t>
      </w:r>
    </w:p>
    <w:p w14:paraId="287A62F6">
      <w:pPr>
        <w:widowControl/>
        <w:spacing w:after="240" w:line="600" w:lineRule="exact"/>
        <w:ind w:firstLine="480"/>
        <w:jc w:val="center"/>
        <w:rPr>
          <w:rFonts w:ascii="微软雅黑" w:hAnsi="微软雅黑" w:eastAsia="微软雅黑" w:cs="宋体"/>
          <w:b/>
          <w:bCs/>
          <w:color w:val="333333"/>
          <w:kern w:val="0"/>
          <w:sz w:val="24"/>
        </w:rPr>
      </w:pPr>
    </w:p>
    <w:p w14:paraId="1505589F">
      <w:pPr>
        <w:widowControl/>
        <w:spacing w:after="240" w:line="600" w:lineRule="exact"/>
        <w:ind w:firstLine="480"/>
        <w:jc w:val="center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目录</w:t>
      </w:r>
    </w:p>
    <w:p w14:paraId="7253195E">
      <w:pPr>
        <w:widowControl/>
        <w:spacing w:after="240" w:line="600" w:lineRule="exact"/>
        <w:ind w:firstLine="321" w:firstLineChars="100"/>
        <w:jc w:val="center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第一部分2020年度预算部门情况说明</w:t>
      </w:r>
    </w:p>
    <w:p w14:paraId="601886D1">
      <w:pPr>
        <w:widowControl/>
        <w:spacing w:after="240" w:line="600" w:lineRule="exact"/>
        <w:ind w:firstLine="321" w:firstLineChars="100"/>
        <w:jc w:val="center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第二部分2020年度部门收入预算说明</w:t>
      </w:r>
    </w:p>
    <w:p w14:paraId="145D17D4">
      <w:pPr>
        <w:widowControl/>
        <w:spacing w:after="240" w:line="600" w:lineRule="exact"/>
        <w:ind w:firstLine="321" w:firstLineChars="100"/>
        <w:jc w:val="center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第三部分2020年度部门支出预算说明</w:t>
      </w:r>
    </w:p>
    <w:p w14:paraId="3B093001">
      <w:pPr>
        <w:widowControl/>
        <w:spacing w:after="240" w:line="600" w:lineRule="exact"/>
        <w:ind w:firstLine="321" w:firstLineChars="100"/>
        <w:jc w:val="center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第四部分2020年度其他重要事项的情况说明</w:t>
      </w:r>
    </w:p>
    <w:p w14:paraId="1B19D76D">
      <w:pPr>
        <w:widowControl/>
        <w:spacing w:after="240" w:line="600" w:lineRule="exact"/>
        <w:ind w:firstLine="1606" w:firstLineChars="500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第五部分2020年度部门预算附表</w:t>
      </w:r>
    </w:p>
    <w:p w14:paraId="46713750">
      <w:pPr>
        <w:spacing w:line="600" w:lineRule="exact"/>
        <w:ind w:firstLine="643" w:firstLineChars="200"/>
        <w:outlineLvl w:val="0"/>
        <w:rPr>
          <w:rFonts w:ascii="仿宋_GB2312" w:eastAsia="仿宋_GB2312"/>
          <w:b/>
          <w:sz w:val="32"/>
          <w:szCs w:val="32"/>
        </w:rPr>
      </w:pPr>
    </w:p>
    <w:p w14:paraId="1566763D">
      <w:pPr>
        <w:widowControl/>
        <w:spacing w:after="240" w:line="600" w:lineRule="exact"/>
        <w:ind w:firstLine="480"/>
        <w:jc w:val="left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一、2020年度预算部门情况说明</w:t>
      </w:r>
    </w:p>
    <w:p w14:paraId="7661AABE">
      <w:pPr>
        <w:spacing w:line="600" w:lineRule="exact"/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（一）部门机构设置、主要职责</w:t>
      </w:r>
    </w:p>
    <w:p w14:paraId="56A26488">
      <w:pPr>
        <w:spacing w:line="500" w:lineRule="exact"/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通州区供排水事务中心位于滨河中路京秦铁路北侧路东，是通州区水务局所属的基层单位，为全额拨款独立核算事业单位，业务范围负责城区排水管线疏通、排水管网、泵站的维护养护工作和城区防汛组织实施工作。</w:t>
      </w:r>
    </w:p>
    <w:p w14:paraId="26CCBA75">
      <w:pPr>
        <w:spacing w:line="600" w:lineRule="exact"/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（二）人员构成情况</w:t>
      </w:r>
    </w:p>
    <w:p w14:paraId="0294510D">
      <w:pPr>
        <w:spacing w:line="600" w:lineRule="exact"/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北京市通州区供排水事务中心行政编制0人，实际0人；事业编制23人，实际16人。</w:t>
      </w:r>
    </w:p>
    <w:p w14:paraId="633D8B93">
      <w:pPr>
        <w:spacing w:line="600" w:lineRule="exact"/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离退休人员 17人，其中：离休 0人，退休 17人。</w:t>
      </w:r>
    </w:p>
    <w:p w14:paraId="5CA8FCAE">
      <w:pPr>
        <w:spacing w:line="600" w:lineRule="exact"/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（三）本预算年度的主要工作任务</w:t>
      </w:r>
    </w:p>
    <w:p w14:paraId="2303B902"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一、完成权属范围内的排水设施维护、养护管理工作</w:t>
      </w:r>
    </w:p>
    <w:p w14:paraId="5E2F20DD">
      <w:pPr>
        <w:pStyle w:val="9"/>
        <w:spacing w:line="48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1.完成476.918公里排水管线的维护、养护、管理、疏通、巡查工作；</w:t>
      </w:r>
    </w:p>
    <w:p w14:paraId="16A3E9A1">
      <w:pPr>
        <w:pStyle w:val="9"/>
        <w:spacing w:line="48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2.完成10638座检查井维护、养护、清掏、巡查工作；</w:t>
      </w:r>
    </w:p>
    <w:p w14:paraId="4892185A">
      <w:pPr>
        <w:pStyle w:val="9"/>
        <w:spacing w:line="48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3.完成19496座雨水口维护、养护、巡查工作；</w:t>
      </w:r>
    </w:p>
    <w:p w14:paraId="27EDE62B">
      <w:pPr>
        <w:pStyle w:val="9"/>
        <w:spacing w:line="48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4.完成54座闸门检修、养护、管理工作；</w:t>
      </w:r>
    </w:p>
    <w:p w14:paraId="0C3C194D">
      <w:pPr>
        <w:pStyle w:val="9"/>
        <w:spacing w:line="48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5.完成17座泵站检修、养护、运行管理工作；</w:t>
      </w:r>
    </w:p>
    <w:p w14:paraId="3D14E7E3">
      <w:pPr>
        <w:pStyle w:val="9"/>
        <w:spacing w:line="48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6.完成117座入河口的维修、养护、管理工作;</w:t>
      </w:r>
    </w:p>
    <w:p w14:paraId="10AC0C8E">
      <w:pPr>
        <w:pStyle w:val="9"/>
        <w:spacing w:line="48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7.管道检测100公里。</w:t>
      </w:r>
    </w:p>
    <w:p w14:paraId="7679D9E1">
      <w:pPr>
        <w:pStyle w:val="9"/>
        <w:spacing w:line="480" w:lineRule="auto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二、完成城区防汛工作</w:t>
      </w:r>
    </w:p>
    <w:p w14:paraId="5E2D4FB3">
      <w:pPr>
        <w:pStyle w:val="9"/>
        <w:spacing w:line="480" w:lineRule="auto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通州城区155平方公里范围内的防汛工作是我中心的主要工作之一，为做好每年的防汛工作，我中心将投入大量的人力、财力和物力，确保城区居民生活正常，确保城区居民生命财产安全和社会安全稳定。</w:t>
      </w:r>
    </w:p>
    <w:p w14:paraId="595E80F3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主要任务：汛前对排水管线集中疏通；对检查井、泵站集水池集中进行清掏、对易积水的重点区域进行经常疏通、清掏。同时，我中心还主要负责城区及下凹立交桥汛期抢险等工作。组建200人的防汛抢险队伍随时准备抢险。</w:t>
      </w:r>
    </w:p>
    <w:p w14:paraId="6F1003F7">
      <w:pPr>
        <w:spacing w:beforeLines="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三、继续做好管线内部结构检测及管道非开挖修复工作</w:t>
      </w:r>
    </w:p>
    <w:p w14:paraId="34546346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截至2019年底，我中心已完成排水管道CCTV及声纳检测150公里，为管道内部结构状及淤积、管道接入等提供了非常详实的数据，对管理工作提供了重要的数据支持，2020年我中心将进一步加大该项工作的进程，以期在2020年内实现对所管理管网状况的全面掌握。</w:t>
      </w:r>
    </w:p>
    <w:p w14:paraId="11E5AC84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同时根据检测出的管道结构问题，通过开挖和非开挖技术相结合的办法，做好管线维修工作，以延长排水管网系统的有效使用年限。</w:t>
      </w:r>
    </w:p>
    <w:p w14:paraId="6C96956E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四、和局供排水科、水政监察大队一起，继续推进排水许可办理工作。</w:t>
      </w:r>
    </w:p>
    <w:p w14:paraId="33CC3C83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五、完成水务局临时交办的其它工作。</w:t>
      </w:r>
    </w:p>
    <w:p w14:paraId="73164CA1">
      <w:pPr>
        <w:widowControl/>
        <w:spacing w:after="240" w:line="600" w:lineRule="exact"/>
        <w:ind w:firstLine="480"/>
        <w:jc w:val="left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二、2020年度部门收入预算说明</w:t>
      </w:r>
    </w:p>
    <w:p w14:paraId="624980AA">
      <w:pPr>
        <w:spacing w:line="600" w:lineRule="exact"/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2020年收入预算73.09万元，比2019年2528.87万元减少2455.78万元，下降97%。其中：财政拨款73.09万元，比2019年2528.87万元减少2455.78万元。</w:t>
      </w:r>
    </w:p>
    <w:p w14:paraId="75DCA023">
      <w:pPr>
        <w:widowControl/>
        <w:spacing w:after="240" w:line="600" w:lineRule="exact"/>
        <w:ind w:firstLine="480"/>
        <w:jc w:val="left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三、2020年度部门支出预算说明</w:t>
      </w:r>
    </w:p>
    <w:p w14:paraId="494588E8">
      <w:pPr>
        <w:spacing w:line="600" w:lineRule="exact"/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（一）基本支出预算 73.09万元，占总支出预算100 %，比2019年85.94万元减少12.85万元，下降14.95%。</w:t>
      </w:r>
    </w:p>
    <w:p w14:paraId="4F981C66">
      <w:pPr>
        <w:spacing w:line="600" w:lineRule="exact"/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（二）项目支出预算批复到水务局</w:t>
      </w:r>
    </w:p>
    <w:p w14:paraId="34BC643C">
      <w:pPr>
        <w:spacing w:line="600" w:lineRule="exact"/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（三）上缴上级支出</w:t>
      </w:r>
    </w:p>
    <w:p w14:paraId="20D26123">
      <w:pPr>
        <w:spacing w:line="600" w:lineRule="exact"/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</w:t>
      </w:r>
    </w:p>
    <w:p w14:paraId="7EA5C215">
      <w:pPr>
        <w:spacing w:line="600" w:lineRule="exact"/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（四）事业单位经营支出</w:t>
      </w:r>
    </w:p>
    <w:p w14:paraId="6889A898">
      <w:pPr>
        <w:spacing w:line="600" w:lineRule="exact"/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</w:t>
      </w:r>
    </w:p>
    <w:p w14:paraId="149A1403">
      <w:pPr>
        <w:spacing w:line="600" w:lineRule="exact"/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（五）对附属单位补助支出</w:t>
      </w:r>
    </w:p>
    <w:p w14:paraId="1435A3F8">
      <w:pPr>
        <w:spacing w:line="600" w:lineRule="exact"/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</w:t>
      </w:r>
    </w:p>
    <w:p w14:paraId="16DE4540">
      <w:pPr>
        <w:widowControl/>
        <w:spacing w:after="240" w:line="600" w:lineRule="exact"/>
        <w:ind w:firstLine="480"/>
        <w:jc w:val="left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四、2020年度其他重要事项的情况说明</w:t>
      </w:r>
    </w:p>
    <w:p w14:paraId="22B7DDED">
      <w:pPr>
        <w:widowControl/>
        <w:spacing w:after="240" w:line="600" w:lineRule="exact"/>
        <w:ind w:firstLine="480"/>
        <w:jc w:val="left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无</w:t>
      </w:r>
    </w:p>
    <w:p w14:paraId="2CEE735B">
      <w:pPr>
        <w:spacing w:line="60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部门“三公”经费财政拨款预算说明</w:t>
      </w:r>
    </w:p>
    <w:p w14:paraId="4A3D83E7">
      <w:pPr>
        <w:spacing w:line="60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</w:t>
      </w:r>
      <w:r>
        <w:rPr>
          <w:rFonts w:hint="eastAsia" w:ascii="仿宋_GB2312" w:eastAsia="仿宋_GB2312"/>
          <w:sz w:val="32"/>
          <w:szCs w:val="32"/>
          <w:lang w:eastAsia="zh-CN"/>
        </w:rPr>
        <w:t>“三公”经费</w:t>
      </w:r>
      <w:r>
        <w:rPr>
          <w:rFonts w:hint="eastAsia" w:ascii="仿宋_GB2312" w:eastAsia="仿宋_GB2312"/>
          <w:sz w:val="32"/>
          <w:szCs w:val="32"/>
        </w:rPr>
        <w:t>的单位范围</w:t>
      </w:r>
    </w:p>
    <w:p w14:paraId="355B04D5">
      <w:pPr>
        <w:spacing w:line="60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北京市通州供排水事务中心因公出国（境）费用、公务接待费、公务用车购置和运行维护费开支单位包括1个所属单位。</w:t>
      </w:r>
    </w:p>
    <w:p w14:paraId="1E7B59E8">
      <w:pPr>
        <w:spacing w:line="60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</w:t>
      </w:r>
      <w:r>
        <w:rPr>
          <w:rFonts w:hint="eastAsia" w:ascii="仿宋_GB2312" w:eastAsia="仿宋_GB2312"/>
          <w:sz w:val="32"/>
          <w:szCs w:val="32"/>
          <w:lang w:eastAsia="zh-CN"/>
        </w:rPr>
        <w:t>“三公”经费</w:t>
      </w:r>
      <w:r>
        <w:rPr>
          <w:rFonts w:hint="eastAsia" w:ascii="仿宋_GB2312" w:eastAsia="仿宋_GB2312"/>
          <w:sz w:val="32"/>
          <w:szCs w:val="32"/>
        </w:rPr>
        <w:t>财政拨款情况说明</w:t>
      </w:r>
    </w:p>
    <w:p w14:paraId="3341AFC4">
      <w:pPr>
        <w:spacing w:line="60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</w:t>
      </w:r>
      <w:r>
        <w:rPr>
          <w:rFonts w:hint="eastAsia" w:ascii="仿宋_GB2312" w:eastAsia="仿宋_GB2312"/>
          <w:sz w:val="32"/>
          <w:szCs w:val="32"/>
          <w:lang w:eastAsia="zh-CN"/>
        </w:rPr>
        <w:t>“三公”经费</w:t>
      </w:r>
      <w:r>
        <w:rPr>
          <w:rFonts w:hint="eastAsia" w:ascii="仿宋_GB2312" w:eastAsia="仿宋_GB2312"/>
          <w:sz w:val="32"/>
          <w:szCs w:val="32"/>
        </w:rPr>
        <w:t>财政拨款预算2.15万元，和2019持平,其中：</w:t>
      </w:r>
    </w:p>
    <w:p w14:paraId="3A8865B9"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因公出国（境）费用</w:t>
      </w:r>
    </w:p>
    <w:p w14:paraId="024BC76C">
      <w:pPr>
        <w:spacing w:line="600" w:lineRule="exact"/>
        <w:ind w:left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</w:t>
      </w:r>
    </w:p>
    <w:p w14:paraId="29154F22"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公务接待费</w:t>
      </w:r>
    </w:p>
    <w:p w14:paraId="08326E13">
      <w:pPr>
        <w:spacing w:line="600" w:lineRule="exact"/>
        <w:ind w:left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2020年预算数0.3万元，和2019持平</w:t>
      </w:r>
    </w:p>
    <w:p w14:paraId="23B64462"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公务用车购置和运行维护费</w:t>
      </w:r>
    </w:p>
    <w:p w14:paraId="3052E2ED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2020年预算数1.85万元，其中，公务用车购置费2020年预算数0万元;公务用车运行维护费2020年预算数1.85万元,和2019持平。</w:t>
      </w:r>
    </w:p>
    <w:p w14:paraId="20A6338D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</w:p>
    <w:p w14:paraId="7895F7B5">
      <w:pPr>
        <w:spacing w:line="60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机关运行经费情况说明</w:t>
      </w:r>
    </w:p>
    <w:p w14:paraId="45F62A1F">
      <w:pPr>
        <w:spacing w:line="600" w:lineRule="exact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</w:t>
      </w:r>
    </w:p>
    <w:p w14:paraId="5FE5C9E6">
      <w:pPr>
        <w:spacing w:line="600" w:lineRule="exact"/>
        <w:jc w:val="center"/>
        <w:rPr>
          <w:rFonts w:ascii="黑体" w:eastAsia="黑体"/>
          <w:b/>
          <w:sz w:val="32"/>
          <w:szCs w:val="32"/>
        </w:rPr>
      </w:pPr>
    </w:p>
    <w:p w14:paraId="02E1277F">
      <w:pPr>
        <w:spacing w:line="60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项目支出绩效目标及评价结果情况说明</w:t>
      </w:r>
    </w:p>
    <w:p w14:paraId="0053FA01">
      <w:pPr>
        <w:spacing w:line="60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2020年项目预算资金整体批复到水务局预算项目中</w:t>
      </w:r>
    </w:p>
    <w:p w14:paraId="552B003D">
      <w:pPr>
        <w:spacing w:line="600" w:lineRule="exact"/>
        <w:rPr>
          <w:rFonts w:ascii="仿宋_GB2312" w:eastAsia="仿宋_GB2312"/>
          <w:sz w:val="32"/>
          <w:szCs w:val="32"/>
        </w:rPr>
      </w:pPr>
    </w:p>
    <w:p w14:paraId="651423A9">
      <w:pPr>
        <w:spacing w:line="60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国有资本经营预算财政拨款情况及国有资产占用情况说明</w:t>
      </w:r>
    </w:p>
    <w:p w14:paraId="27924283">
      <w:pPr>
        <w:spacing w:line="60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本部门2020年无国有资本经营预算财政拨款安排的预算</w:t>
      </w:r>
    </w:p>
    <w:p w14:paraId="1D61C7D0">
      <w:pPr>
        <w:spacing w:line="600" w:lineRule="exact"/>
        <w:ind w:firstLine="1751" w:firstLineChars="545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政府采购预算财政拨款情况说明</w:t>
      </w:r>
    </w:p>
    <w:p w14:paraId="0B09902E">
      <w:pPr>
        <w:spacing w:line="60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本部门2020年无政府采购预算财政拨款安排的预算</w:t>
      </w:r>
    </w:p>
    <w:p w14:paraId="46DB5F49">
      <w:pPr>
        <w:spacing w:line="600" w:lineRule="exact"/>
        <w:jc w:val="left"/>
        <w:rPr>
          <w:rFonts w:ascii="仿宋_GB2312" w:eastAsia="仿宋_GB2312"/>
          <w:sz w:val="32"/>
          <w:szCs w:val="32"/>
        </w:rPr>
      </w:pPr>
    </w:p>
    <w:p w14:paraId="19F05360">
      <w:pPr>
        <w:spacing w:line="600" w:lineRule="exact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政府购买服务预算财政拨款情况说明</w:t>
      </w:r>
    </w:p>
    <w:p w14:paraId="552846D2">
      <w:pPr>
        <w:spacing w:line="60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本部门2020年无政府购买服务预算财政拨款安排的预算</w:t>
      </w:r>
    </w:p>
    <w:p w14:paraId="0E0C3CD6">
      <w:pPr>
        <w:spacing w:line="600" w:lineRule="exact"/>
        <w:jc w:val="left"/>
        <w:rPr>
          <w:rFonts w:ascii="仿宋_GB2312" w:eastAsia="仿宋_GB2312"/>
          <w:b/>
          <w:sz w:val="32"/>
          <w:szCs w:val="32"/>
        </w:rPr>
      </w:pPr>
    </w:p>
    <w:p w14:paraId="178DD2A6">
      <w:pPr>
        <w:spacing w:line="600" w:lineRule="exact"/>
        <w:ind w:firstLine="555"/>
        <w:outlineLvl w:val="0"/>
        <w:rPr>
          <w:rFonts w:ascii="仿宋_GB2312" w:eastAsia="仿宋_GB2312"/>
          <w:b/>
          <w:sz w:val="32"/>
          <w:szCs w:val="32"/>
        </w:rPr>
      </w:pPr>
    </w:p>
    <w:p w14:paraId="5D5FAFBD">
      <w:pPr>
        <w:widowControl/>
        <w:spacing w:after="240" w:line="600" w:lineRule="exact"/>
        <w:ind w:firstLine="480"/>
        <w:jc w:val="left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五、2020年度部门预算附表</w:t>
      </w:r>
    </w:p>
    <w:p w14:paraId="5EB13E53">
      <w:pPr>
        <w:widowControl/>
        <w:spacing w:after="240" w:line="60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表1、2020年部门收支总体情况表</w:t>
      </w:r>
    </w:p>
    <w:p w14:paraId="5A53D404">
      <w:pPr>
        <w:pStyle w:val="5"/>
        <w:spacing w:before="0" w:beforeAutospacing="0"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表2、2020年部门收入总体情况表</w:t>
      </w:r>
    </w:p>
    <w:p w14:paraId="127390E9">
      <w:pPr>
        <w:pStyle w:val="5"/>
        <w:spacing w:before="0" w:beforeAutospacing="0"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表3、2020年部门支出总体情况表</w:t>
      </w:r>
    </w:p>
    <w:p w14:paraId="59E3BAD5">
      <w:pPr>
        <w:pStyle w:val="5"/>
        <w:spacing w:before="0" w:beforeAutospacing="0"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表4、2020年财政拨款收支预算总表</w:t>
      </w:r>
    </w:p>
    <w:p w14:paraId="0CF993D4">
      <w:pPr>
        <w:pStyle w:val="5"/>
        <w:spacing w:before="0" w:beforeAutospacing="0"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表5、2020年一般公共预算支出情况表</w:t>
      </w:r>
    </w:p>
    <w:p w14:paraId="3BB4D0D5">
      <w:pPr>
        <w:pStyle w:val="5"/>
        <w:spacing w:before="0" w:beforeAutospacing="0" w:line="600" w:lineRule="exact"/>
        <w:jc w:val="both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表6、2020年一般公共预算支出基本情况表</w:t>
      </w:r>
    </w:p>
    <w:p w14:paraId="6525AA64">
      <w:pPr>
        <w:pStyle w:val="5"/>
        <w:spacing w:before="0" w:beforeAutospacing="0"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表7、2020年“三公”经费支出情况表</w:t>
      </w:r>
    </w:p>
    <w:p w14:paraId="62639290">
      <w:pPr>
        <w:pStyle w:val="5"/>
        <w:spacing w:before="0" w:beforeAutospacing="0"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表8、2020年政府性基金预算支出情况表</w:t>
      </w:r>
    </w:p>
    <w:p w14:paraId="2D3099BA">
      <w:pPr>
        <w:pStyle w:val="5"/>
        <w:spacing w:before="0" w:beforeAutospacing="0"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 w14:paraId="2BD31D84">
      <w:pPr>
        <w:spacing w:line="60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部门预算情况说明填报要求</w:t>
      </w:r>
    </w:p>
    <w:p w14:paraId="3F09B3D0">
      <w:pPr>
        <w:spacing w:line="600" w:lineRule="exact"/>
        <w:ind w:firstLine="555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一、部门情况</w:t>
      </w:r>
    </w:p>
    <w:p w14:paraId="0E7074C0">
      <w:pPr>
        <w:spacing w:line="600" w:lineRule="exact"/>
        <w:ind w:firstLine="555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部门机构设置、职责：根据相关文件，简明扼要阐述部门情况。（如：根据中共中央、国务院批准的北京市人民政府机构改革方案和《北京市人民政府关于机构设置的通知》（京政发[2009]2号），设立……。内设……处室，分别为……；下属……预算单位，分别为……）</w:t>
      </w:r>
    </w:p>
    <w:p w14:paraId="6E19DEDA">
      <w:pPr>
        <w:spacing w:line="600" w:lineRule="exact"/>
        <w:ind w:firstLine="555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（1）部门机构设置指部门（本系统）内设机构数量及名称，不要求将各内设机构及下属预算单位逐一单独说明。</w:t>
      </w:r>
    </w:p>
    <w:p w14:paraId="397E181E">
      <w:pPr>
        <w:spacing w:line="600" w:lineRule="exact"/>
        <w:ind w:firstLine="555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（2）部门职责指部门（本系统）总体职责说明。</w:t>
      </w:r>
    </w:p>
    <w:p w14:paraId="5915C4C3">
      <w:pPr>
        <w:spacing w:line="600" w:lineRule="exact"/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2、人员构成情况：由部门根据实际情况进行填报。</w:t>
      </w:r>
    </w:p>
    <w:p w14:paraId="15EFEB1C">
      <w:pPr>
        <w:spacing w:line="600" w:lineRule="exact"/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3、本预算年度的主要工作任务：重点说明2020年的主要工作，指导思想及原则不作着重说明，字数控制在2000字内。</w:t>
      </w:r>
    </w:p>
    <w:p w14:paraId="38FA8918">
      <w:pPr>
        <w:spacing w:line="600" w:lineRule="exact"/>
        <w:ind w:firstLine="555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二、收入预算说明：上年数据（请各单位从2019年预算批复文件中查询补充）、增减因素、增减率等需要部门根据实际情况计算补充；如无增减变化情况，请统一表述为“与上年持平”。</w:t>
      </w:r>
    </w:p>
    <w:p w14:paraId="3B47CDBA">
      <w:pPr>
        <w:spacing w:line="600" w:lineRule="exact"/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其他资金收入内容需要部门补充收入项目变动情况等详细内容。</w:t>
      </w:r>
    </w:p>
    <w:p w14:paraId="0ABD0808">
      <w:pPr>
        <w:spacing w:line="600" w:lineRule="exact"/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支出预算说明：上年数据（请各单位从2019年预算批复文件中查询补充）、增减因素、增减率等需要部门根据实际情况计算补充；如所增减情况不变，请统一表述为“与上年持平”。对于项目支出中主要是××××费内容，建议：</w:t>
      </w:r>
    </w:p>
    <w:p w14:paraId="1BA03214">
      <w:pPr>
        <w:spacing w:line="600" w:lineRule="exact"/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（1）部门可按照本部门（或本系统）项目分类表述编写；</w:t>
      </w:r>
    </w:p>
    <w:p w14:paraId="0A9462D5">
      <w:pPr>
        <w:spacing w:line="600" w:lineRule="exact"/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（2）按照预算支出功能科目款级名称表述编写；</w:t>
      </w:r>
    </w:p>
    <w:p w14:paraId="26D7F680">
      <w:pPr>
        <w:spacing w:line="600" w:lineRule="exact"/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（3）不用对各项费用逐一进行说明。</w:t>
      </w:r>
    </w:p>
    <w:p w14:paraId="186EE507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四、重点事项说明：</w:t>
      </w:r>
    </w:p>
    <w:p w14:paraId="0B1F5324">
      <w:pPr>
        <w:spacing w:line="60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、项目绩效目标情况说明填报范围是：所有编制项目绩效目标的部门和项目均要对有关情况进行。填报绩效目标的范围是：50万元（含）以上的部门预算项目都必须填报绩效目标，50万元以下的项目由各主管部门按照“重要性原则”自行确定填报绩效目标的项目标准和范围。绩效目标填报格式要求：参见《项目支出绩效目标申报表》，每个项目填1张表。</w:t>
      </w:r>
    </w:p>
    <w:p w14:paraId="0D26E9DC">
      <w:pPr>
        <w:spacing w:line="60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2、</w:t>
      </w:r>
      <w:r>
        <w:rPr>
          <w:rFonts w:hint="eastAsia" w:ascii="仿宋_GB2312" w:eastAsia="仿宋_GB2312"/>
          <w:sz w:val="32"/>
          <w:szCs w:val="32"/>
        </w:rPr>
        <w:t>重点行政事业性收费情况说明由执收部门填写。只填报收入，不填报支出，并注明：支出已纳入一般预算统筹使用。</w:t>
      </w:r>
    </w:p>
    <w:p w14:paraId="402BAC74">
      <w:pPr>
        <w:spacing w:line="600" w:lineRule="exact"/>
        <w:ind w:firstLine="640" w:firstLineChars="200"/>
        <w:rPr>
          <w:rFonts w:ascii="黑体" w:eastAsia="黑体"/>
          <w:b/>
          <w:sz w:val="84"/>
        </w:rPr>
      </w:pPr>
      <w:r>
        <w:rPr>
          <w:rFonts w:hint="eastAsia" w:ascii="仿宋_GB2312" w:eastAsia="仿宋_GB2312"/>
          <w:sz w:val="32"/>
          <w:szCs w:val="32"/>
        </w:rPr>
        <w:t>3、</w:t>
      </w:r>
      <w:r>
        <w:rPr>
          <w:rFonts w:ascii="仿宋_GB2312" w:eastAsia="仿宋_GB2312"/>
          <w:sz w:val="32"/>
          <w:szCs w:val="32"/>
        </w:rPr>
        <w:t>机关运行经费统计口径为行政和参公事业单位公用经费预算</w:t>
      </w:r>
      <w:r>
        <w:rPr>
          <w:rFonts w:hint="eastAsia" w:ascii="仿宋_GB2312" w:eastAsia="仿宋_GB2312"/>
          <w:sz w:val="32"/>
          <w:szCs w:val="32"/>
        </w:rPr>
        <w:t>。</w:t>
      </w:r>
    </w:p>
    <w:p w14:paraId="6B6A87C4"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524850"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6</w:t>
    </w:r>
    <w:r>
      <w:rPr>
        <w:rStyle w:val="8"/>
      </w:rPr>
      <w:fldChar w:fldCharType="end"/>
    </w:r>
  </w:p>
  <w:p w14:paraId="219A3AFA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1CA047"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5AE33924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8777CD"/>
    <w:multiLevelType w:val="multilevel"/>
    <w:tmpl w:val="258777CD"/>
    <w:lvl w:ilvl="0" w:tentative="0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5BF4395"/>
    <w:rsid w:val="003A6E88"/>
    <w:rsid w:val="004774E6"/>
    <w:rsid w:val="004F0024"/>
    <w:rsid w:val="00601BF2"/>
    <w:rsid w:val="00640AA5"/>
    <w:rsid w:val="0064311B"/>
    <w:rsid w:val="006D7E0F"/>
    <w:rsid w:val="00925DDD"/>
    <w:rsid w:val="009F66FD"/>
    <w:rsid w:val="00A3634C"/>
    <w:rsid w:val="00AB409D"/>
    <w:rsid w:val="00BA0C26"/>
    <w:rsid w:val="00C20535"/>
    <w:rsid w:val="00C65C30"/>
    <w:rsid w:val="00C83B67"/>
    <w:rsid w:val="00DE44DC"/>
    <w:rsid w:val="00E22E31"/>
    <w:rsid w:val="00EE5AC7"/>
    <w:rsid w:val="00F83875"/>
    <w:rsid w:val="291334A3"/>
    <w:rsid w:val="75BF43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uiPriority w:val="0"/>
  </w:style>
  <w:style w:type="paragraph" w:styleId="9">
    <w:name w:val="List Paragraph"/>
    <w:basedOn w:val="1"/>
    <w:unhideWhenUsed/>
    <w:qFormat/>
    <w:uiPriority w:val="34"/>
    <w:pPr>
      <w:ind w:firstLine="420" w:firstLineChars="200"/>
    </w:pPr>
  </w:style>
  <w:style w:type="character" w:customStyle="1" w:styleId="10">
    <w:name w:val="批注框文本 Char"/>
    <w:basedOn w:val="7"/>
    <w:link w:val="2"/>
    <w:uiPriority w:val="0"/>
    <w:rPr>
      <w:kern w:val="2"/>
      <w:sz w:val="18"/>
      <w:szCs w:val="18"/>
    </w:rPr>
  </w:style>
  <w:style w:type="character" w:customStyle="1" w:styleId="11">
    <w:name w:val="页眉 Char"/>
    <w:basedOn w:val="7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2410</Words>
  <Characters>2648</Characters>
  <Lines>19</Lines>
  <Paragraphs>5</Paragraphs>
  <TotalTime>232</TotalTime>
  <ScaleCrop>false</ScaleCrop>
  <LinksUpToDate>false</LinksUpToDate>
  <CharactersWithSpaces>2657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2020-01-16T06:41:00Z</dcterms:created>
  <dc:creator>蔡蔡</dc:creator>
  <cp:lastModifiedBy>寇俊鹏</cp:lastModifiedBy>
  <cp:lastPrinted>2020-01-17T00:28:00Z</cp:lastPrinted>
  <dcterms:modified xsi:type="dcterms:W3CDTF">2025-02-25T07:26:53Z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eyJoZGlkIjoiMDY1MWZiMWEyNWMwNTVlZmNmM2QxMTdmNzZkNjNmZmYiLCJ1c2VySWQiOiI3NTk1ODIzMjQifQ==</vt:lpwstr>
  </property>
  <property fmtid="{D5CDD505-2E9C-101B-9397-08002B2CF9AE}" pid="4" name="ICV">
    <vt:lpwstr>F56D1CD4C0D14FF0BEAC575F9E46F4BB_12</vt:lpwstr>
  </property>
</Properties>
</file>